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78382239" w:displacedByCustomXml="next"/>
    <w:sdt>
      <w:sdtPr>
        <w:rPr>
          <w:rFonts w:ascii="Adobe Garamond Pro" w:hAnsi="Adobe Garamond Pro"/>
          <w:color w:val="auto"/>
          <w:spacing w:val="0"/>
          <w:sz w:val="20"/>
          <w:szCs w:val="22"/>
        </w:rPr>
        <w:id w:val="405652835"/>
        <w:docPartObj>
          <w:docPartGallery w:val="Cover Pages"/>
          <w:docPartUnique/>
        </w:docPartObj>
      </w:sdtPr>
      <w:sdtEndPr>
        <w:rPr>
          <w:rFonts w:ascii="Franklin Gothic Medium" w:hAnsi="Franklin Gothic Medium"/>
          <w:sz w:val="32"/>
          <w:szCs w:val="32"/>
        </w:rPr>
      </w:sdtEndPr>
      <w:sdtContent>
        <w:p w14:paraId="167AB688" w14:textId="63D3DB66" w:rsidR="002F6E08" w:rsidRDefault="002F6E08" w:rsidP="002F6E08">
          <w:pPr>
            <w:pStyle w:val="Title"/>
          </w:pPr>
        </w:p>
        <w:p w14:paraId="5E1A4169" w14:textId="77777777" w:rsidR="002F6E08" w:rsidRDefault="002F6E08" w:rsidP="002F6E08">
          <w:pPr>
            <w:pStyle w:val="Title"/>
          </w:pPr>
        </w:p>
        <w:p w14:paraId="301953A6" w14:textId="77777777" w:rsidR="002F6E08" w:rsidRDefault="002F6E08" w:rsidP="002F6E08">
          <w:pPr>
            <w:pStyle w:val="Title"/>
          </w:pPr>
        </w:p>
        <w:p w14:paraId="62FF65A2" w14:textId="322DC1EA" w:rsidR="002F6E08" w:rsidRDefault="002F6E08" w:rsidP="002F6E08">
          <w:pPr>
            <w:pStyle w:val="Title"/>
          </w:pPr>
          <w:r>
            <w:t>2020 RNA</w:t>
          </w:r>
          <w:r w:rsidR="00BB1071">
            <w:t xml:space="preserve"> </w:t>
          </w:r>
        </w:p>
        <w:p w14:paraId="75C43E3B" w14:textId="1A04EAC8" w:rsidR="002F6E08" w:rsidRDefault="002F6E08" w:rsidP="002F6E08">
          <w:pPr>
            <w:pStyle w:val="Title"/>
          </w:pPr>
          <w:r>
            <w:t>Reliability Needs Assessment</w:t>
          </w:r>
        </w:p>
        <w:p w14:paraId="49AFCD3A" w14:textId="78610A5A" w:rsidR="00FA3F97" w:rsidRDefault="00FA3F97" w:rsidP="00FA3F97"/>
        <w:p w14:paraId="2E5A347D" w14:textId="77777777" w:rsidR="00FA3F97" w:rsidRDefault="00FA3F97" w:rsidP="00FA3F97">
          <w:pPr>
            <w:pStyle w:val="Title"/>
          </w:pPr>
        </w:p>
        <w:p w14:paraId="3DD70832" w14:textId="45D9FEA6" w:rsidR="00FA3F97" w:rsidRPr="00FA3F97" w:rsidRDefault="00FA3F97" w:rsidP="00FA3F97">
          <w:pPr>
            <w:pStyle w:val="Title"/>
          </w:pPr>
          <w:r>
            <w:t>Comprehensive System Planning Process</w:t>
          </w:r>
          <w:r w:rsidR="006B6E24">
            <w:t xml:space="preserve"> </w:t>
          </w:r>
        </w:p>
        <w:p w14:paraId="689E11C7" w14:textId="5320E2D0" w:rsidR="002F6E08" w:rsidRDefault="002F6E08" w:rsidP="002F6E08"/>
        <w:p w14:paraId="2FAA1DC1" w14:textId="2C4446F0" w:rsidR="002F6E08" w:rsidRDefault="002F6E08" w:rsidP="002F6E08"/>
        <w:p w14:paraId="7ADB12AF" w14:textId="4168CE44" w:rsidR="002F6E08" w:rsidRDefault="002F6E08" w:rsidP="002F6E08"/>
        <w:p w14:paraId="6CBDE8EF" w14:textId="77777777" w:rsidR="002F6E08" w:rsidRPr="002F6E08" w:rsidRDefault="002F6E08" w:rsidP="002F6E08"/>
        <w:p w14:paraId="7C85B4E6" w14:textId="77777777" w:rsidR="002F6E08" w:rsidRDefault="002F6E08" w:rsidP="002120E5">
          <w:pPr>
            <w:ind w:left="0" w:firstLine="0"/>
          </w:pPr>
        </w:p>
        <w:p w14:paraId="60F35BB7" w14:textId="77777777"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w:t>
          </w:r>
        </w:p>
        <w:p w14:paraId="43F4A4EF" w14:textId="77777777"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 xml:space="preserve">A Report by the </w:t>
          </w:r>
        </w:p>
        <w:p w14:paraId="57C90D41" w14:textId="77777777"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 xml:space="preserve">New York Independent </w:t>
          </w:r>
        </w:p>
        <w:p w14:paraId="515618AC" w14:textId="77777777"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System Operator</w:t>
          </w:r>
        </w:p>
        <w:p w14:paraId="342E4440" w14:textId="77777777"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w:t>
          </w:r>
        </w:p>
        <w:p w14:paraId="17198E85" w14:textId="77777777" w:rsidR="002F6E08" w:rsidRDefault="002F6E08" w:rsidP="002F6E08">
          <w:pPr>
            <w:ind w:left="0" w:firstLine="0"/>
            <w:jc w:val="right"/>
            <w:rPr>
              <w:rFonts w:ascii="Franklin Gothic Medium" w:hAnsi="Franklin Gothic Medium"/>
              <w:color w:val="005F86"/>
              <w:sz w:val="32"/>
              <w:szCs w:val="32"/>
            </w:rPr>
          </w:pPr>
        </w:p>
        <w:p w14:paraId="42AF6EF3" w14:textId="06E51875" w:rsidR="002F6E08"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DRAFT</w:t>
          </w:r>
          <w:r w:rsidR="00B956A9">
            <w:rPr>
              <w:rFonts w:ascii="Franklin Gothic Medium" w:hAnsi="Franklin Gothic Medium"/>
              <w:color w:val="005F86"/>
              <w:sz w:val="32"/>
              <w:szCs w:val="32"/>
            </w:rPr>
            <w:t xml:space="preserve"> </w:t>
          </w:r>
          <w:r>
            <w:rPr>
              <w:rFonts w:ascii="Franklin Gothic Medium" w:hAnsi="Franklin Gothic Medium"/>
              <w:color w:val="005F86"/>
              <w:sz w:val="32"/>
              <w:szCs w:val="32"/>
            </w:rPr>
            <w:t>Report</w:t>
          </w:r>
        </w:p>
        <w:p w14:paraId="7D4473DD" w14:textId="77777777" w:rsidR="00F54FC7" w:rsidRDefault="002F6E08" w:rsidP="002F6E08">
          <w:pPr>
            <w:ind w:left="0" w:firstLine="0"/>
            <w:jc w:val="right"/>
            <w:rPr>
              <w:rFonts w:ascii="Franklin Gothic Medium" w:hAnsi="Franklin Gothic Medium"/>
              <w:color w:val="005F86"/>
              <w:sz w:val="32"/>
              <w:szCs w:val="32"/>
            </w:rPr>
          </w:pPr>
          <w:r>
            <w:rPr>
              <w:rFonts w:ascii="Franklin Gothic Medium" w:hAnsi="Franklin Gothic Medium"/>
              <w:color w:val="005F86"/>
              <w:sz w:val="32"/>
              <w:szCs w:val="32"/>
            </w:rPr>
            <w:t xml:space="preserve">For </w:t>
          </w:r>
          <w:r w:rsidR="003D7407">
            <w:rPr>
              <w:rFonts w:ascii="Franklin Gothic Medium" w:hAnsi="Franklin Gothic Medium"/>
              <w:color w:val="005F86"/>
              <w:sz w:val="32"/>
              <w:szCs w:val="32"/>
            </w:rPr>
            <w:t xml:space="preserve">August </w:t>
          </w:r>
          <w:r w:rsidR="00A800DA">
            <w:rPr>
              <w:rFonts w:ascii="Franklin Gothic Medium" w:hAnsi="Franklin Gothic Medium"/>
              <w:color w:val="005F86"/>
              <w:sz w:val="32"/>
              <w:szCs w:val="32"/>
            </w:rPr>
            <w:t>20</w:t>
          </w:r>
          <w:r>
            <w:rPr>
              <w:rFonts w:ascii="Franklin Gothic Medium" w:hAnsi="Franklin Gothic Medium"/>
              <w:color w:val="005F86"/>
              <w:sz w:val="32"/>
              <w:szCs w:val="32"/>
            </w:rPr>
            <w:t>, 2020 ESPWG/TPAS</w:t>
          </w:r>
        </w:p>
        <w:p w14:paraId="3E70DB90" w14:textId="75B5E98D" w:rsidR="00A045F7" w:rsidRPr="00672A4D" w:rsidRDefault="00A045F7" w:rsidP="002F6E08">
          <w:pPr>
            <w:ind w:left="0" w:firstLine="0"/>
            <w:jc w:val="right"/>
          </w:pPr>
          <w:r>
            <w:rPr>
              <w:rFonts w:ascii="Franklin Gothic Medium" w:hAnsi="Franklin Gothic Medium"/>
              <w:color w:val="005F86"/>
              <w:sz w:val="32"/>
              <w:szCs w:val="32"/>
            </w:rPr>
            <w:br w:type="page"/>
          </w:r>
        </w:p>
      </w:sdtContent>
    </w:sdt>
    <w:p w14:paraId="5B2E6FE9" w14:textId="2D194B77" w:rsidR="0016504D" w:rsidRPr="00F273F7" w:rsidRDefault="0016504D" w:rsidP="00621A3D">
      <w:pPr>
        <w:ind w:left="360"/>
        <w:rPr>
          <w:rFonts w:ascii="Franklin Gothic Medium" w:hAnsi="Franklin Gothic Medium"/>
          <w:color w:val="005F86"/>
          <w:sz w:val="32"/>
          <w:szCs w:val="32"/>
        </w:rPr>
      </w:pPr>
      <w:r w:rsidRPr="00F273F7">
        <w:rPr>
          <w:rFonts w:ascii="Franklin Gothic Medium" w:hAnsi="Franklin Gothic Medium"/>
          <w:color w:val="005F86"/>
          <w:sz w:val="32"/>
          <w:szCs w:val="32"/>
        </w:rPr>
        <w:lastRenderedPageBreak/>
        <w:t>Table of Contents</w:t>
      </w:r>
      <w:bookmarkEnd w:id="1"/>
    </w:p>
    <w:p w14:paraId="5D23E799" w14:textId="0D4085B5" w:rsidR="00E8153C" w:rsidRDefault="00F32BC7">
      <w:pPr>
        <w:pStyle w:val="TOC1"/>
        <w:rPr>
          <w:rFonts w:asciiTheme="minorHAnsi" w:eastAsiaTheme="minorEastAsia" w:hAnsiTheme="minorHAnsi" w:cstheme="minorBidi"/>
          <w:b w:val="0"/>
          <w:bCs w:val="0"/>
          <w:caps w:val="0"/>
          <w:noProof/>
          <w:sz w:val="22"/>
          <w:szCs w:val="22"/>
          <w:lang w:bidi="ar-SA"/>
        </w:rPr>
      </w:pPr>
      <w:r>
        <w:fldChar w:fldCharType="begin"/>
      </w:r>
      <w:r w:rsidR="0016504D">
        <w:instrText xml:space="preserve"> TOC \o "1-3" \h \z \u </w:instrText>
      </w:r>
      <w:r>
        <w:fldChar w:fldCharType="separate"/>
      </w:r>
      <w:hyperlink w:anchor="_Toc48252270" w:history="1">
        <w:r w:rsidR="00E8153C" w:rsidRPr="00C12BBA">
          <w:rPr>
            <w:rStyle w:val="Hyperlink"/>
            <w:noProof/>
          </w:rPr>
          <w:t>Executive Summary</w:t>
        </w:r>
        <w:r w:rsidR="00E8153C">
          <w:rPr>
            <w:noProof/>
            <w:webHidden/>
          </w:rPr>
          <w:tab/>
        </w:r>
        <w:r w:rsidR="00E8153C">
          <w:rPr>
            <w:noProof/>
            <w:webHidden/>
          </w:rPr>
          <w:fldChar w:fldCharType="begin"/>
        </w:r>
        <w:r w:rsidR="00E8153C">
          <w:rPr>
            <w:noProof/>
            <w:webHidden/>
          </w:rPr>
          <w:instrText xml:space="preserve"> PAGEREF _Toc48252270 \h </w:instrText>
        </w:r>
        <w:r w:rsidR="00E8153C">
          <w:rPr>
            <w:noProof/>
            <w:webHidden/>
          </w:rPr>
        </w:r>
        <w:r w:rsidR="00E8153C">
          <w:rPr>
            <w:noProof/>
            <w:webHidden/>
          </w:rPr>
          <w:fldChar w:fldCharType="separate"/>
        </w:r>
        <w:r w:rsidR="00E8153C">
          <w:rPr>
            <w:noProof/>
            <w:webHidden/>
          </w:rPr>
          <w:t>1</w:t>
        </w:r>
        <w:r w:rsidR="00E8153C">
          <w:rPr>
            <w:noProof/>
            <w:webHidden/>
          </w:rPr>
          <w:fldChar w:fldCharType="end"/>
        </w:r>
      </w:hyperlink>
    </w:p>
    <w:p w14:paraId="4578CE98" w14:textId="5397C02E"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71" w:history="1">
        <w:r w:rsidR="00E8153C" w:rsidRPr="00C12BBA">
          <w:rPr>
            <w:rStyle w:val="Hyperlink"/>
            <w:noProof/>
          </w:rPr>
          <w:t>1.</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Introduction</w:t>
        </w:r>
        <w:r w:rsidR="00E8153C">
          <w:rPr>
            <w:noProof/>
            <w:webHidden/>
          </w:rPr>
          <w:tab/>
        </w:r>
        <w:r w:rsidR="00E8153C">
          <w:rPr>
            <w:noProof/>
            <w:webHidden/>
          </w:rPr>
          <w:fldChar w:fldCharType="begin"/>
        </w:r>
        <w:r w:rsidR="00E8153C">
          <w:rPr>
            <w:noProof/>
            <w:webHidden/>
          </w:rPr>
          <w:instrText xml:space="preserve"> PAGEREF _Toc48252271 \h </w:instrText>
        </w:r>
        <w:r w:rsidR="00E8153C">
          <w:rPr>
            <w:noProof/>
            <w:webHidden/>
          </w:rPr>
        </w:r>
        <w:r w:rsidR="00E8153C">
          <w:rPr>
            <w:noProof/>
            <w:webHidden/>
          </w:rPr>
          <w:fldChar w:fldCharType="separate"/>
        </w:r>
        <w:r w:rsidR="00E8153C">
          <w:rPr>
            <w:noProof/>
            <w:webHidden/>
          </w:rPr>
          <w:t>2</w:t>
        </w:r>
        <w:r w:rsidR="00E8153C">
          <w:rPr>
            <w:noProof/>
            <w:webHidden/>
          </w:rPr>
          <w:fldChar w:fldCharType="end"/>
        </w:r>
      </w:hyperlink>
    </w:p>
    <w:p w14:paraId="469A7A48" w14:textId="7143D461"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72" w:history="1">
        <w:r w:rsidR="00E8153C" w:rsidRPr="00C12BBA">
          <w:rPr>
            <w:rStyle w:val="Hyperlink"/>
            <w:noProof/>
          </w:rPr>
          <w:t>2.</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Overview of Reliability Planning Process Changes</w:t>
        </w:r>
        <w:r w:rsidR="00E8153C">
          <w:rPr>
            <w:noProof/>
            <w:webHidden/>
          </w:rPr>
          <w:tab/>
        </w:r>
        <w:r w:rsidR="00E8153C">
          <w:rPr>
            <w:noProof/>
            <w:webHidden/>
          </w:rPr>
          <w:fldChar w:fldCharType="begin"/>
        </w:r>
        <w:r w:rsidR="00E8153C">
          <w:rPr>
            <w:noProof/>
            <w:webHidden/>
          </w:rPr>
          <w:instrText xml:space="preserve"> PAGEREF _Toc48252272 \h </w:instrText>
        </w:r>
        <w:r w:rsidR="00E8153C">
          <w:rPr>
            <w:noProof/>
            <w:webHidden/>
          </w:rPr>
        </w:r>
        <w:r w:rsidR="00E8153C">
          <w:rPr>
            <w:noProof/>
            <w:webHidden/>
          </w:rPr>
          <w:fldChar w:fldCharType="separate"/>
        </w:r>
        <w:r w:rsidR="00E8153C">
          <w:rPr>
            <w:noProof/>
            <w:webHidden/>
          </w:rPr>
          <w:t>6</w:t>
        </w:r>
        <w:r w:rsidR="00E8153C">
          <w:rPr>
            <w:noProof/>
            <w:webHidden/>
          </w:rPr>
          <w:fldChar w:fldCharType="end"/>
        </w:r>
      </w:hyperlink>
    </w:p>
    <w:p w14:paraId="2F51E690" w14:textId="2E769F6E"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73" w:history="1">
        <w:r w:rsidR="00E8153C" w:rsidRPr="00C12BBA">
          <w:rPr>
            <w:rStyle w:val="Hyperlink"/>
            <w:noProof/>
          </w:rPr>
          <w:t>3.</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Summary of Prior Comprehensive Reliability Plans</w:t>
        </w:r>
        <w:r w:rsidR="00E8153C">
          <w:rPr>
            <w:noProof/>
            <w:webHidden/>
          </w:rPr>
          <w:tab/>
        </w:r>
        <w:r w:rsidR="00E8153C">
          <w:rPr>
            <w:noProof/>
            <w:webHidden/>
          </w:rPr>
          <w:fldChar w:fldCharType="begin"/>
        </w:r>
        <w:r w:rsidR="00E8153C">
          <w:rPr>
            <w:noProof/>
            <w:webHidden/>
          </w:rPr>
          <w:instrText xml:space="preserve"> PAGEREF _Toc48252273 \h </w:instrText>
        </w:r>
        <w:r w:rsidR="00E8153C">
          <w:rPr>
            <w:noProof/>
            <w:webHidden/>
          </w:rPr>
        </w:r>
        <w:r w:rsidR="00E8153C">
          <w:rPr>
            <w:noProof/>
            <w:webHidden/>
          </w:rPr>
          <w:fldChar w:fldCharType="separate"/>
        </w:r>
        <w:r w:rsidR="00E8153C">
          <w:rPr>
            <w:noProof/>
            <w:webHidden/>
          </w:rPr>
          <w:t>8</w:t>
        </w:r>
        <w:r w:rsidR="00E8153C">
          <w:rPr>
            <w:noProof/>
            <w:webHidden/>
          </w:rPr>
          <w:fldChar w:fldCharType="end"/>
        </w:r>
      </w:hyperlink>
    </w:p>
    <w:p w14:paraId="7406E3F2" w14:textId="3A9919CA"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74" w:history="1">
        <w:r w:rsidR="00E8153C" w:rsidRPr="00C12BBA">
          <w:rPr>
            <w:rStyle w:val="Hyperlink"/>
            <w:noProof/>
          </w:rPr>
          <w:t>4.</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Regulatory Policy Activities</w:t>
        </w:r>
        <w:r w:rsidR="00E8153C">
          <w:rPr>
            <w:noProof/>
            <w:webHidden/>
          </w:rPr>
          <w:tab/>
        </w:r>
        <w:r w:rsidR="00E8153C">
          <w:rPr>
            <w:noProof/>
            <w:webHidden/>
          </w:rPr>
          <w:fldChar w:fldCharType="begin"/>
        </w:r>
        <w:r w:rsidR="00E8153C">
          <w:rPr>
            <w:noProof/>
            <w:webHidden/>
          </w:rPr>
          <w:instrText xml:space="preserve"> PAGEREF _Toc48252274 \h </w:instrText>
        </w:r>
        <w:r w:rsidR="00E8153C">
          <w:rPr>
            <w:noProof/>
            <w:webHidden/>
          </w:rPr>
        </w:r>
        <w:r w:rsidR="00E8153C">
          <w:rPr>
            <w:noProof/>
            <w:webHidden/>
          </w:rPr>
          <w:fldChar w:fldCharType="separate"/>
        </w:r>
        <w:r w:rsidR="00E8153C">
          <w:rPr>
            <w:noProof/>
            <w:webHidden/>
          </w:rPr>
          <w:t>10</w:t>
        </w:r>
        <w:r w:rsidR="00E8153C">
          <w:rPr>
            <w:noProof/>
            <w:webHidden/>
          </w:rPr>
          <w:fldChar w:fldCharType="end"/>
        </w:r>
      </w:hyperlink>
    </w:p>
    <w:p w14:paraId="4763BF9D" w14:textId="6C361456" w:rsidR="00E8153C" w:rsidRDefault="00D517E4">
      <w:pPr>
        <w:pStyle w:val="TOC2"/>
        <w:rPr>
          <w:rFonts w:asciiTheme="minorHAnsi" w:eastAsiaTheme="minorEastAsia" w:hAnsiTheme="minorHAnsi" w:cstheme="minorBidi"/>
          <w:lang w:bidi="ar-SA"/>
        </w:rPr>
      </w:pPr>
      <w:hyperlink w:anchor="_Toc48252275" w:history="1">
        <w:r w:rsidR="00E8153C" w:rsidRPr="00C12BBA">
          <w:rPr>
            <w:rStyle w:val="Hyperlink"/>
          </w:rPr>
          <w:t>Climate Leadership and Community Protection Act (CLCPA)</w:t>
        </w:r>
        <w:r w:rsidR="00E8153C">
          <w:rPr>
            <w:webHidden/>
          </w:rPr>
          <w:tab/>
        </w:r>
        <w:r w:rsidR="00E8153C">
          <w:rPr>
            <w:webHidden/>
          </w:rPr>
          <w:fldChar w:fldCharType="begin"/>
        </w:r>
        <w:r w:rsidR="00E8153C">
          <w:rPr>
            <w:webHidden/>
          </w:rPr>
          <w:instrText xml:space="preserve"> PAGEREF _Toc48252275 \h </w:instrText>
        </w:r>
        <w:r w:rsidR="00E8153C">
          <w:rPr>
            <w:webHidden/>
          </w:rPr>
        </w:r>
        <w:r w:rsidR="00E8153C">
          <w:rPr>
            <w:webHidden/>
          </w:rPr>
          <w:fldChar w:fldCharType="separate"/>
        </w:r>
        <w:r w:rsidR="00E8153C">
          <w:rPr>
            <w:webHidden/>
          </w:rPr>
          <w:t>12</w:t>
        </w:r>
        <w:r w:rsidR="00E8153C">
          <w:rPr>
            <w:webHidden/>
          </w:rPr>
          <w:fldChar w:fldCharType="end"/>
        </w:r>
      </w:hyperlink>
    </w:p>
    <w:p w14:paraId="58BAB7E2" w14:textId="51E9B568" w:rsidR="00E8153C" w:rsidRDefault="00D517E4">
      <w:pPr>
        <w:pStyle w:val="TOC2"/>
        <w:rPr>
          <w:rFonts w:asciiTheme="minorHAnsi" w:eastAsiaTheme="minorEastAsia" w:hAnsiTheme="minorHAnsi" w:cstheme="minorBidi"/>
          <w:lang w:bidi="ar-SA"/>
        </w:rPr>
      </w:pPr>
      <w:hyperlink w:anchor="_Toc48252276" w:history="1">
        <w:r w:rsidR="00E8153C" w:rsidRPr="00C12BBA">
          <w:rPr>
            <w:rStyle w:val="Hyperlink"/>
          </w:rPr>
          <w:t>Indian Point Deactivation</w:t>
        </w:r>
        <w:r w:rsidR="00E8153C">
          <w:rPr>
            <w:webHidden/>
          </w:rPr>
          <w:tab/>
        </w:r>
        <w:r w:rsidR="00E8153C">
          <w:rPr>
            <w:webHidden/>
          </w:rPr>
          <w:fldChar w:fldCharType="begin"/>
        </w:r>
        <w:r w:rsidR="00E8153C">
          <w:rPr>
            <w:webHidden/>
          </w:rPr>
          <w:instrText xml:space="preserve"> PAGEREF _Toc48252276 \h </w:instrText>
        </w:r>
        <w:r w:rsidR="00E8153C">
          <w:rPr>
            <w:webHidden/>
          </w:rPr>
        </w:r>
        <w:r w:rsidR="00E8153C">
          <w:rPr>
            <w:webHidden/>
          </w:rPr>
          <w:fldChar w:fldCharType="separate"/>
        </w:r>
        <w:r w:rsidR="00E8153C">
          <w:rPr>
            <w:webHidden/>
          </w:rPr>
          <w:t>12</w:t>
        </w:r>
        <w:r w:rsidR="00E8153C">
          <w:rPr>
            <w:webHidden/>
          </w:rPr>
          <w:fldChar w:fldCharType="end"/>
        </w:r>
      </w:hyperlink>
    </w:p>
    <w:p w14:paraId="0E2D4EBE" w14:textId="43FC023A" w:rsidR="00E8153C" w:rsidRDefault="00D517E4">
      <w:pPr>
        <w:pStyle w:val="TOC2"/>
        <w:rPr>
          <w:rFonts w:asciiTheme="minorHAnsi" w:eastAsiaTheme="minorEastAsia" w:hAnsiTheme="minorHAnsi" w:cstheme="minorBidi"/>
          <w:lang w:bidi="ar-SA"/>
        </w:rPr>
      </w:pPr>
      <w:hyperlink w:anchor="_Toc48252277" w:history="1">
        <w:r w:rsidR="00E8153C" w:rsidRPr="00C12BBA">
          <w:rPr>
            <w:rStyle w:val="Hyperlink"/>
          </w:rPr>
          <w:t>Peaker Rule: Ozone Season Oxides of Nitrogen (NO</w:t>
        </w:r>
        <w:r w:rsidR="00E8153C" w:rsidRPr="00C12BBA">
          <w:rPr>
            <w:rStyle w:val="Hyperlink"/>
            <w:vertAlign w:val="subscript"/>
          </w:rPr>
          <w:t>x</w:t>
        </w:r>
        <w:r w:rsidR="00E8153C" w:rsidRPr="00C12BBA">
          <w:rPr>
            <w:rStyle w:val="Hyperlink"/>
          </w:rPr>
          <w:t>) Emission Limits for Simple Cycle and Regenerative Combustion Turbines</w:t>
        </w:r>
        <w:r w:rsidR="00E8153C">
          <w:rPr>
            <w:webHidden/>
          </w:rPr>
          <w:tab/>
        </w:r>
        <w:r w:rsidR="00E8153C">
          <w:rPr>
            <w:webHidden/>
          </w:rPr>
          <w:fldChar w:fldCharType="begin"/>
        </w:r>
        <w:r w:rsidR="00E8153C">
          <w:rPr>
            <w:webHidden/>
          </w:rPr>
          <w:instrText xml:space="preserve"> PAGEREF _Toc48252277 \h </w:instrText>
        </w:r>
        <w:r w:rsidR="00E8153C">
          <w:rPr>
            <w:webHidden/>
          </w:rPr>
        </w:r>
        <w:r w:rsidR="00E8153C">
          <w:rPr>
            <w:webHidden/>
          </w:rPr>
          <w:fldChar w:fldCharType="separate"/>
        </w:r>
        <w:r w:rsidR="00E8153C">
          <w:rPr>
            <w:webHidden/>
          </w:rPr>
          <w:t>13</w:t>
        </w:r>
        <w:r w:rsidR="00E8153C">
          <w:rPr>
            <w:webHidden/>
          </w:rPr>
          <w:fldChar w:fldCharType="end"/>
        </w:r>
      </w:hyperlink>
    </w:p>
    <w:p w14:paraId="7B32893D" w14:textId="3A304459" w:rsidR="00E8153C" w:rsidRDefault="00D517E4">
      <w:pPr>
        <w:pStyle w:val="TOC2"/>
        <w:rPr>
          <w:rFonts w:asciiTheme="minorHAnsi" w:eastAsiaTheme="minorEastAsia" w:hAnsiTheme="minorHAnsi" w:cstheme="minorBidi"/>
          <w:lang w:bidi="ar-SA"/>
        </w:rPr>
      </w:pPr>
      <w:hyperlink w:anchor="_Toc48252278" w:history="1">
        <w:r w:rsidR="00E8153C" w:rsidRPr="00C12BBA">
          <w:rPr>
            <w:rStyle w:val="Hyperlink"/>
          </w:rPr>
          <w:t>New York City Residual Oil Elimination</w:t>
        </w:r>
        <w:r w:rsidR="00E8153C">
          <w:rPr>
            <w:webHidden/>
          </w:rPr>
          <w:tab/>
        </w:r>
        <w:r w:rsidR="00E8153C">
          <w:rPr>
            <w:webHidden/>
          </w:rPr>
          <w:fldChar w:fldCharType="begin"/>
        </w:r>
        <w:r w:rsidR="00E8153C">
          <w:rPr>
            <w:webHidden/>
          </w:rPr>
          <w:instrText xml:space="preserve"> PAGEREF _Toc48252278 \h </w:instrText>
        </w:r>
        <w:r w:rsidR="00E8153C">
          <w:rPr>
            <w:webHidden/>
          </w:rPr>
        </w:r>
        <w:r w:rsidR="00E8153C">
          <w:rPr>
            <w:webHidden/>
          </w:rPr>
          <w:fldChar w:fldCharType="separate"/>
        </w:r>
        <w:r w:rsidR="00E8153C">
          <w:rPr>
            <w:webHidden/>
          </w:rPr>
          <w:t>14</w:t>
        </w:r>
        <w:r w:rsidR="00E8153C">
          <w:rPr>
            <w:webHidden/>
          </w:rPr>
          <w:fldChar w:fldCharType="end"/>
        </w:r>
      </w:hyperlink>
    </w:p>
    <w:p w14:paraId="5CC7EE88" w14:textId="6332CD3B" w:rsidR="00E8153C" w:rsidRDefault="00D517E4">
      <w:pPr>
        <w:pStyle w:val="TOC2"/>
        <w:rPr>
          <w:rFonts w:asciiTheme="minorHAnsi" w:eastAsiaTheme="minorEastAsia" w:hAnsiTheme="minorHAnsi" w:cstheme="minorBidi"/>
          <w:lang w:bidi="ar-SA"/>
        </w:rPr>
      </w:pPr>
      <w:hyperlink w:anchor="_Toc48252279" w:history="1">
        <w:r w:rsidR="00E8153C" w:rsidRPr="00C12BBA">
          <w:rPr>
            <w:rStyle w:val="Hyperlink"/>
          </w:rPr>
          <w:t>Carbon Dioxide Performance Standards for Major Electric Generating Facilities</w:t>
        </w:r>
        <w:r w:rsidR="00E8153C">
          <w:rPr>
            <w:webHidden/>
          </w:rPr>
          <w:tab/>
        </w:r>
        <w:r w:rsidR="00E8153C">
          <w:rPr>
            <w:webHidden/>
          </w:rPr>
          <w:fldChar w:fldCharType="begin"/>
        </w:r>
        <w:r w:rsidR="00E8153C">
          <w:rPr>
            <w:webHidden/>
          </w:rPr>
          <w:instrText xml:space="preserve"> PAGEREF _Toc48252279 \h </w:instrText>
        </w:r>
        <w:r w:rsidR="00E8153C">
          <w:rPr>
            <w:webHidden/>
          </w:rPr>
        </w:r>
        <w:r w:rsidR="00E8153C">
          <w:rPr>
            <w:webHidden/>
          </w:rPr>
          <w:fldChar w:fldCharType="separate"/>
        </w:r>
        <w:r w:rsidR="00E8153C">
          <w:rPr>
            <w:webHidden/>
          </w:rPr>
          <w:t>14</w:t>
        </w:r>
        <w:r w:rsidR="00E8153C">
          <w:rPr>
            <w:webHidden/>
          </w:rPr>
          <w:fldChar w:fldCharType="end"/>
        </w:r>
      </w:hyperlink>
    </w:p>
    <w:p w14:paraId="7D16BD88" w14:textId="457102E5" w:rsidR="00E8153C" w:rsidRDefault="00D517E4">
      <w:pPr>
        <w:pStyle w:val="TOC2"/>
        <w:rPr>
          <w:rFonts w:asciiTheme="minorHAnsi" w:eastAsiaTheme="minorEastAsia" w:hAnsiTheme="minorHAnsi" w:cstheme="minorBidi"/>
          <w:lang w:bidi="ar-SA"/>
        </w:rPr>
      </w:pPr>
      <w:hyperlink w:anchor="_Toc48252280" w:history="1">
        <w:r w:rsidR="00E8153C" w:rsidRPr="00C12BBA">
          <w:rPr>
            <w:rStyle w:val="Hyperlink"/>
          </w:rPr>
          <w:t>Regional Greenhouse Gas Initiative (RGGI)</w:t>
        </w:r>
        <w:r w:rsidR="00E8153C">
          <w:rPr>
            <w:webHidden/>
          </w:rPr>
          <w:tab/>
        </w:r>
        <w:r w:rsidR="00E8153C">
          <w:rPr>
            <w:webHidden/>
          </w:rPr>
          <w:fldChar w:fldCharType="begin"/>
        </w:r>
        <w:r w:rsidR="00E8153C">
          <w:rPr>
            <w:webHidden/>
          </w:rPr>
          <w:instrText xml:space="preserve"> PAGEREF _Toc48252280 \h </w:instrText>
        </w:r>
        <w:r w:rsidR="00E8153C">
          <w:rPr>
            <w:webHidden/>
          </w:rPr>
        </w:r>
        <w:r w:rsidR="00E8153C">
          <w:rPr>
            <w:webHidden/>
          </w:rPr>
          <w:fldChar w:fldCharType="separate"/>
        </w:r>
        <w:r w:rsidR="00E8153C">
          <w:rPr>
            <w:webHidden/>
          </w:rPr>
          <w:t>14</w:t>
        </w:r>
        <w:r w:rsidR="00E8153C">
          <w:rPr>
            <w:webHidden/>
          </w:rPr>
          <w:fldChar w:fldCharType="end"/>
        </w:r>
      </w:hyperlink>
    </w:p>
    <w:p w14:paraId="6C71FA59" w14:textId="09CC5923" w:rsidR="00E8153C" w:rsidRDefault="00D517E4">
      <w:pPr>
        <w:pStyle w:val="TOC2"/>
        <w:rPr>
          <w:rFonts w:asciiTheme="minorHAnsi" w:eastAsiaTheme="minorEastAsia" w:hAnsiTheme="minorHAnsi" w:cstheme="minorBidi"/>
          <w:lang w:bidi="ar-SA"/>
        </w:rPr>
      </w:pPr>
      <w:hyperlink w:anchor="_Toc48252281" w:history="1">
        <w:r w:rsidR="00E8153C" w:rsidRPr="00C12BBA">
          <w:rPr>
            <w:rStyle w:val="Hyperlink"/>
          </w:rPr>
          <w:t>NYS Accelerated Renewable Energy Growth and Community Benefit Act</w:t>
        </w:r>
        <w:r w:rsidR="00E8153C">
          <w:rPr>
            <w:webHidden/>
          </w:rPr>
          <w:tab/>
        </w:r>
        <w:r w:rsidR="00E8153C">
          <w:rPr>
            <w:webHidden/>
          </w:rPr>
          <w:fldChar w:fldCharType="begin"/>
        </w:r>
        <w:r w:rsidR="00E8153C">
          <w:rPr>
            <w:webHidden/>
          </w:rPr>
          <w:instrText xml:space="preserve"> PAGEREF _Toc48252281 \h </w:instrText>
        </w:r>
        <w:r w:rsidR="00E8153C">
          <w:rPr>
            <w:webHidden/>
          </w:rPr>
        </w:r>
        <w:r w:rsidR="00E8153C">
          <w:rPr>
            <w:webHidden/>
          </w:rPr>
          <w:fldChar w:fldCharType="separate"/>
        </w:r>
        <w:r w:rsidR="00E8153C">
          <w:rPr>
            <w:webHidden/>
          </w:rPr>
          <w:t>15</w:t>
        </w:r>
        <w:r w:rsidR="00E8153C">
          <w:rPr>
            <w:webHidden/>
          </w:rPr>
          <w:fldChar w:fldCharType="end"/>
        </w:r>
      </w:hyperlink>
    </w:p>
    <w:p w14:paraId="6B9E108E" w14:textId="4EA2BC26"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82" w:history="1">
        <w:r w:rsidR="00E8153C" w:rsidRPr="00C12BBA">
          <w:rPr>
            <w:rStyle w:val="Hyperlink"/>
            <w:noProof/>
          </w:rPr>
          <w:t>5.</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Base Case Assumptions</w:t>
        </w:r>
        <w:r w:rsidR="00E8153C">
          <w:rPr>
            <w:noProof/>
            <w:webHidden/>
          </w:rPr>
          <w:tab/>
        </w:r>
        <w:r w:rsidR="00E8153C">
          <w:rPr>
            <w:noProof/>
            <w:webHidden/>
          </w:rPr>
          <w:fldChar w:fldCharType="begin"/>
        </w:r>
        <w:r w:rsidR="00E8153C">
          <w:rPr>
            <w:noProof/>
            <w:webHidden/>
          </w:rPr>
          <w:instrText xml:space="preserve"> PAGEREF _Toc48252282 \h </w:instrText>
        </w:r>
        <w:r w:rsidR="00E8153C">
          <w:rPr>
            <w:noProof/>
            <w:webHidden/>
          </w:rPr>
        </w:r>
        <w:r w:rsidR="00E8153C">
          <w:rPr>
            <w:noProof/>
            <w:webHidden/>
          </w:rPr>
          <w:fldChar w:fldCharType="separate"/>
        </w:r>
        <w:r w:rsidR="00E8153C">
          <w:rPr>
            <w:noProof/>
            <w:webHidden/>
          </w:rPr>
          <w:t>16</w:t>
        </w:r>
        <w:r w:rsidR="00E8153C">
          <w:rPr>
            <w:noProof/>
            <w:webHidden/>
          </w:rPr>
          <w:fldChar w:fldCharType="end"/>
        </w:r>
      </w:hyperlink>
    </w:p>
    <w:p w14:paraId="29EE0AE7" w14:textId="4F690077" w:rsidR="00E8153C" w:rsidRDefault="00D517E4">
      <w:pPr>
        <w:pStyle w:val="TOC2"/>
        <w:rPr>
          <w:rFonts w:asciiTheme="minorHAnsi" w:eastAsiaTheme="minorEastAsia" w:hAnsiTheme="minorHAnsi" w:cstheme="minorBidi"/>
          <w:lang w:bidi="ar-SA"/>
        </w:rPr>
      </w:pPr>
      <w:hyperlink w:anchor="_Toc48252283" w:history="1">
        <w:r w:rsidR="00E8153C" w:rsidRPr="00C12BBA">
          <w:rPr>
            <w:rStyle w:val="Hyperlink"/>
          </w:rPr>
          <w:t>Annual Energy and Summer Peak Demand Forecasts</w:t>
        </w:r>
        <w:r w:rsidR="00E8153C">
          <w:rPr>
            <w:webHidden/>
          </w:rPr>
          <w:tab/>
        </w:r>
        <w:r w:rsidR="00E8153C">
          <w:rPr>
            <w:webHidden/>
          </w:rPr>
          <w:fldChar w:fldCharType="begin"/>
        </w:r>
        <w:r w:rsidR="00E8153C">
          <w:rPr>
            <w:webHidden/>
          </w:rPr>
          <w:instrText xml:space="preserve"> PAGEREF _Toc48252283 \h </w:instrText>
        </w:r>
        <w:r w:rsidR="00E8153C">
          <w:rPr>
            <w:webHidden/>
          </w:rPr>
        </w:r>
        <w:r w:rsidR="00E8153C">
          <w:rPr>
            <w:webHidden/>
          </w:rPr>
          <w:fldChar w:fldCharType="separate"/>
        </w:r>
        <w:r w:rsidR="00E8153C">
          <w:rPr>
            <w:webHidden/>
          </w:rPr>
          <w:t>17</w:t>
        </w:r>
        <w:r w:rsidR="00E8153C">
          <w:rPr>
            <w:webHidden/>
          </w:rPr>
          <w:fldChar w:fldCharType="end"/>
        </w:r>
      </w:hyperlink>
    </w:p>
    <w:p w14:paraId="2C250860" w14:textId="3ECE8867" w:rsidR="00E8153C" w:rsidRDefault="00D517E4">
      <w:pPr>
        <w:pStyle w:val="TOC2"/>
        <w:rPr>
          <w:rFonts w:asciiTheme="minorHAnsi" w:eastAsiaTheme="minorEastAsia" w:hAnsiTheme="minorHAnsi" w:cstheme="minorBidi"/>
          <w:lang w:bidi="ar-SA"/>
        </w:rPr>
      </w:pPr>
      <w:hyperlink w:anchor="_Toc48252284" w:history="1">
        <w:r w:rsidR="00E8153C" w:rsidRPr="00C12BBA">
          <w:rPr>
            <w:rStyle w:val="Hyperlink"/>
          </w:rPr>
          <w:t>Forecast of Special Case Resources</w:t>
        </w:r>
        <w:r w:rsidR="00E8153C">
          <w:rPr>
            <w:webHidden/>
          </w:rPr>
          <w:tab/>
        </w:r>
        <w:r w:rsidR="00E8153C">
          <w:rPr>
            <w:webHidden/>
          </w:rPr>
          <w:fldChar w:fldCharType="begin"/>
        </w:r>
        <w:r w:rsidR="00E8153C">
          <w:rPr>
            <w:webHidden/>
          </w:rPr>
          <w:instrText xml:space="preserve"> PAGEREF _Toc48252284 \h </w:instrText>
        </w:r>
        <w:r w:rsidR="00E8153C">
          <w:rPr>
            <w:webHidden/>
          </w:rPr>
        </w:r>
        <w:r w:rsidR="00E8153C">
          <w:rPr>
            <w:webHidden/>
          </w:rPr>
          <w:fldChar w:fldCharType="separate"/>
        </w:r>
        <w:r w:rsidR="00E8153C">
          <w:rPr>
            <w:webHidden/>
          </w:rPr>
          <w:t>24</w:t>
        </w:r>
        <w:r w:rsidR="00E8153C">
          <w:rPr>
            <w:webHidden/>
          </w:rPr>
          <w:fldChar w:fldCharType="end"/>
        </w:r>
      </w:hyperlink>
    </w:p>
    <w:p w14:paraId="23BF1727" w14:textId="2E347769" w:rsidR="00E8153C" w:rsidRDefault="00D517E4">
      <w:pPr>
        <w:pStyle w:val="TOC2"/>
        <w:rPr>
          <w:rFonts w:asciiTheme="minorHAnsi" w:eastAsiaTheme="minorEastAsia" w:hAnsiTheme="minorHAnsi" w:cstheme="minorBidi"/>
          <w:lang w:bidi="ar-SA"/>
        </w:rPr>
      </w:pPr>
      <w:hyperlink w:anchor="_Toc48252285" w:history="1">
        <w:r w:rsidR="00E8153C" w:rsidRPr="00C12BBA">
          <w:rPr>
            <w:rStyle w:val="Hyperlink"/>
          </w:rPr>
          <w:t>2020 RNA Resource Additions and Removals</w:t>
        </w:r>
        <w:r w:rsidR="00E8153C">
          <w:rPr>
            <w:webHidden/>
          </w:rPr>
          <w:tab/>
        </w:r>
        <w:r w:rsidR="00E8153C">
          <w:rPr>
            <w:webHidden/>
          </w:rPr>
          <w:fldChar w:fldCharType="begin"/>
        </w:r>
        <w:r w:rsidR="00E8153C">
          <w:rPr>
            <w:webHidden/>
          </w:rPr>
          <w:instrText xml:space="preserve"> PAGEREF _Toc48252285 \h </w:instrText>
        </w:r>
        <w:r w:rsidR="00E8153C">
          <w:rPr>
            <w:webHidden/>
          </w:rPr>
        </w:r>
        <w:r w:rsidR="00E8153C">
          <w:rPr>
            <w:webHidden/>
          </w:rPr>
          <w:fldChar w:fldCharType="separate"/>
        </w:r>
        <w:r w:rsidR="00E8153C">
          <w:rPr>
            <w:webHidden/>
          </w:rPr>
          <w:t>24</w:t>
        </w:r>
        <w:r w:rsidR="00E8153C">
          <w:rPr>
            <w:webHidden/>
          </w:rPr>
          <w:fldChar w:fldCharType="end"/>
        </w:r>
      </w:hyperlink>
    </w:p>
    <w:p w14:paraId="74E8098F" w14:textId="5BB0BAEC" w:rsidR="00E8153C" w:rsidRDefault="00D517E4">
      <w:pPr>
        <w:pStyle w:val="TOC2"/>
        <w:rPr>
          <w:rFonts w:asciiTheme="minorHAnsi" w:eastAsiaTheme="minorEastAsia" w:hAnsiTheme="minorHAnsi" w:cstheme="minorBidi"/>
          <w:lang w:bidi="ar-SA"/>
        </w:rPr>
      </w:pPr>
      <w:hyperlink w:anchor="_Toc48252286" w:history="1">
        <w:r w:rsidR="00E8153C" w:rsidRPr="00C12BBA">
          <w:rPr>
            <w:rStyle w:val="Hyperlink"/>
          </w:rPr>
          <w:t>Additional Proposed Projects from the Interconnection Queue</w:t>
        </w:r>
        <w:r w:rsidR="00E8153C">
          <w:rPr>
            <w:webHidden/>
          </w:rPr>
          <w:tab/>
        </w:r>
        <w:r w:rsidR="00E8153C">
          <w:rPr>
            <w:webHidden/>
          </w:rPr>
          <w:fldChar w:fldCharType="begin"/>
        </w:r>
        <w:r w:rsidR="00E8153C">
          <w:rPr>
            <w:webHidden/>
          </w:rPr>
          <w:instrText xml:space="preserve"> PAGEREF _Toc48252286 \h </w:instrText>
        </w:r>
        <w:r w:rsidR="00E8153C">
          <w:rPr>
            <w:webHidden/>
          </w:rPr>
        </w:r>
        <w:r w:rsidR="00E8153C">
          <w:rPr>
            <w:webHidden/>
          </w:rPr>
          <w:fldChar w:fldCharType="separate"/>
        </w:r>
        <w:r w:rsidR="00E8153C">
          <w:rPr>
            <w:webHidden/>
          </w:rPr>
          <w:t>29</w:t>
        </w:r>
        <w:r w:rsidR="00E8153C">
          <w:rPr>
            <w:webHidden/>
          </w:rPr>
          <w:fldChar w:fldCharType="end"/>
        </w:r>
      </w:hyperlink>
    </w:p>
    <w:p w14:paraId="04C39D5A" w14:textId="3EA04604" w:rsidR="00E8153C" w:rsidRDefault="00D517E4">
      <w:pPr>
        <w:pStyle w:val="TOC2"/>
        <w:rPr>
          <w:rFonts w:asciiTheme="minorHAnsi" w:eastAsiaTheme="minorEastAsia" w:hAnsiTheme="minorHAnsi" w:cstheme="minorBidi"/>
          <w:lang w:bidi="ar-SA"/>
        </w:rPr>
      </w:pPr>
      <w:hyperlink w:anchor="_Toc48252287" w:history="1">
        <w:r w:rsidR="00E8153C" w:rsidRPr="00C12BBA">
          <w:rPr>
            <w:rStyle w:val="Hyperlink"/>
          </w:rPr>
          <w:t>Local Transmission Plans</w:t>
        </w:r>
        <w:r w:rsidR="00E8153C">
          <w:rPr>
            <w:webHidden/>
          </w:rPr>
          <w:tab/>
        </w:r>
        <w:r w:rsidR="00E8153C">
          <w:rPr>
            <w:webHidden/>
          </w:rPr>
          <w:fldChar w:fldCharType="begin"/>
        </w:r>
        <w:r w:rsidR="00E8153C">
          <w:rPr>
            <w:webHidden/>
          </w:rPr>
          <w:instrText xml:space="preserve"> PAGEREF _Toc48252287 \h </w:instrText>
        </w:r>
        <w:r w:rsidR="00E8153C">
          <w:rPr>
            <w:webHidden/>
          </w:rPr>
        </w:r>
        <w:r w:rsidR="00E8153C">
          <w:rPr>
            <w:webHidden/>
          </w:rPr>
          <w:fldChar w:fldCharType="separate"/>
        </w:r>
        <w:r w:rsidR="00E8153C">
          <w:rPr>
            <w:webHidden/>
          </w:rPr>
          <w:t>33</w:t>
        </w:r>
        <w:r w:rsidR="00E8153C">
          <w:rPr>
            <w:webHidden/>
          </w:rPr>
          <w:fldChar w:fldCharType="end"/>
        </w:r>
      </w:hyperlink>
    </w:p>
    <w:p w14:paraId="5F783679" w14:textId="0BCD24B6" w:rsidR="00E8153C" w:rsidRDefault="00D517E4">
      <w:pPr>
        <w:pStyle w:val="TOC2"/>
        <w:rPr>
          <w:rFonts w:asciiTheme="minorHAnsi" w:eastAsiaTheme="minorEastAsia" w:hAnsiTheme="minorHAnsi" w:cstheme="minorBidi"/>
          <w:lang w:bidi="ar-SA"/>
        </w:rPr>
      </w:pPr>
      <w:hyperlink w:anchor="_Toc48252288" w:history="1">
        <w:r w:rsidR="00E8153C" w:rsidRPr="00C12BBA">
          <w:rPr>
            <w:rStyle w:val="Hyperlink"/>
          </w:rPr>
          <w:t>Bulk Transmission Projects</w:t>
        </w:r>
        <w:r w:rsidR="00E8153C">
          <w:rPr>
            <w:webHidden/>
          </w:rPr>
          <w:tab/>
        </w:r>
        <w:r w:rsidR="00E8153C">
          <w:rPr>
            <w:webHidden/>
          </w:rPr>
          <w:fldChar w:fldCharType="begin"/>
        </w:r>
        <w:r w:rsidR="00E8153C">
          <w:rPr>
            <w:webHidden/>
          </w:rPr>
          <w:instrText xml:space="preserve"> PAGEREF _Toc48252288 \h </w:instrText>
        </w:r>
        <w:r w:rsidR="00E8153C">
          <w:rPr>
            <w:webHidden/>
          </w:rPr>
        </w:r>
        <w:r w:rsidR="00E8153C">
          <w:rPr>
            <w:webHidden/>
          </w:rPr>
          <w:fldChar w:fldCharType="separate"/>
        </w:r>
        <w:r w:rsidR="00E8153C">
          <w:rPr>
            <w:webHidden/>
          </w:rPr>
          <w:t>34</w:t>
        </w:r>
        <w:r w:rsidR="00E8153C">
          <w:rPr>
            <w:webHidden/>
          </w:rPr>
          <w:fldChar w:fldCharType="end"/>
        </w:r>
      </w:hyperlink>
    </w:p>
    <w:p w14:paraId="21CEA350" w14:textId="75FEF2CB" w:rsidR="00E8153C" w:rsidRDefault="00D517E4">
      <w:pPr>
        <w:pStyle w:val="TOC2"/>
        <w:rPr>
          <w:rFonts w:asciiTheme="minorHAnsi" w:eastAsiaTheme="minorEastAsia" w:hAnsiTheme="minorHAnsi" w:cstheme="minorBidi"/>
          <w:lang w:bidi="ar-SA"/>
        </w:rPr>
      </w:pPr>
      <w:hyperlink w:anchor="_Toc48252289" w:history="1">
        <w:r w:rsidR="00E8153C" w:rsidRPr="00C12BBA">
          <w:rPr>
            <w:rStyle w:val="Hyperlink"/>
          </w:rPr>
          <w:t>Base Case Peak Load and Resources Summaries</w:t>
        </w:r>
        <w:r w:rsidR="00E8153C">
          <w:rPr>
            <w:webHidden/>
          </w:rPr>
          <w:tab/>
        </w:r>
        <w:r w:rsidR="00E8153C">
          <w:rPr>
            <w:webHidden/>
          </w:rPr>
          <w:fldChar w:fldCharType="begin"/>
        </w:r>
        <w:r w:rsidR="00E8153C">
          <w:rPr>
            <w:webHidden/>
          </w:rPr>
          <w:instrText xml:space="preserve"> PAGEREF _Toc48252289 \h </w:instrText>
        </w:r>
        <w:r w:rsidR="00E8153C">
          <w:rPr>
            <w:webHidden/>
          </w:rPr>
        </w:r>
        <w:r w:rsidR="00E8153C">
          <w:rPr>
            <w:webHidden/>
          </w:rPr>
          <w:fldChar w:fldCharType="separate"/>
        </w:r>
        <w:r w:rsidR="00E8153C">
          <w:rPr>
            <w:webHidden/>
          </w:rPr>
          <w:t>34</w:t>
        </w:r>
        <w:r w:rsidR="00E8153C">
          <w:rPr>
            <w:webHidden/>
          </w:rPr>
          <w:fldChar w:fldCharType="end"/>
        </w:r>
      </w:hyperlink>
    </w:p>
    <w:p w14:paraId="0F5C085C" w14:textId="513B7B18"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290" w:history="1">
        <w:r w:rsidR="00E8153C" w:rsidRPr="00C12BBA">
          <w:rPr>
            <w:rStyle w:val="Hyperlink"/>
            <w:noProof/>
          </w:rPr>
          <w:t>6.</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Base Case Reliability Needs Assessments</w:t>
        </w:r>
        <w:r w:rsidR="00E8153C">
          <w:rPr>
            <w:noProof/>
            <w:webHidden/>
          </w:rPr>
          <w:tab/>
        </w:r>
        <w:r w:rsidR="00E8153C">
          <w:rPr>
            <w:noProof/>
            <w:webHidden/>
          </w:rPr>
          <w:fldChar w:fldCharType="begin"/>
        </w:r>
        <w:r w:rsidR="00E8153C">
          <w:rPr>
            <w:noProof/>
            <w:webHidden/>
          </w:rPr>
          <w:instrText xml:space="preserve"> PAGEREF _Toc48252290 \h </w:instrText>
        </w:r>
        <w:r w:rsidR="00E8153C">
          <w:rPr>
            <w:noProof/>
            <w:webHidden/>
          </w:rPr>
        </w:r>
        <w:r w:rsidR="00E8153C">
          <w:rPr>
            <w:noProof/>
            <w:webHidden/>
          </w:rPr>
          <w:fldChar w:fldCharType="separate"/>
        </w:r>
        <w:r w:rsidR="00E8153C">
          <w:rPr>
            <w:noProof/>
            <w:webHidden/>
          </w:rPr>
          <w:t>38</w:t>
        </w:r>
        <w:r w:rsidR="00E8153C">
          <w:rPr>
            <w:noProof/>
            <w:webHidden/>
          </w:rPr>
          <w:fldChar w:fldCharType="end"/>
        </w:r>
      </w:hyperlink>
    </w:p>
    <w:p w14:paraId="58B97229" w14:textId="74C5DD1E" w:rsidR="00E8153C" w:rsidRDefault="00D517E4">
      <w:pPr>
        <w:pStyle w:val="TOC2"/>
        <w:rPr>
          <w:rFonts w:asciiTheme="minorHAnsi" w:eastAsiaTheme="minorEastAsia" w:hAnsiTheme="minorHAnsi" w:cstheme="minorBidi"/>
          <w:lang w:bidi="ar-SA"/>
        </w:rPr>
      </w:pPr>
      <w:hyperlink w:anchor="_Toc48252291" w:history="1">
        <w:r w:rsidR="00E8153C" w:rsidRPr="00C12BBA">
          <w:rPr>
            <w:rStyle w:val="Hyperlink"/>
          </w:rPr>
          <w:t>Overview</w:t>
        </w:r>
        <w:r w:rsidR="00E8153C">
          <w:rPr>
            <w:webHidden/>
          </w:rPr>
          <w:tab/>
        </w:r>
        <w:r w:rsidR="00E8153C">
          <w:rPr>
            <w:webHidden/>
          </w:rPr>
          <w:fldChar w:fldCharType="begin"/>
        </w:r>
        <w:r w:rsidR="00E8153C">
          <w:rPr>
            <w:webHidden/>
          </w:rPr>
          <w:instrText xml:space="preserve"> PAGEREF _Toc48252291 \h </w:instrText>
        </w:r>
        <w:r w:rsidR="00E8153C">
          <w:rPr>
            <w:webHidden/>
          </w:rPr>
        </w:r>
        <w:r w:rsidR="00E8153C">
          <w:rPr>
            <w:webHidden/>
          </w:rPr>
          <w:fldChar w:fldCharType="separate"/>
        </w:r>
        <w:r w:rsidR="00E8153C">
          <w:rPr>
            <w:webHidden/>
          </w:rPr>
          <w:t>38</w:t>
        </w:r>
        <w:r w:rsidR="00E8153C">
          <w:rPr>
            <w:webHidden/>
          </w:rPr>
          <w:fldChar w:fldCharType="end"/>
        </w:r>
      </w:hyperlink>
    </w:p>
    <w:p w14:paraId="5D5D6656" w14:textId="02D0F0D3" w:rsidR="00E8153C" w:rsidRDefault="00D517E4">
      <w:pPr>
        <w:pStyle w:val="TOC2"/>
        <w:rPr>
          <w:rFonts w:asciiTheme="minorHAnsi" w:eastAsiaTheme="minorEastAsia" w:hAnsiTheme="minorHAnsi" w:cstheme="minorBidi"/>
          <w:lang w:bidi="ar-SA"/>
        </w:rPr>
      </w:pPr>
      <w:hyperlink w:anchor="_Toc48252292" w:history="1">
        <w:r w:rsidR="00E8153C" w:rsidRPr="00C12BBA">
          <w:rPr>
            <w:rStyle w:val="Hyperlink"/>
          </w:rPr>
          <w:t>Methodology for the Determination of Needs</w:t>
        </w:r>
        <w:r w:rsidR="00E8153C">
          <w:rPr>
            <w:webHidden/>
          </w:rPr>
          <w:tab/>
        </w:r>
        <w:r w:rsidR="00E8153C">
          <w:rPr>
            <w:webHidden/>
          </w:rPr>
          <w:fldChar w:fldCharType="begin"/>
        </w:r>
        <w:r w:rsidR="00E8153C">
          <w:rPr>
            <w:webHidden/>
          </w:rPr>
          <w:instrText xml:space="preserve"> PAGEREF _Toc48252292 \h </w:instrText>
        </w:r>
        <w:r w:rsidR="00E8153C">
          <w:rPr>
            <w:webHidden/>
          </w:rPr>
        </w:r>
        <w:r w:rsidR="00E8153C">
          <w:rPr>
            <w:webHidden/>
          </w:rPr>
          <w:fldChar w:fldCharType="separate"/>
        </w:r>
        <w:r w:rsidR="00E8153C">
          <w:rPr>
            <w:webHidden/>
          </w:rPr>
          <w:t>38</w:t>
        </w:r>
        <w:r w:rsidR="00E8153C">
          <w:rPr>
            <w:webHidden/>
          </w:rPr>
          <w:fldChar w:fldCharType="end"/>
        </w:r>
      </w:hyperlink>
    </w:p>
    <w:p w14:paraId="632BCA1B" w14:textId="596BF871" w:rsidR="00E8153C" w:rsidRDefault="00D517E4">
      <w:pPr>
        <w:pStyle w:val="TOC2"/>
        <w:rPr>
          <w:rFonts w:asciiTheme="minorHAnsi" w:eastAsiaTheme="minorEastAsia" w:hAnsiTheme="minorHAnsi" w:cstheme="minorBidi"/>
          <w:lang w:bidi="ar-SA"/>
        </w:rPr>
      </w:pPr>
      <w:hyperlink w:anchor="_Toc48252293" w:history="1">
        <w:r w:rsidR="00E8153C" w:rsidRPr="00C12BBA">
          <w:rPr>
            <w:rStyle w:val="Hyperlink"/>
          </w:rPr>
          <w:t>Resource Adequacy Base Case Assessments</w:t>
        </w:r>
        <w:r w:rsidR="00E8153C">
          <w:rPr>
            <w:webHidden/>
          </w:rPr>
          <w:tab/>
        </w:r>
        <w:r w:rsidR="00E8153C">
          <w:rPr>
            <w:webHidden/>
          </w:rPr>
          <w:fldChar w:fldCharType="begin"/>
        </w:r>
        <w:r w:rsidR="00E8153C">
          <w:rPr>
            <w:webHidden/>
          </w:rPr>
          <w:instrText xml:space="preserve"> PAGEREF _Toc48252293 \h </w:instrText>
        </w:r>
        <w:r w:rsidR="00E8153C">
          <w:rPr>
            <w:webHidden/>
          </w:rPr>
        </w:r>
        <w:r w:rsidR="00E8153C">
          <w:rPr>
            <w:webHidden/>
          </w:rPr>
          <w:fldChar w:fldCharType="separate"/>
        </w:r>
        <w:r w:rsidR="00E8153C">
          <w:rPr>
            <w:webHidden/>
          </w:rPr>
          <w:t>40</w:t>
        </w:r>
        <w:r w:rsidR="00E8153C">
          <w:rPr>
            <w:webHidden/>
          </w:rPr>
          <w:fldChar w:fldCharType="end"/>
        </w:r>
      </w:hyperlink>
    </w:p>
    <w:p w14:paraId="21F557FC" w14:textId="1169FF90" w:rsidR="00E8153C" w:rsidRDefault="00D517E4">
      <w:pPr>
        <w:pStyle w:val="TOC3"/>
        <w:rPr>
          <w:rFonts w:asciiTheme="minorHAnsi" w:eastAsiaTheme="minorEastAsia" w:hAnsiTheme="minorHAnsi" w:cstheme="minorBidi"/>
          <w:i w:val="0"/>
          <w:iCs w:val="0"/>
          <w:noProof/>
          <w:sz w:val="22"/>
          <w:szCs w:val="22"/>
          <w:lang w:bidi="ar-SA"/>
        </w:rPr>
      </w:pPr>
      <w:hyperlink w:anchor="_Toc48252294" w:history="1">
        <w:r w:rsidR="00E8153C" w:rsidRPr="00C12BBA">
          <w:rPr>
            <w:rStyle w:val="Hyperlink"/>
            <w:noProof/>
          </w:rPr>
          <w:t>Resource Adequacy Simulations Conclusions</w:t>
        </w:r>
        <w:r w:rsidR="00E8153C">
          <w:rPr>
            <w:noProof/>
            <w:webHidden/>
          </w:rPr>
          <w:tab/>
        </w:r>
        <w:r w:rsidR="00E8153C">
          <w:rPr>
            <w:noProof/>
            <w:webHidden/>
          </w:rPr>
          <w:fldChar w:fldCharType="begin"/>
        </w:r>
        <w:r w:rsidR="00E8153C">
          <w:rPr>
            <w:noProof/>
            <w:webHidden/>
          </w:rPr>
          <w:instrText xml:space="preserve"> PAGEREF _Toc48252294 \h </w:instrText>
        </w:r>
        <w:r w:rsidR="00E8153C">
          <w:rPr>
            <w:noProof/>
            <w:webHidden/>
          </w:rPr>
        </w:r>
        <w:r w:rsidR="00E8153C">
          <w:rPr>
            <w:noProof/>
            <w:webHidden/>
          </w:rPr>
          <w:fldChar w:fldCharType="separate"/>
        </w:r>
        <w:r w:rsidR="00E8153C">
          <w:rPr>
            <w:noProof/>
            <w:webHidden/>
          </w:rPr>
          <w:t>52</w:t>
        </w:r>
        <w:r w:rsidR="00E8153C">
          <w:rPr>
            <w:noProof/>
            <w:webHidden/>
          </w:rPr>
          <w:fldChar w:fldCharType="end"/>
        </w:r>
      </w:hyperlink>
    </w:p>
    <w:p w14:paraId="5C3D20C8" w14:textId="6DA17CB1" w:rsidR="00E8153C" w:rsidRDefault="00D517E4">
      <w:pPr>
        <w:pStyle w:val="TOC2"/>
        <w:rPr>
          <w:rFonts w:asciiTheme="minorHAnsi" w:eastAsiaTheme="minorEastAsia" w:hAnsiTheme="minorHAnsi" w:cstheme="minorBidi"/>
          <w:lang w:bidi="ar-SA"/>
        </w:rPr>
      </w:pPr>
      <w:hyperlink w:anchor="_Toc48252295" w:history="1">
        <w:r w:rsidR="00E8153C" w:rsidRPr="00C12BBA">
          <w:rPr>
            <w:rStyle w:val="Hyperlink"/>
          </w:rPr>
          <w:t>Transmission Security Base Case Assessments</w:t>
        </w:r>
        <w:r w:rsidR="00E8153C">
          <w:rPr>
            <w:webHidden/>
          </w:rPr>
          <w:tab/>
        </w:r>
        <w:r w:rsidR="00E8153C">
          <w:rPr>
            <w:webHidden/>
          </w:rPr>
          <w:fldChar w:fldCharType="begin"/>
        </w:r>
        <w:r w:rsidR="00E8153C">
          <w:rPr>
            <w:webHidden/>
          </w:rPr>
          <w:instrText xml:space="preserve"> PAGEREF _Toc48252295 \h </w:instrText>
        </w:r>
        <w:r w:rsidR="00E8153C">
          <w:rPr>
            <w:webHidden/>
          </w:rPr>
        </w:r>
        <w:r w:rsidR="00E8153C">
          <w:rPr>
            <w:webHidden/>
          </w:rPr>
          <w:fldChar w:fldCharType="separate"/>
        </w:r>
        <w:r w:rsidR="00E8153C">
          <w:rPr>
            <w:webHidden/>
          </w:rPr>
          <w:t>52</w:t>
        </w:r>
        <w:r w:rsidR="00E8153C">
          <w:rPr>
            <w:webHidden/>
          </w:rPr>
          <w:fldChar w:fldCharType="end"/>
        </w:r>
      </w:hyperlink>
    </w:p>
    <w:p w14:paraId="301F8860" w14:textId="398E5CCF" w:rsidR="00E8153C" w:rsidRDefault="00D517E4">
      <w:pPr>
        <w:pStyle w:val="TOC3"/>
        <w:rPr>
          <w:rFonts w:asciiTheme="minorHAnsi" w:eastAsiaTheme="minorEastAsia" w:hAnsiTheme="minorHAnsi" w:cstheme="minorBidi"/>
          <w:i w:val="0"/>
          <w:iCs w:val="0"/>
          <w:noProof/>
          <w:sz w:val="22"/>
          <w:szCs w:val="22"/>
          <w:lang w:bidi="ar-SA"/>
        </w:rPr>
      </w:pPr>
      <w:hyperlink w:anchor="_Toc48252296" w:history="1">
        <w:r w:rsidR="00E8153C" w:rsidRPr="00C12BBA">
          <w:rPr>
            <w:rStyle w:val="Hyperlink"/>
            <w:noProof/>
          </w:rPr>
          <w:t>Steady-State Assessments</w:t>
        </w:r>
        <w:r w:rsidR="00E8153C">
          <w:rPr>
            <w:noProof/>
            <w:webHidden/>
          </w:rPr>
          <w:tab/>
        </w:r>
        <w:r w:rsidR="00E8153C">
          <w:rPr>
            <w:noProof/>
            <w:webHidden/>
          </w:rPr>
          <w:fldChar w:fldCharType="begin"/>
        </w:r>
        <w:r w:rsidR="00E8153C">
          <w:rPr>
            <w:noProof/>
            <w:webHidden/>
          </w:rPr>
          <w:instrText xml:space="preserve"> PAGEREF _Toc48252296 \h </w:instrText>
        </w:r>
        <w:r w:rsidR="00E8153C">
          <w:rPr>
            <w:noProof/>
            <w:webHidden/>
          </w:rPr>
        </w:r>
        <w:r w:rsidR="00E8153C">
          <w:rPr>
            <w:noProof/>
            <w:webHidden/>
          </w:rPr>
          <w:fldChar w:fldCharType="separate"/>
        </w:r>
        <w:r w:rsidR="00E8153C">
          <w:rPr>
            <w:noProof/>
            <w:webHidden/>
          </w:rPr>
          <w:t>52</w:t>
        </w:r>
        <w:r w:rsidR="00E8153C">
          <w:rPr>
            <w:noProof/>
            <w:webHidden/>
          </w:rPr>
          <w:fldChar w:fldCharType="end"/>
        </w:r>
      </w:hyperlink>
    </w:p>
    <w:p w14:paraId="44BF9E0C" w14:textId="03156606" w:rsidR="00E8153C" w:rsidRDefault="00D517E4">
      <w:pPr>
        <w:pStyle w:val="TOC3"/>
        <w:rPr>
          <w:rFonts w:asciiTheme="minorHAnsi" w:eastAsiaTheme="minorEastAsia" w:hAnsiTheme="minorHAnsi" w:cstheme="minorBidi"/>
          <w:i w:val="0"/>
          <w:iCs w:val="0"/>
          <w:noProof/>
          <w:sz w:val="22"/>
          <w:szCs w:val="22"/>
          <w:lang w:bidi="ar-SA"/>
        </w:rPr>
      </w:pPr>
      <w:hyperlink w:anchor="_Toc48252297" w:history="1">
        <w:r w:rsidR="00E8153C" w:rsidRPr="00C12BBA">
          <w:rPr>
            <w:rStyle w:val="Hyperlink"/>
            <w:noProof/>
          </w:rPr>
          <w:t>System Stability Assessments</w:t>
        </w:r>
        <w:r w:rsidR="00E8153C">
          <w:rPr>
            <w:noProof/>
            <w:webHidden/>
          </w:rPr>
          <w:tab/>
        </w:r>
        <w:r w:rsidR="00E8153C">
          <w:rPr>
            <w:noProof/>
            <w:webHidden/>
          </w:rPr>
          <w:fldChar w:fldCharType="begin"/>
        </w:r>
        <w:r w:rsidR="00E8153C">
          <w:rPr>
            <w:noProof/>
            <w:webHidden/>
          </w:rPr>
          <w:instrText xml:space="preserve"> PAGEREF _Toc48252297 \h </w:instrText>
        </w:r>
        <w:r w:rsidR="00E8153C">
          <w:rPr>
            <w:noProof/>
            <w:webHidden/>
          </w:rPr>
        </w:r>
        <w:r w:rsidR="00E8153C">
          <w:rPr>
            <w:noProof/>
            <w:webHidden/>
          </w:rPr>
          <w:fldChar w:fldCharType="separate"/>
        </w:r>
        <w:r w:rsidR="00E8153C">
          <w:rPr>
            <w:noProof/>
            <w:webHidden/>
          </w:rPr>
          <w:t>54</w:t>
        </w:r>
        <w:r w:rsidR="00E8153C">
          <w:rPr>
            <w:noProof/>
            <w:webHidden/>
          </w:rPr>
          <w:fldChar w:fldCharType="end"/>
        </w:r>
      </w:hyperlink>
    </w:p>
    <w:p w14:paraId="061EFDAB" w14:textId="081671C8" w:rsidR="00E8153C" w:rsidRDefault="00D517E4">
      <w:pPr>
        <w:pStyle w:val="TOC3"/>
        <w:rPr>
          <w:rFonts w:asciiTheme="minorHAnsi" w:eastAsiaTheme="minorEastAsia" w:hAnsiTheme="minorHAnsi" w:cstheme="minorBidi"/>
          <w:i w:val="0"/>
          <w:iCs w:val="0"/>
          <w:noProof/>
          <w:sz w:val="22"/>
          <w:szCs w:val="22"/>
          <w:lang w:bidi="ar-SA"/>
        </w:rPr>
      </w:pPr>
      <w:hyperlink w:anchor="_Toc48252298" w:history="1">
        <w:r w:rsidR="00E8153C" w:rsidRPr="00C12BBA">
          <w:rPr>
            <w:rStyle w:val="Hyperlink"/>
            <w:noProof/>
          </w:rPr>
          <w:t>Short Circuit Assessments</w:t>
        </w:r>
        <w:r w:rsidR="00E8153C">
          <w:rPr>
            <w:noProof/>
            <w:webHidden/>
          </w:rPr>
          <w:tab/>
        </w:r>
        <w:r w:rsidR="00E8153C">
          <w:rPr>
            <w:noProof/>
            <w:webHidden/>
          </w:rPr>
          <w:fldChar w:fldCharType="begin"/>
        </w:r>
        <w:r w:rsidR="00E8153C">
          <w:rPr>
            <w:noProof/>
            <w:webHidden/>
          </w:rPr>
          <w:instrText xml:space="preserve"> PAGEREF _Toc48252298 \h </w:instrText>
        </w:r>
        <w:r w:rsidR="00E8153C">
          <w:rPr>
            <w:noProof/>
            <w:webHidden/>
          </w:rPr>
        </w:r>
        <w:r w:rsidR="00E8153C">
          <w:rPr>
            <w:noProof/>
            <w:webHidden/>
          </w:rPr>
          <w:fldChar w:fldCharType="separate"/>
        </w:r>
        <w:r w:rsidR="00E8153C">
          <w:rPr>
            <w:noProof/>
            <w:webHidden/>
          </w:rPr>
          <w:t>58</w:t>
        </w:r>
        <w:r w:rsidR="00E8153C">
          <w:rPr>
            <w:noProof/>
            <w:webHidden/>
          </w:rPr>
          <w:fldChar w:fldCharType="end"/>
        </w:r>
      </w:hyperlink>
    </w:p>
    <w:p w14:paraId="6DF62B49" w14:textId="533B9819" w:rsidR="00E8153C" w:rsidRDefault="00D517E4">
      <w:pPr>
        <w:pStyle w:val="TOC3"/>
        <w:rPr>
          <w:rFonts w:asciiTheme="minorHAnsi" w:eastAsiaTheme="minorEastAsia" w:hAnsiTheme="minorHAnsi" w:cstheme="minorBidi"/>
          <w:i w:val="0"/>
          <w:iCs w:val="0"/>
          <w:noProof/>
          <w:sz w:val="22"/>
          <w:szCs w:val="22"/>
          <w:lang w:bidi="ar-SA"/>
        </w:rPr>
      </w:pPr>
      <w:hyperlink w:anchor="_Toc48252299" w:history="1">
        <w:r w:rsidR="00E8153C" w:rsidRPr="00C12BBA">
          <w:rPr>
            <w:rStyle w:val="Hyperlink"/>
            <w:noProof/>
          </w:rPr>
          <w:t>Transmission Owner Local Criteria Violations</w:t>
        </w:r>
        <w:r w:rsidR="00E8153C">
          <w:rPr>
            <w:noProof/>
            <w:webHidden/>
          </w:rPr>
          <w:tab/>
        </w:r>
        <w:r w:rsidR="00E8153C">
          <w:rPr>
            <w:noProof/>
            <w:webHidden/>
          </w:rPr>
          <w:fldChar w:fldCharType="begin"/>
        </w:r>
        <w:r w:rsidR="00E8153C">
          <w:rPr>
            <w:noProof/>
            <w:webHidden/>
          </w:rPr>
          <w:instrText xml:space="preserve"> PAGEREF _Toc48252299 \h </w:instrText>
        </w:r>
        <w:r w:rsidR="00E8153C">
          <w:rPr>
            <w:noProof/>
            <w:webHidden/>
          </w:rPr>
        </w:r>
        <w:r w:rsidR="00E8153C">
          <w:rPr>
            <w:noProof/>
            <w:webHidden/>
          </w:rPr>
          <w:fldChar w:fldCharType="separate"/>
        </w:r>
        <w:r w:rsidR="00E8153C">
          <w:rPr>
            <w:noProof/>
            <w:webHidden/>
          </w:rPr>
          <w:t>58</w:t>
        </w:r>
        <w:r w:rsidR="00E8153C">
          <w:rPr>
            <w:noProof/>
            <w:webHidden/>
          </w:rPr>
          <w:fldChar w:fldCharType="end"/>
        </w:r>
      </w:hyperlink>
    </w:p>
    <w:p w14:paraId="17E78922" w14:textId="4698A7BD"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300" w:history="1">
        <w:r w:rsidR="00E8153C" w:rsidRPr="00C12BBA">
          <w:rPr>
            <w:rStyle w:val="Hyperlink"/>
            <w:noProof/>
          </w:rPr>
          <w:t>7.</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Base Case Variation Scenarios</w:t>
        </w:r>
        <w:r w:rsidR="00E8153C">
          <w:rPr>
            <w:noProof/>
            <w:webHidden/>
          </w:rPr>
          <w:tab/>
        </w:r>
        <w:r w:rsidR="00E8153C">
          <w:rPr>
            <w:noProof/>
            <w:webHidden/>
          </w:rPr>
          <w:fldChar w:fldCharType="begin"/>
        </w:r>
        <w:r w:rsidR="00E8153C">
          <w:rPr>
            <w:noProof/>
            <w:webHidden/>
          </w:rPr>
          <w:instrText xml:space="preserve"> PAGEREF _Toc48252300 \h </w:instrText>
        </w:r>
        <w:r w:rsidR="00E8153C">
          <w:rPr>
            <w:noProof/>
            <w:webHidden/>
          </w:rPr>
        </w:r>
        <w:r w:rsidR="00E8153C">
          <w:rPr>
            <w:noProof/>
            <w:webHidden/>
          </w:rPr>
          <w:fldChar w:fldCharType="separate"/>
        </w:r>
        <w:r w:rsidR="00E8153C">
          <w:rPr>
            <w:noProof/>
            <w:webHidden/>
          </w:rPr>
          <w:t>63</w:t>
        </w:r>
        <w:r w:rsidR="00E8153C">
          <w:rPr>
            <w:noProof/>
            <w:webHidden/>
          </w:rPr>
          <w:fldChar w:fldCharType="end"/>
        </w:r>
      </w:hyperlink>
    </w:p>
    <w:p w14:paraId="28848956" w14:textId="1D6BB939" w:rsidR="00E8153C" w:rsidRDefault="00D517E4">
      <w:pPr>
        <w:pStyle w:val="TOC2"/>
        <w:rPr>
          <w:rFonts w:asciiTheme="minorHAnsi" w:eastAsiaTheme="minorEastAsia" w:hAnsiTheme="minorHAnsi" w:cstheme="minorBidi"/>
          <w:lang w:bidi="ar-SA"/>
        </w:rPr>
      </w:pPr>
      <w:hyperlink w:anchor="_Toc48252301" w:history="1">
        <w:r w:rsidR="00E8153C" w:rsidRPr="00C12BBA">
          <w:rPr>
            <w:rStyle w:val="Hyperlink"/>
          </w:rPr>
          <w:t>High Load Forecast Scenario</w:t>
        </w:r>
        <w:r w:rsidR="00E8153C">
          <w:rPr>
            <w:webHidden/>
          </w:rPr>
          <w:tab/>
        </w:r>
        <w:r w:rsidR="00E8153C">
          <w:rPr>
            <w:webHidden/>
          </w:rPr>
          <w:fldChar w:fldCharType="begin"/>
        </w:r>
        <w:r w:rsidR="00E8153C">
          <w:rPr>
            <w:webHidden/>
          </w:rPr>
          <w:instrText xml:space="preserve"> PAGEREF _Toc48252301 \h </w:instrText>
        </w:r>
        <w:r w:rsidR="00E8153C">
          <w:rPr>
            <w:webHidden/>
          </w:rPr>
        </w:r>
        <w:r w:rsidR="00E8153C">
          <w:rPr>
            <w:webHidden/>
          </w:rPr>
          <w:fldChar w:fldCharType="separate"/>
        </w:r>
        <w:r w:rsidR="00E8153C">
          <w:rPr>
            <w:webHidden/>
          </w:rPr>
          <w:t>64</w:t>
        </w:r>
        <w:r w:rsidR="00E8153C">
          <w:rPr>
            <w:webHidden/>
          </w:rPr>
          <w:fldChar w:fldCharType="end"/>
        </w:r>
      </w:hyperlink>
    </w:p>
    <w:p w14:paraId="7F95739E" w14:textId="0D39738F" w:rsidR="00E8153C" w:rsidRDefault="00D517E4">
      <w:pPr>
        <w:pStyle w:val="TOC2"/>
        <w:rPr>
          <w:rFonts w:asciiTheme="minorHAnsi" w:eastAsiaTheme="minorEastAsia" w:hAnsiTheme="minorHAnsi" w:cstheme="minorBidi"/>
          <w:lang w:bidi="ar-SA"/>
        </w:rPr>
      </w:pPr>
      <w:hyperlink w:anchor="_Toc48252302" w:history="1">
        <w:r w:rsidR="00E8153C" w:rsidRPr="00C12BBA">
          <w:rPr>
            <w:rStyle w:val="Hyperlink"/>
          </w:rPr>
          <w:t>Zonal Resource Adequacy Margin (ZRAM)</w:t>
        </w:r>
        <w:r w:rsidR="00E8153C">
          <w:rPr>
            <w:webHidden/>
          </w:rPr>
          <w:tab/>
        </w:r>
        <w:r w:rsidR="00E8153C">
          <w:rPr>
            <w:webHidden/>
          </w:rPr>
          <w:fldChar w:fldCharType="begin"/>
        </w:r>
        <w:r w:rsidR="00E8153C">
          <w:rPr>
            <w:webHidden/>
          </w:rPr>
          <w:instrText xml:space="preserve"> PAGEREF _Toc48252302 \h </w:instrText>
        </w:r>
        <w:r w:rsidR="00E8153C">
          <w:rPr>
            <w:webHidden/>
          </w:rPr>
        </w:r>
        <w:r w:rsidR="00E8153C">
          <w:rPr>
            <w:webHidden/>
          </w:rPr>
          <w:fldChar w:fldCharType="separate"/>
        </w:r>
        <w:r w:rsidR="00E8153C">
          <w:rPr>
            <w:webHidden/>
          </w:rPr>
          <w:t>65</w:t>
        </w:r>
        <w:r w:rsidR="00E8153C">
          <w:rPr>
            <w:webHidden/>
          </w:rPr>
          <w:fldChar w:fldCharType="end"/>
        </w:r>
      </w:hyperlink>
    </w:p>
    <w:p w14:paraId="23816A43" w14:textId="42B28172" w:rsidR="00E8153C" w:rsidRDefault="00D517E4">
      <w:pPr>
        <w:pStyle w:val="TOC2"/>
        <w:rPr>
          <w:rFonts w:asciiTheme="minorHAnsi" w:eastAsiaTheme="minorEastAsia" w:hAnsiTheme="minorHAnsi" w:cstheme="minorBidi"/>
          <w:lang w:bidi="ar-SA"/>
        </w:rPr>
      </w:pPr>
      <w:hyperlink w:anchor="_Toc48252303" w:history="1">
        <w:r w:rsidR="00E8153C" w:rsidRPr="00C12BBA">
          <w:rPr>
            <w:rStyle w:val="Hyperlink"/>
          </w:rPr>
          <w:t>Status-Quo Scenario</w:t>
        </w:r>
        <w:r w:rsidR="00E8153C">
          <w:rPr>
            <w:webHidden/>
          </w:rPr>
          <w:tab/>
        </w:r>
        <w:r w:rsidR="00E8153C">
          <w:rPr>
            <w:webHidden/>
          </w:rPr>
          <w:fldChar w:fldCharType="begin"/>
        </w:r>
        <w:r w:rsidR="00E8153C">
          <w:rPr>
            <w:webHidden/>
          </w:rPr>
          <w:instrText xml:space="preserve"> PAGEREF _Toc48252303 \h </w:instrText>
        </w:r>
        <w:r w:rsidR="00E8153C">
          <w:rPr>
            <w:webHidden/>
          </w:rPr>
        </w:r>
        <w:r w:rsidR="00E8153C">
          <w:rPr>
            <w:webHidden/>
          </w:rPr>
          <w:fldChar w:fldCharType="separate"/>
        </w:r>
        <w:r w:rsidR="00E8153C">
          <w:rPr>
            <w:webHidden/>
          </w:rPr>
          <w:t>66</w:t>
        </w:r>
        <w:r w:rsidR="00E8153C">
          <w:rPr>
            <w:webHidden/>
          </w:rPr>
          <w:fldChar w:fldCharType="end"/>
        </w:r>
      </w:hyperlink>
    </w:p>
    <w:p w14:paraId="36D65B8A" w14:textId="05C48F58"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304" w:history="1">
        <w:r w:rsidR="00E8153C" w:rsidRPr="00C12BBA">
          <w:rPr>
            <w:rStyle w:val="Hyperlink"/>
            <w:noProof/>
          </w:rPr>
          <w:t>8.</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“70x30” Scenario – [IN PROGRESS]</w:t>
        </w:r>
        <w:r w:rsidR="00E8153C">
          <w:rPr>
            <w:noProof/>
            <w:webHidden/>
          </w:rPr>
          <w:tab/>
        </w:r>
        <w:r w:rsidR="00E8153C">
          <w:rPr>
            <w:noProof/>
            <w:webHidden/>
          </w:rPr>
          <w:fldChar w:fldCharType="begin"/>
        </w:r>
        <w:r w:rsidR="00E8153C">
          <w:rPr>
            <w:noProof/>
            <w:webHidden/>
          </w:rPr>
          <w:instrText xml:space="preserve"> PAGEREF _Toc48252304 \h </w:instrText>
        </w:r>
        <w:r w:rsidR="00E8153C">
          <w:rPr>
            <w:noProof/>
            <w:webHidden/>
          </w:rPr>
        </w:r>
        <w:r w:rsidR="00E8153C">
          <w:rPr>
            <w:noProof/>
            <w:webHidden/>
          </w:rPr>
          <w:fldChar w:fldCharType="separate"/>
        </w:r>
        <w:r w:rsidR="00E8153C">
          <w:rPr>
            <w:noProof/>
            <w:webHidden/>
          </w:rPr>
          <w:t>69</w:t>
        </w:r>
        <w:r w:rsidR="00E8153C">
          <w:rPr>
            <w:noProof/>
            <w:webHidden/>
          </w:rPr>
          <w:fldChar w:fldCharType="end"/>
        </w:r>
      </w:hyperlink>
    </w:p>
    <w:p w14:paraId="588296BF" w14:textId="0268D9D3" w:rsidR="00E8153C" w:rsidRDefault="00D517E4">
      <w:pPr>
        <w:pStyle w:val="TOC2"/>
        <w:rPr>
          <w:rFonts w:asciiTheme="minorHAnsi" w:eastAsiaTheme="minorEastAsia" w:hAnsiTheme="minorHAnsi" w:cstheme="minorBidi"/>
          <w:lang w:bidi="ar-SA"/>
        </w:rPr>
      </w:pPr>
      <w:hyperlink w:anchor="_Toc48252305" w:history="1">
        <w:r w:rsidR="00E8153C" w:rsidRPr="00C12BBA">
          <w:rPr>
            <w:rStyle w:val="Hyperlink"/>
          </w:rPr>
          <w:t>Scope</w:t>
        </w:r>
        <w:r w:rsidR="00E8153C">
          <w:rPr>
            <w:webHidden/>
          </w:rPr>
          <w:tab/>
        </w:r>
        <w:r w:rsidR="00E8153C">
          <w:rPr>
            <w:webHidden/>
          </w:rPr>
          <w:fldChar w:fldCharType="begin"/>
        </w:r>
        <w:r w:rsidR="00E8153C">
          <w:rPr>
            <w:webHidden/>
          </w:rPr>
          <w:instrText xml:space="preserve"> PAGEREF _Toc48252305 \h </w:instrText>
        </w:r>
        <w:r w:rsidR="00E8153C">
          <w:rPr>
            <w:webHidden/>
          </w:rPr>
        </w:r>
        <w:r w:rsidR="00E8153C">
          <w:rPr>
            <w:webHidden/>
          </w:rPr>
          <w:fldChar w:fldCharType="separate"/>
        </w:r>
        <w:r w:rsidR="00E8153C">
          <w:rPr>
            <w:webHidden/>
          </w:rPr>
          <w:t>69</w:t>
        </w:r>
        <w:r w:rsidR="00E8153C">
          <w:rPr>
            <w:webHidden/>
          </w:rPr>
          <w:fldChar w:fldCharType="end"/>
        </w:r>
      </w:hyperlink>
    </w:p>
    <w:p w14:paraId="24DE0085" w14:textId="2D3959D9" w:rsidR="00E8153C" w:rsidRDefault="00D517E4">
      <w:pPr>
        <w:pStyle w:val="TOC2"/>
        <w:rPr>
          <w:rFonts w:asciiTheme="minorHAnsi" w:eastAsiaTheme="minorEastAsia" w:hAnsiTheme="minorHAnsi" w:cstheme="minorBidi"/>
          <w:lang w:bidi="ar-SA"/>
        </w:rPr>
      </w:pPr>
      <w:hyperlink w:anchor="_Toc48252306" w:history="1">
        <w:r w:rsidR="00E8153C" w:rsidRPr="00C12BBA">
          <w:rPr>
            <w:rStyle w:val="Hyperlink"/>
          </w:rPr>
          <w:t>Assumptions</w:t>
        </w:r>
        <w:r w:rsidR="00E8153C">
          <w:rPr>
            <w:webHidden/>
          </w:rPr>
          <w:tab/>
        </w:r>
        <w:r w:rsidR="00E8153C">
          <w:rPr>
            <w:webHidden/>
          </w:rPr>
          <w:fldChar w:fldCharType="begin"/>
        </w:r>
        <w:r w:rsidR="00E8153C">
          <w:rPr>
            <w:webHidden/>
          </w:rPr>
          <w:instrText xml:space="preserve"> PAGEREF _Toc48252306 \h </w:instrText>
        </w:r>
        <w:r w:rsidR="00E8153C">
          <w:rPr>
            <w:webHidden/>
          </w:rPr>
        </w:r>
        <w:r w:rsidR="00E8153C">
          <w:rPr>
            <w:webHidden/>
          </w:rPr>
          <w:fldChar w:fldCharType="separate"/>
        </w:r>
        <w:r w:rsidR="00E8153C">
          <w:rPr>
            <w:webHidden/>
          </w:rPr>
          <w:t>69</w:t>
        </w:r>
        <w:r w:rsidR="00E8153C">
          <w:rPr>
            <w:webHidden/>
          </w:rPr>
          <w:fldChar w:fldCharType="end"/>
        </w:r>
      </w:hyperlink>
    </w:p>
    <w:p w14:paraId="73C6ADB4" w14:textId="7C23FA28" w:rsidR="00E8153C" w:rsidRDefault="00D517E4">
      <w:pPr>
        <w:pStyle w:val="TOC2"/>
        <w:rPr>
          <w:rFonts w:asciiTheme="minorHAnsi" w:eastAsiaTheme="minorEastAsia" w:hAnsiTheme="minorHAnsi" w:cstheme="minorBidi"/>
          <w:lang w:bidi="ar-SA"/>
        </w:rPr>
      </w:pPr>
      <w:hyperlink w:anchor="_Toc48252307" w:history="1">
        <w:r w:rsidR="00E8153C" w:rsidRPr="00C12BBA">
          <w:rPr>
            <w:rStyle w:val="Hyperlink"/>
          </w:rPr>
          <w:t>Resource Adequacy Methodology and Results</w:t>
        </w:r>
        <w:r w:rsidR="00E8153C">
          <w:rPr>
            <w:webHidden/>
          </w:rPr>
          <w:tab/>
        </w:r>
        <w:r w:rsidR="00E8153C">
          <w:rPr>
            <w:webHidden/>
          </w:rPr>
          <w:fldChar w:fldCharType="begin"/>
        </w:r>
        <w:r w:rsidR="00E8153C">
          <w:rPr>
            <w:webHidden/>
          </w:rPr>
          <w:instrText xml:space="preserve"> PAGEREF _Toc48252307 \h </w:instrText>
        </w:r>
        <w:r w:rsidR="00E8153C">
          <w:rPr>
            <w:webHidden/>
          </w:rPr>
        </w:r>
        <w:r w:rsidR="00E8153C">
          <w:rPr>
            <w:webHidden/>
          </w:rPr>
          <w:fldChar w:fldCharType="separate"/>
        </w:r>
        <w:r w:rsidR="00E8153C">
          <w:rPr>
            <w:webHidden/>
          </w:rPr>
          <w:t>69</w:t>
        </w:r>
        <w:r w:rsidR="00E8153C">
          <w:rPr>
            <w:webHidden/>
          </w:rPr>
          <w:fldChar w:fldCharType="end"/>
        </w:r>
      </w:hyperlink>
    </w:p>
    <w:p w14:paraId="2802C5DB" w14:textId="5B7F8B2A" w:rsidR="00E8153C" w:rsidRDefault="00D517E4">
      <w:pPr>
        <w:pStyle w:val="TOC2"/>
        <w:rPr>
          <w:rFonts w:asciiTheme="minorHAnsi" w:eastAsiaTheme="minorEastAsia" w:hAnsiTheme="minorHAnsi" w:cstheme="minorBidi"/>
          <w:lang w:bidi="ar-SA"/>
        </w:rPr>
      </w:pPr>
      <w:hyperlink w:anchor="_Toc48252308" w:history="1">
        <w:r w:rsidR="00E8153C" w:rsidRPr="00C12BBA">
          <w:rPr>
            <w:rStyle w:val="Hyperlink"/>
          </w:rPr>
          <w:t>Transmission Security Methodology and Results</w:t>
        </w:r>
        <w:r w:rsidR="00E8153C">
          <w:rPr>
            <w:webHidden/>
          </w:rPr>
          <w:tab/>
        </w:r>
        <w:r w:rsidR="00E8153C">
          <w:rPr>
            <w:webHidden/>
          </w:rPr>
          <w:fldChar w:fldCharType="begin"/>
        </w:r>
        <w:r w:rsidR="00E8153C">
          <w:rPr>
            <w:webHidden/>
          </w:rPr>
          <w:instrText xml:space="preserve"> PAGEREF _Toc48252308 \h </w:instrText>
        </w:r>
        <w:r w:rsidR="00E8153C">
          <w:rPr>
            <w:webHidden/>
          </w:rPr>
        </w:r>
        <w:r w:rsidR="00E8153C">
          <w:rPr>
            <w:webHidden/>
          </w:rPr>
          <w:fldChar w:fldCharType="separate"/>
        </w:r>
        <w:r w:rsidR="00E8153C">
          <w:rPr>
            <w:webHidden/>
          </w:rPr>
          <w:t>69</w:t>
        </w:r>
        <w:r w:rsidR="00E8153C">
          <w:rPr>
            <w:webHidden/>
          </w:rPr>
          <w:fldChar w:fldCharType="end"/>
        </w:r>
      </w:hyperlink>
    </w:p>
    <w:p w14:paraId="0D6D38F4" w14:textId="79A366CB" w:rsidR="00E8153C" w:rsidRDefault="00D517E4">
      <w:pPr>
        <w:pStyle w:val="TOC2"/>
        <w:rPr>
          <w:rFonts w:asciiTheme="minorHAnsi" w:eastAsiaTheme="minorEastAsia" w:hAnsiTheme="minorHAnsi" w:cstheme="minorBidi"/>
          <w:lang w:bidi="ar-SA"/>
        </w:rPr>
      </w:pPr>
      <w:hyperlink w:anchor="_Toc48252309" w:history="1">
        <w:r w:rsidR="00E8153C" w:rsidRPr="00C12BBA">
          <w:rPr>
            <w:rStyle w:val="Hyperlink"/>
          </w:rPr>
          <w:t>Key Findings of the “70x30” Scenario</w:t>
        </w:r>
        <w:r w:rsidR="00E8153C">
          <w:rPr>
            <w:webHidden/>
          </w:rPr>
          <w:tab/>
        </w:r>
        <w:r w:rsidR="00E8153C">
          <w:rPr>
            <w:webHidden/>
          </w:rPr>
          <w:fldChar w:fldCharType="begin"/>
        </w:r>
        <w:r w:rsidR="00E8153C">
          <w:rPr>
            <w:webHidden/>
          </w:rPr>
          <w:instrText xml:space="preserve"> PAGEREF _Toc48252309 \h </w:instrText>
        </w:r>
        <w:r w:rsidR="00E8153C">
          <w:rPr>
            <w:webHidden/>
          </w:rPr>
        </w:r>
        <w:r w:rsidR="00E8153C">
          <w:rPr>
            <w:webHidden/>
          </w:rPr>
          <w:fldChar w:fldCharType="separate"/>
        </w:r>
        <w:r w:rsidR="00E8153C">
          <w:rPr>
            <w:webHidden/>
          </w:rPr>
          <w:t>69</w:t>
        </w:r>
        <w:r w:rsidR="00E8153C">
          <w:rPr>
            <w:webHidden/>
          </w:rPr>
          <w:fldChar w:fldCharType="end"/>
        </w:r>
      </w:hyperlink>
    </w:p>
    <w:p w14:paraId="322EACAD" w14:textId="1F21067F"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310" w:history="1">
        <w:r w:rsidR="00E8153C" w:rsidRPr="00C12BBA">
          <w:rPr>
            <w:rStyle w:val="Hyperlink"/>
            <w:noProof/>
          </w:rPr>
          <w:t>9.</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Reliability Compliance Obligations and Activities</w:t>
        </w:r>
        <w:r w:rsidR="00E8153C">
          <w:rPr>
            <w:noProof/>
            <w:webHidden/>
          </w:rPr>
          <w:tab/>
        </w:r>
        <w:r w:rsidR="00E8153C">
          <w:rPr>
            <w:noProof/>
            <w:webHidden/>
          </w:rPr>
          <w:fldChar w:fldCharType="begin"/>
        </w:r>
        <w:r w:rsidR="00E8153C">
          <w:rPr>
            <w:noProof/>
            <w:webHidden/>
          </w:rPr>
          <w:instrText xml:space="preserve"> PAGEREF _Toc48252310 \h </w:instrText>
        </w:r>
        <w:r w:rsidR="00E8153C">
          <w:rPr>
            <w:noProof/>
            <w:webHidden/>
          </w:rPr>
        </w:r>
        <w:r w:rsidR="00E8153C">
          <w:rPr>
            <w:noProof/>
            <w:webHidden/>
          </w:rPr>
          <w:fldChar w:fldCharType="separate"/>
        </w:r>
        <w:r w:rsidR="00E8153C">
          <w:rPr>
            <w:noProof/>
            <w:webHidden/>
          </w:rPr>
          <w:t>70</w:t>
        </w:r>
        <w:r w:rsidR="00E8153C">
          <w:rPr>
            <w:noProof/>
            <w:webHidden/>
          </w:rPr>
          <w:fldChar w:fldCharType="end"/>
        </w:r>
      </w:hyperlink>
    </w:p>
    <w:p w14:paraId="43A33FFD" w14:textId="4D7B16FB" w:rsidR="00E8153C" w:rsidRDefault="00D517E4">
      <w:pPr>
        <w:pStyle w:val="TOC2"/>
        <w:rPr>
          <w:rFonts w:asciiTheme="minorHAnsi" w:eastAsiaTheme="minorEastAsia" w:hAnsiTheme="minorHAnsi" w:cstheme="minorBidi"/>
          <w:lang w:bidi="ar-SA"/>
        </w:rPr>
      </w:pPr>
      <w:hyperlink w:anchor="_Toc48252311" w:history="1">
        <w:r w:rsidR="00E8153C" w:rsidRPr="00C12BBA">
          <w:rPr>
            <w:rStyle w:val="Hyperlink"/>
          </w:rPr>
          <w:t>NPCC/NYSRC Area Transmission Reviews (ATRs)</w:t>
        </w:r>
        <w:r w:rsidR="00E8153C">
          <w:rPr>
            <w:webHidden/>
          </w:rPr>
          <w:tab/>
        </w:r>
        <w:r w:rsidR="00E8153C">
          <w:rPr>
            <w:webHidden/>
          </w:rPr>
          <w:fldChar w:fldCharType="begin"/>
        </w:r>
        <w:r w:rsidR="00E8153C">
          <w:rPr>
            <w:webHidden/>
          </w:rPr>
          <w:instrText xml:space="preserve"> PAGEREF _Toc48252311 \h </w:instrText>
        </w:r>
        <w:r w:rsidR="00E8153C">
          <w:rPr>
            <w:webHidden/>
          </w:rPr>
        </w:r>
        <w:r w:rsidR="00E8153C">
          <w:rPr>
            <w:webHidden/>
          </w:rPr>
          <w:fldChar w:fldCharType="separate"/>
        </w:r>
        <w:r w:rsidR="00E8153C">
          <w:rPr>
            <w:webHidden/>
          </w:rPr>
          <w:t>72</w:t>
        </w:r>
        <w:r w:rsidR="00E8153C">
          <w:rPr>
            <w:webHidden/>
          </w:rPr>
          <w:fldChar w:fldCharType="end"/>
        </w:r>
      </w:hyperlink>
    </w:p>
    <w:p w14:paraId="68DAB043" w14:textId="509A8368" w:rsidR="00E8153C" w:rsidRDefault="00D517E4">
      <w:pPr>
        <w:pStyle w:val="TOC2"/>
        <w:rPr>
          <w:rFonts w:asciiTheme="minorHAnsi" w:eastAsiaTheme="minorEastAsia" w:hAnsiTheme="minorHAnsi" w:cstheme="minorBidi"/>
          <w:lang w:bidi="ar-SA"/>
        </w:rPr>
      </w:pPr>
      <w:hyperlink w:anchor="_Toc48252312" w:history="1">
        <w:r w:rsidR="00E8153C" w:rsidRPr="00C12BBA">
          <w:rPr>
            <w:rStyle w:val="Hyperlink"/>
          </w:rPr>
          <w:t>NERC Planning Assessments (TPL-001)</w:t>
        </w:r>
        <w:r w:rsidR="00E8153C">
          <w:rPr>
            <w:webHidden/>
          </w:rPr>
          <w:tab/>
        </w:r>
        <w:r w:rsidR="00E8153C">
          <w:rPr>
            <w:webHidden/>
          </w:rPr>
          <w:fldChar w:fldCharType="begin"/>
        </w:r>
        <w:r w:rsidR="00E8153C">
          <w:rPr>
            <w:webHidden/>
          </w:rPr>
          <w:instrText xml:space="preserve"> PAGEREF _Toc48252312 \h </w:instrText>
        </w:r>
        <w:r w:rsidR="00E8153C">
          <w:rPr>
            <w:webHidden/>
          </w:rPr>
        </w:r>
        <w:r w:rsidR="00E8153C">
          <w:rPr>
            <w:webHidden/>
          </w:rPr>
          <w:fldChar w:fldCharType="separate"/>
        </w:r>
        <w:r w:rsidR="00E8153C">
          <w:rPr>
            <w:webHidden/>
          </w:rPr>
          <w:t>73</w:t>
        </w:r>
        <w:r w:rsidR="00E8153C">
          <w:rPr>
            <w:webHidden/>
          </w:rPr>
          <w:fldChar w:fldCharType="end"/>
        </w:r>
      </w:hyperlink>
    </w:p>
    <w:p w14:paraId="28A8F500" w14:textId="08E87FE3" w:rsidR="00E8153C" w:rsidRDefault="00D517E4">
      <w:pPr>
        <w:pStyle w:val="TOC2"/>
        <w:rPr>
          <w:rFonts w:asciiTheme="minorHAnsi" w:eastAsiaTheme="minorEastAsia" w:hAnsiTheme="minorHAnsi" w:cstheme="minorBidi"/>
          <w:lang w:bidi="ar-SA"/>
        </w:rPr>
      </w:pPr>
      <w:hyperlink w:anchor="_Toc48252313" w:history="1">
        <w:r w:rsidR="00E8153C" w:rsidRPr="00C12BBA">
          <w:rPr>
            <w:rStyle w:val="Hyperlink"/>
          </w:rPr>
          <w:t>Resource Adequacy Compliance Efforts</w:t>
        </w:r>
        <w:r w:rsidR="00E8153C">
          <w:rPr>
            <w:webHidden/>
          </w:rPr>
          <w:tab/>
        </w:r>
        <w:r w:rsidR="00E8153C">
          <w:rPr>
            <w:webHidden/>
          </w:rPr>
          <w:fldChar w:fldCharType="begin"/>
        </w:r>
        <w:r w:rsidR="00E8153C">
          <w:rPr>
            <w:webHidden/>
          </w:rPr>
          <w:instrText xml:space="preserve"> PAGEREF _Toc48252313 \h </w:instrText>
        </w:r>
        <w:r w:rsidR="00E8153C">
          <w:rPr>
            <w:webHidden/>
          </w:rPr>
        </w:r>
        <w:r w:rsidR="00E8153C">
          <w:rPr>
            <w:webHidden/>
          </w:rPr>
          <w:fldChar w:fldCharType="separate"/>
        </w:r>
        <w:r w:rsidR="00E8153C">
          <w:rPr>
            <w:webHidden/>
          </w:rPr>
          <w:t>74</w:t>
        </w:r>
        <w:r w:rsidR="00E8153C">
          <w:rPr>
            <w:webHidden/>
          </w:rPr>
          <w:fldChar w:fldCharType="end"/>
        </w:r>
      </w:hyperlink>
    </w:p>
    <w:p w14:paraId="74CBC1BC" w14:textId="7BEE66A7"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314" w:history="1">
        <w:r w:rsidR="00E8153C" w:rsidRPr="00C12BBA">
          <w:rPr>
            <w:rStyle w:val="Hyperlink"/>
            <w:noProof/>
          </w:rPr>
          <w:t>10.</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A Grid In Transition: Reliability Gap Analysis</w:t>
        </w:r>
        <w:r w:rsidR="00E8153C">
          <w:rPr>
            <w:noProof/>
            <w:webHidden/>
          </w:rPr>
          <w:tab/>
        </w:r>
        <w:r w:rsidR="00E8153C">
          <w:rPr>
            <w:noProof/>
            <w:webHidden/>
          </w:rPr>
          <w:fldChar w:fldCharType="begin"/>
        </w:r>
        <w:r w:rsidR="00E8153C">
          <w:rPr>
            <w:noProof/>
            <w:webHidden/>
          </w:rPr>
          <w:instrText xml:space="preserve"> PAGEREF _Toc48252314 \h </w:instrText>
        </w:r>
        <w:r w:rsidR="00E8153C">
          <w:rPr>
            <w:noProof/>
            <w:webHidden/>
          </w:rPr>
        </w:r>
        <w:r w:rsidR="00E8153C">
          <w:rPr>
            <w:noProof/>
            <w:webHidden/>
          </w:rPr>
          <w:fldChar w:fldCharType="separate"/>
        </w:r>
        <w:r w:rsidR="00E8153C">
          <w:rPr>
            <w:noProof/>
            <w:webHidden/>
          </w:rPr>
          <w:t>76</w:t>
        </w:r>
        <w:r w:rsidR="00E8153C">
          <w:rPr>
            <w:noProof/>
            <w:webHidden/>
          </w:rPr>
          <w:fldChar w:fldCharType="end"/>
        </w:r>
      </w:hyperlink>
    </w:p>
    <w:p w14:paraId="47D4471A" w14:textId="558E4F13" w:rsidR="00E8153C" w:rsidRDefault="00D517E4">
      <w:pPr>
        <w:pStyle w:val="TOC1"/>
        <w:rPr>
          <w:rFonts w:asciiTheme="minorHAnsi" w:eastAsiaTheme="minorEastAsia" w:hAnsiTheme="minorHAnsi" w:cstheme="minorBidi"/>
          <w:b w:val="0"/>
          <w:bCs w:val="0"/>
          <w:caps w:val="0"/>
          <w:noProof/>
          <w:sz w:val="22"/>
          <w:szCs w:val="22"/>
          <w:lang w:bidi="ar-SA"/>
        </w:rPr>
      </w:pPr>
      <w:hyperlink w:anchor="_Toc48252315" w:history="1">
        <w:r w:rsidR="00E8153C" w:rsidRPr="00C12BBA">
          <w:rPr>
            <w:rStyle w:val="Hyperlink"/>
            <w:noProof/>
          </w:rPr>
          <w:t>11.</w:t>
        </w:r>
        <w:r w:rsidR="00E8153C">
          <w:rPr>
            <w:rFonts w:asciiTheme="minorHAnsi" w:eastAsiaTheme="minorEastAsia" w:hAnsiTheme="minorHAnsi" w:cstheme="minorBidi"/>
            <w:b w:val="0"/>
            <w:bCs w:val="0"/>
            <w:caps w:val="0"/>
            <w:noProof/>
            <w:sz w:val="22"/>
            <w:szCs w:val="22"/>
            <w:lang w:bidi="ar-SA"/>
          </w:rPr>
          <w:tab/>
        </w:r>
        <w:r w:rsidR="00E8153C" w:rsidRPr="00C12BBA">
          <w:rPr>
            <w:rStyle w:val="Hyperlink"/>
            <w:noProof/>
          </w:rPr>
          <w:t>Observations and Recommendations</w:t>
        </w:r>
        <w:r w:rsidR="00E8153C">
          <w:rPr>
            <w:noProof/>
            <w:webHidden/>
          </w:rPr>
          <w:tab/>
        </w:r>
        <w:r w:rsidR="00E8153C">
          <w:rPr>
            <w:noProof/>
            <w:webHidden/>
          </w:rPr>
          <w:fldChar w:fldCharType="begin"/>
        </w:r>
        <w:r w:rsidR="00E8153C">
          <w:rPr>
            <w:noProof/>
            <w:webHidden/>
          </w:rPr>
          <w:instrText xml:space="preserve"> PAGEREF _Toc48252315 \h </w:instrText>
        </w:r>
        <w:r w:rsidR="00E8153C">
          <w:rPr>
            <w:noProof/>
            <w:webHidden/>
          </w:rPr>
        </w:r>
        <w:r w:rsidR="00E8153C">
          <w:rPr>
            <w:noProof/>
            <w:webHidden/>
          </w:rPr>
          <w:fldChar w:fldCharType="separate"/>
        </w:r>
        <w:r w:rsidR="00E8153C">
          <w:rPr>
            <w:noProof/>
            <w:webHidden/>
          </w:rPr>
          <w:t>77</w:t>
        </w:r>
        <w:r w:rsidR="00E8153C">
          <w:rPr>
            <w:noProof/>
            <w:webHidden/>
          </w:rPr>
          <w:fldChar w:fldCharType="end"/>
        </w:r>
      </w:hyperlink>
    </w:p>
    <w:p w14:paraId="264F7682" w14:textId="42E8196B" w:rsidR="00442AA8" w:rsidRDefault="00F32BC7" w:rsidP="00851ABB">
      <w:pPr>
        <w:pStyle w:val="notnumbered-Style1"/>
        <w:spacing w:before="120"/>
        <w:ind w:firstLine="0"/>
      </w:pPr>
      <w:r>
        <w:lastRenderedPageBreak/>
        <w:fldChar w:fldCharType="end"/>
      </w:r>
      <w:r w:rsidR="00442AA8" w:rsidRPr="007C0EC6">
        <w:t>List</w:t>
      </w:r>
      <w:r w:rsidR="00442AA8">
        <w:t xml:space="preserve"> of Figures</w:t>
      </w:r>
    </w:p>
    <w:p w14:paraId="51D794B3" w14:textId="0E1AF606" w:rsidR="00732907" w:rsidRDefault="00062D5F">
      <w:pPr>
        <w:pStyle w:val="TableofFigures"/>
        <w:tabs>
          <w:tab w:val="right" w:leader="dot" w:pos="10070"/>
        </w:tabs>
        <w:rPr>
          <w:rFonts w:asciiTheme="minorHAnsi" w:eastAsiaTheme="minorEastAsia" w:hAnsiTheme="minorHAnsi" w:cstheme="minorBidi"/>
          <w:noProof/>
          <w:sz w:val="22"/>
          <w:lang w:bidi="ar-SA"/>
        </w:rPr>
      </w:pPr>
      <w:r>
        <w:rPr>
          <w:rFonts w:asciiTheme="minorHAnsi" w:hAnsiTheme="minorHAnsi" w:cstheme="minorHAnsi"/>
          <w:b/>
          <w:bCs/>
        </w:rPr>
        <w:fldChar w:fldCharType="begin"/>
      </w:r>
      <w:r>
        <w:rPr>
          <w:rFonts w:asciiTheme="minorHAnsi" w:hAnsiTheme="minorHAnsi" w:cstheme="minorHAnsi"/>
          <w:b/>
          <w:bCs/>
        </w:rPr>
        <w:instrText xml:space="preserve"> TOC \h \z \c "Figure" </w:instrText>
      </w:r>
      <w:r>
        <w:rPr>
          <w:rFonts w:asciiTheme="minorHAnsi" w:hAnsiTheme="minorHAnsi" w:cstheme="minorHAnsi"/>
          <w:b/>
          <w:bCs/>
        </w:rPr>
        <w:fldChar w:fldCharType="separate"/>
      </w:r>
      <w:hyperlink w:anchor="_Toc48251320" w:history="1">
        <w:r w:rsidR="00732907" w:rsidRPr="00B9053D">
          <w:rPr>
            <w:rStyle w:val="Hyperlink"/>
            <w:noProof/>
          </w:rPr>
          <w:t>Figure 3: The NYISO’s Comprehensive System Planning Process (CSPP)</w:t>
        </w:r>
        <w:r w:rsidR="00732907">
          <w:rPr>
            <w:noProof/>
            <w:webHidden/>
          </w:rPr>
          <w:tab/>
        </w:r>
        <w:r w:rsidR="00732907">
          <w:rPr>
            <w:noProof/>
            <w:webHidden/>
          </w:rPr>
          <w:fldChar w:fldCharType="begin"/>
        </w:r>
        <w:r w:rsidR="00732907">
          <w:rPr>
            <w:noProof/>
            <w:webHidden/>
          </w:rPr>
          <w:instrText xml:space="preserve"> PAGEREF _Toc48251320 \h </w:instrText>
        </w:r>
        <w:r w:rsidR="00732907">
          <w:rPr>
            <w:noProof/>
            <w:webHidden/>
          </w:rPr>
        </w:r>
        <w:r w:rsidR="00732907">
          <w:rPr>
            <w:noProof/>
            <w:webHidden/>
          </w:rPr>
          <w:fldChar w:fldCharType="separate"/>
        </w:r>
        <w:r w:rsidR="00E8153C">
          <w:rPr>
            <w:noProof/>
            <w:webHidden/>
          </w:rPr>
          <w:t>2</w:t>
        </w:r>
        <w:r w:rsidR="00732907">
          <w:rPr>
            <w:noProof/>
            <w:webHidden/>
          </w:rPr>
          <w:fldChar w:fldCharType="end"/>
        </w:r>
      </w:hyperlink>
    </w:p>
    <w:p w14:paraId="56707D4E" w14:textId="7B9AF6E9"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1" w:history="1">
        <w:r w:rsidR="00732907" w:rsidRPr="00B9053D">
          <w:rPr>
            <w:rStyle w:val="Hyperlink"/>
            <w:noProof/>
          </w:rPr>
          <w:t>Figure 4: NYISO RPP</w:t>
        </w:r>
        <w:r w:rsidR="00732907">
          <w:rPr>
            <w:noProof/>
            <w:webHidden/>
          </w:rPr>
          <w:tab/>
        </w:r>
        <w:r w:rsidR="00732907">
          <w:rPr>
            <w:noProof/>
            <w:webHidden/>
          </w:rPr>
          <w:fldChar w:fldCharType="begin"/>
        </w:r>
        <w:r w:rsidR="00732907">
          <w:rPr>
            <w:noProof/>
            <w:webHidden/>
          </w:rPr>
          <w:instrText xml:space="preserve"> PAGEREF _Toc48251321 \h </w:instrText>
        </w:r>
        <w:r w:rsidR="00732907">
          <w:rPr>
            <w:noProof/>
            <w:webHidden/>
          </w:rPr>
        </w:r>
        <w:r w:rsidR="00732907">
          <w:rPr>
            <w:noProof/>
            <w:webHidden/>
          </w:rPr>
          <w:fldChar w:fldCharType="separate"/>
        </w:r>
        <w:r w:rsidR="00E8153C">
          <w:rPr>
            <w:noProof/>
            <w:webHidden/>
          </w:rPr>
          <w:t>5</w:t>
        </w:r>
        <w:r w:rsidR="00732907">
          <w:rPr>
            <w:noProof/>
            <w:webHidden/>
          </w:rPr>
          <w:fldChar w:fldCharType="end"/>
        </w:r>
      </w:hyperlink>
    </w:p>
    <w:p w14:paraId="3483F0DA" w14:textId="17219894"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2" w:history="1">
        <w:r w:rsidR="00732907" w:rsidRPr="00B9053D">
          <w:rPr>
            <w:rStyle w:val="Hyperlink"/>
            <w:noProof/>
          </w:rPr>
          <w:t>Figure 5: Current Status of Tracked Market-Based Solutions and TOs’ Plans</w:t>
        </w:r>
        <w:r w:rsidR="00732907">
          <w:rPr>
            <w:noProof/>
            <w:webHidden/>
          </w:rPr>
          <w:tab/>
        </w:r>
        <w:r w:rsidR="00732907">
          <w:rPr>
            <w:noProof/>
            <w:webHidden/>
          </w:rPr>
          <w:fldChar w:fldCharType="begin"/>
        </w:r>
        <w:r w:rsidR="00732907">
          <w:rPr>
            <w:noProof/>
            <w:webHidden/>
          </w:rPr>
          <w:instrText xml:space="preserve"> PAGEREF _Toc48251322 \h </w:instrText>
        </w:r>
        <w:r w:rsidR="00732907">
          <w:rPr>
            <w:noProof/>
            <w:webHidden/>
          </w:rPr>
        </w:r>
        <w:r w:rsidR="00732907">
          <w:rPr>
            <w:noProof/>
            <w:webHidden/>
          </w:rPr>
          <w:fldChar w:fldCharType="separate"/>
        </w:r>
        <w:r w:rsidR="00E8153C">
          <w:rPr>
            <w:noProof/>
            <w:webHidden/>
          </w:rPr>
          <w:t>9</w:t>
        </w:r>
        <w:r w:rsidR="00732907">
          <w:rPr>
            <w:noProof/>
            <w:webHidden/>
          </w:rPr>
          <w:fldChar w:fldCharType="end"/>
        </w:r>
      </w:hyperlink>
    </w:p>
    <w:p w14:paraId="44BBBB07" w14:textId="047DD428"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3" w:history="1">
        <w:r w:rsidR="00732907" w:rsidRPr="00B9053D">
          <w:rPr>
            <w:rStyle w:val="Hyperlink"/>
            <w:noProof/>
          </w:rPr>
          <w:t>Figure 54: Summary Table of Key Environmental Regulations and Energy Policies</w:t>
        </w:r>
        <w:r w:rsidR="00732907">
          <w:rPr>
            <w:noProof/>
            <w:webHidden/>
          </w:rPr>
          <w:tab/>
        </w:r>
        <w:r w:rsidR="00732907">
          <w:rPr>
            <w:noProof/>
            <w:webHidden/>
          </w:rPr>
          <w:fldChar w:fldCharType="begin"/>
        </w:r>
        <w:r w:rsidR="00732907">
          <w:rPr>
            <w:noProof/>
            <w:webHidden/>
          </w:rPr>
          <w:instrText xml:space="preserve"> PAGEREF _Toc48251323 \h </w:instrText>
        </w:r>
        <w:r w:rsidR="00732907">
          <w:rPr>
            <w:noProof/>
            <w:webHidden/>
          </w:rPr>
        </w:r>
        <w:r w:rsidR="00732907">
          <w:rPr>
            <w:noProof/>
            <w:webHidden/>
          </w:rPr>
          <w:fldChar w:fldCharType="separate"/>
        </w:r>
        <w:r w:rsidR="00E8153C">
          <w:rPr>
            <w:noProof/>
            <w:webHidden/>
          </w:rPr>
          <w:t>11</w:t>
        </w:r>
        <w:r w:rsidR="00732907">
          <w:rPr>
            <w:noProof/>
            <w:webHidden/>
          </w:rPr>
          <w:fldChar w:fldCharType="end"/>
        </w:r>
      </w:hyperlink>
    </w:p>
    <w:p w14:paraId="7102E198" w14:textId="5028B5AC"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4" w:history="1">
        <w:r w:rsidR="00732907" w:rsidRPr="00B9053D">
          <w:rPr>
            <w:rStyle w:val="Hyperlink"/>
            <w:noProof/>
          </w:rPr>
          <w:t>Figure 6: 2020 RNA Load and Energy Forecast: Baseline Forecast, and Baseline with BtM Solar PV Forecasts Added Back In</w:t>
        </w:r>
        <w:r w:rsidR="00732907">
          <w:rPr>
            <w:noProof/>
            <w:webHidden/>
          </w:rPr>
          <w:tab/>
        </w:r>
        <w:r w:rsidR="00732907">
          <w:rPr>
            <w:noProof/>
            <w:webHidden/>
          </w:rPr>
          <w:fldChar w:fldCharType="begin"/>
        </w:r>
        <w:r w:rsidR="00732907">
          <w:rPr>
            <w:noProof/>
            <w:webHidden/>
          </w:rPr>
          <w:instrText xml:space="preserve"> PAGEREF _Toc48251324 \h </w:instrText>
        </w:r>
        <w:r w:rsidR="00732907">
          <w:rPr>
            <w:noProof/>
            <w:webHidden/>
          </w:rPr>
        </w:r>
        <w:r w:rsidR="00732907">
          <w:rPr>
            <w:noProof/>
            <w:webHidden/>
          </w:rPr>
          <w:fldChar w:fldCharType="separate"/>
        </w:r>
        <w:r w:rsidR="00E8153C">
          <w:rPr>
            <w:noProof/>
            <w:webHidden/>
          </w:rPr>
          <w:t>19</w:t>
        </w:r>
        <w:r w:rsidR="00732907">
          <w:rPr>
            <w:noProof/>
            <w:webHidden/>
          </w:rPr>
          <w:fldChar w:fldCharType="end"/>
        </w:r>
      </w:hyperlink>
    </w:p>
    <w:p w14:paraId="16956D32" w14:textId="3EC8A42F"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5" w:history="1">
        <w:r w:rsidR="00732907" w:rsidRPr="00B9053D">
          <w:rPr>
            <w:rStyle w:val="Hyperlink"/>
            <w:noProof/>
          </w:rPr>
          <w:t>Figure 7: 2020 RNA Load and Energy for High Load Scenario: High Load Scenario Forecast, and High Load Scenario Forecast with BtM Solar PV Added Back In</w:t>
        </w:r>
        <w:r w:rsidR="00732907">
          <w:rPr>
            <w:noProof/>
            <w:webHidden/>
          </w:rPr>
          <w:tab/>
        </w:r>
        <w:r w:rsidR="00732907">
          <w:rPr>
            <w:noProof/>
            <w:webHidden/>
          </w:rPr>
          <w:fldChar w:fldCharType="begin"/>
        </w:r>
        <w:r w:rsidR="00732907">
          <w:rPr>
            <w:noProof/>
            <w:webHidden/>
          </w:rPr>
          <w:instrText xml:space="preserve"> PAGEREF _Toc48251325 \h </w:instrText>
        </w:r>
        <w:r w:rsidR="00732907">
          <w:rPr>
            <w:noProof/>
            <w:webHidden/>
          </w:rPr>
        </w:r>
        <w:r w:rsidR="00732907">
          <w:rPr>
            <w:noProof/>
            <w:webHidden/>
          </w:rPr>
          <w:fldChar w:fldCharType="separate"/>
        </w:r>
        <w:r w:rsidR="00E8153C">
          <w:rPr>
            <w:noProof/>
            <w:webHidden/>
          </w:rPr>
          <w:t>20</w:t>
        </w:r>
        <w:r w:rsidR="00732907">
          <w:rPr>
            <w:noProof/>
            <w:webHidden/>
          </w:rPr>
          <w:fldChar w:fldCharType="end"/>
        </w:r>
      </w:hyperlink>
    </w:p>
    <w:p w14:paraId="7D8ADD12" w14:textId="2D0F83FE"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6" w:history="1">
        <w:r w:rsidR="00732907" w:rsidRPr="00B9053D">
          <w:rPr>
            <w:rStyle w:val="Hyperlink"/>
            <w:noProof/>
          </w:rPr>
          <w:t>Figure 8: Comparison of 2018 RNA &amp; 2020 Baseline Forecasts</w:t>
        </w:r>
        <w:r w:rsidR="00732907">
          <w:rPr>
            <w:noProof/>
            <w:webHidden/>
          </w:rPr>
          <w:tab/>
        </w:r>
        <w:r w:rsidR="00732907">
          <w:rPr>
            <w:noProof/>
            <w:webHidden/>
          </w:rPr>
          <w:fldChar w:fldCharType="begin"/>
        </w:r>
        <w:r w:rsidR="00732907">
          <w:rPr>
            <w:noProof/>
            <w:webHidden/>
          </w:rPr>
          <w:instrText xml:space="preserve"> PAGEREF _Toc48251326 \h </w:instrText>
        </w:r>
        <w:r w:rsidR="00732907">
          <w:rPr>
            <w:noProof/>
            <w:webHidden/>
          </w:rPr>
        </w:r>
        <w:r w:rsidR="00732907">
          <w:rPr>
            <w:noProof/>
            <w:webHidden/>
          </w:rPr>
          <w:fldChar w:fldCharType="separate"/>
        </w:r>
        <w:r w:rsidR="00E8153C">
          <w:rPr>
            <w:noProof/>
            <w:webHidden/>
          </w:rPr>
          <w:t>21</w:t>
        </w:r>
        <w:r w:rsidR="00732907">
          <w:rPr>
            <w:noProof/>
            <w:webHidden/>
          </w:rPr>
          <w:fldChar w:fldCharType="end"/>
        </w:r>
      </w:hyperlink>
    </w:p>
    <w:p w14:paraId="534FE76F" w14:textId="1B98D993"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7" w:history="1">
        <w:r w:rsidR="00732907" w:rsidRPr="00B9053D">
          <w:rPr>
            <w:rStyle w:val="Hyperlink"/>
            <w:noProof/>
          </w:rPr>
          <w:t>Figure 9: 2020 Baseline and High Load Scenario Energy Forecasts with Solar PV Added Back</w:t>
        </w:r>
        <w:r w:rsidR="00732907">
          <w:rPr>
            <w:noProof/>
            <w:webHidden/>
          </w:rPr>
          <w:tab/>
        </w:r>
        <w:r w:rsidR="00732907">
          <w:rPr>
            <w:noProof/>
            <w:webHidden/>
          </w:rPr>
          <w:fldChar w:fldCharType="begin"/>
        </w:r>
        <w:r w:rsidR="00732907">
          <w:rPr>
            <w:noProof/>
            <w:webHidden/>
          </w:rPr>
          <w:instrText xml:space="preserve"> PAGEREF _Toc48251327 \h </w:instrText>
        </w:r>
        <w:r w:rsidR="00732907">
          <w:rPr>
            <w:noProof/>
            <w:webHidden/>
          </w:rPr>
        </w:r>
        <w:r w:rsidR="00732907">
          <w:rPr>
            <w:noProof/>
            <w:webHidden/>
          </w:rPr>
          <w:fldChar w:fldCharType="separate"/>
        </w:r>
        <w:r w:rsidR="00E8153C">
          <w:rPr>
            <w:noProof/>
            <w:webHidden/>
          </w:rPr>
          <w:t>22</w:t>
        </w:r>
        <w:r w:rsidR="00732907">
          <w:rPr>
            <w:noProof/>
            <w:webHidden/>
          </w:rPr>
          <w:fldChar w:fldCharType="end"/>
        </w:r>
      </w:hyperlink>
    </w:p>
    <w:p w14:paraId="3B6E7CBE" w14:textId="0A03EC61"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8" w:history="1">
        <w:r w:rsidR="00732907" w:rsidRPr="00B9053D">
          <w:rPr>
            <w:rStyle w:val="Hyperlink"/>
            <w:noProof/>
          </w:rPr>
          <w:t>Figure 10: 2020 Baseline and High Load Energy Scenario Summer Peak Demand Forecasts with Solar PV Added Back</w:t>
        </w:r>
        <w:r w:rsidR="00732907">
          <w:rPr>
            <w:noProof/>
            <w:webHidden/>
          </w:rPr>
          <w:tab/>
        </w:r>
        <w:r w:rsidR="00732907">
          <w:rPr>
            <w:noProof/>
            <w:webHidden/>
          </w:rPr>
          <w:fldChar w:fldCharType="begin"/>
        </w:r>
        <w:r w:rsidR="00732907">
          <w:rPr>
            <w:noProof/>
            <w:webHidden/>
          </w:rPr>
          <w:instrText xml:space="preserve"> PAGEREF _Toc48251328 \h </w:instrText>
        </w:r>
        <w:r w:rsidR="00732907">
          <w:rPr>
            <w:noProof/>
            <w:webHidden/>
          </w:rPr>
        </w:r>
        <w:r w:rsidR="00732907">
          <w:rPr>
            <w:noProof/>
            <w:webHidden/>
          </w:rPr>
          <w:fldChar w:fldCharType="separate"/>
        </w:r>
        <w:r w:rsidR="00E8153C">
          <w:rPr>
            <w:noProof/>
            <w:webHidden/>
          </w:rPr>
          <w:t>22</w:t>
        </w:r>
        <w:r w:rsidR="00732907">
          <w:rPr>
            <w:noProof/>
            <w:webHidden/>
          </w:rPr>
          <w:fldChar w:fldCharType="end"/>
        </w:r>
      </w:hyperlink>
    </w:p>
    <w:p w14:paraId="18B462B0" w14:textId="535CAC23"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29" w:history="1">
        <w:r w:rsidR="00732907" w:rsidRPr="00B9053D">
          <w:rPr>
            <w:rStyle w:val="Hyperlink"/>
            <w:noProof/>
          </w:rPr>
          <w:t>Figure 11: 2020 Baseline Annual Energy Forecast Impacts</w:t>
        </w:r>
        <w:r w:rsidR="00732907">
          <w:rPr>
            <w:noProof/>
            <w:webHidden/>
          </w:rPr>
          <w:tab/>
        </w:r>
        <w:r w:rsidR="00732907">
          <w:rPr>
            <w:noProof/>
            <w:webHidden/>
          </w:rPr>
          <w:fldChar w:fldCharType="begin"/>
        </w:r>
        <w:r w:rsidR="00732907">
          <w:rPr>
            <w:noProof/>
            <w:webHidden/>
          </w:rPr>
          <w:instrText xml:space="preserve"> PAGEREF _Toc48251329 \h </w:instrText>
        </w:r>
        <w:r w:rsidR="00732907">
          <w:rPr>
            <w:noProof/>
            <w:webHidden/>
          </w:rPr>
        </w:r>
        <w:r w:rsidR="00732907">
          <w:rPr>
            <w:noProof/>
            <w:webHidden/>
          </w:rPr>
          <w:fldChar w:fldCharType="separate"/>
        </w:r>
        <w:r w:rsidR="00E8153C">
          <w:rPr>
            <w:noProof/>
            <w:webHidden/>
          </w:rPr>
          <w:t>23</w:t>
        </w:r>
        <w:r w:rsidR="00732907">
          <w:rPr>
            <w:noProof/>
            <w:webHidden/>
          </w:rPr>
          <w:fldChar w:fldCharType="end"/>
        </w:r>
      </w:hyperlink>
    </w:p>
    <w:p w14:paraId="5B3AAF5C" w14:textId="5473CCB4"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0" w:history="1">
        <w:r w:rsidR="00732907" w:rsidRPr="00B9053D">
          <w:rPr>
            <w:rStyle w:val="Hyperlink"/>
            <w:noProof/>
          </w:rPr>
          <w:t>Figure 12: 2020 Baseline Summer Peak Demand Forecast Impacts</w:t>
        </w:r>
        <w:r w:rsidR="00732907">
          <w:rPr>
            <w:noProof/>
            <w:webHidden/>
          </w:rPr>
          <w:tab/>
        </w:r>
        <w:r w:rsidR="00732907">
          <w:rPr>
            <w:noProof/>
            <w:webHidden/>
          </w:rPr>
          <w:fldChar w:fldCharType="begin"/>
        </w:r>
        <w:r w:rsidR="00732907">
          <w:rPr>
            <w:noProof/>
            <w:webHidden/>
          </w:rPr>
          <w:instrText xml:space="preserve"> PAGEREF _Toc48251330 \h </w:instrText>
        </w:r>
        <w:r w:rsidR="00732907">
          <w:rPr>
            <w:noProof/>
            <w:webHidden/>
          </w:rPr>
        </w:r>
        <w:r w:rsidR="00732907">
          <w:rPr>
            <w:noProof/>
            <w:webHidden/>
          </w:rPr>
          <w:fldChar w:fldCharType="separate"/>
        </w:r>
        <w:r w:rsidR="00E8153C">
          <w:rPr>
            <w:noProof/>
            <w:webHidden/>
          </w:rPr>
          <w:t>23</w:t>
        </w:r>
        <w:r w:rsidR="00732907">
          <w:rPr>
            <w:noProof/>
            <w:webHidden/>
          </w:rPr>
          <w:fldChar w:fldCharType="end"/>
        </w:r>
      </w:hyperlink>
    </w:p>
    <w:p w14:paraId="756649D0" w14:textId="63C52C53"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1" w:history="1">
        <w:r w:rsidR="00732907" w:rsidRPr="00B9053D">
          <w:rPr>
            <w:rStyle w:val="Hyperlink"/>
            <w:noProof/>
          </w:rPr>
          <w:t>Figure 13: Forecast of BTM Solar PV Coincident Summer Peak Demand Reductions (MW)</w:t>
        </w:r>
        <w:r w:rsidR="00732907">
          <w:rPr>
            <w:noProof/>
            <w:webHidden/>
          </w:rPr>
          <w:tab/>
        </w:r>
        <w:r w:rsidR="00732907">
          <w:rPr>
            <w:noProof/>
            <w:webHidden/>
          </w:rPr>
          <w:fldChar w:fldCharType="begin"/>
        </w:r>
        <w:r w:rsidR="00732907">
          <w:rPr>
            <w:noProof/>
            <w:webHidden/>
          </w:rPr>
          <w:instrText xml:space="preserve"> PAGEREF _Toc48251331 \h </w:instrText>
        </w:r>
        <w:r w:rsidR="00732907">
          <w:rPr>
            <w:noProof/>
            <w:webHidden/>
          </w:rPr>
        </w:r>
        <w:r w:rsidR="00732907">
          <w:rPr>
            <w:noProof/>
            <w:webHidden/>
          </w:rPr>
          <w:fldChar w:fldCharType="separate"/>
        </w:r>
        <w:r w:rsidR="00E8153C">
          <w:rPr>
            <w:noProof/>
            <w:webHidden/>
          </w:rPr>
          <w:t>24</w:t>
        </w:r>
        <w:r w:rsidR="00732907">
          <w:rPr>
            <w:noProof/>
            <w:webHidden/>
          </w:rPr>
          <w:fldChar w:fldCharType="end"/>
        </w:r>
      </w:hyperlink>
    </w:p>
    <w:p w14:paraId="702AB841" w14:textId="7497387D"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2" w:history="1">
        <w:r w:rsidR="00732907" w:rsidRPr="00B9053D">
          <w:rPr>
            <w:rStyle w:val="Hyperlink"/>
            <w:noProof/>
          </w:rPr>
          <w:t>Figure 14: Proposed Projects Included in the 2020 RNA Base Case</w:t>
        </w:r>
        <w:r w:rsidR="00732907">
          <w:rPr>
            <w:noProof/>
            <w:webHidden/>
          </w:rPr>
          <w:tab/>
        </w:r>
        <w:r w:rsidR="00732907">
          <w:rPr>
            <w:noProof/>
            <w:webHidden/>
          </w:rPr>
          <w:fldChar w:fldCharType="begin"/>
        </w:r>
        <w:r w:rsidR="00732907">
          <w:rPr>
            <w:noProof/>
            <w:webHidden/>
          </w:rPr>
          <w:instrText xml:space="preserve"> PAGEREF _Toc48251332 \h </w:instrText>
        </w:r>
        <w:r w:rsidR="00732907">
          <w:rPr>
            <w:noProof/>
            <w:webHidden/>
          </w:rPr>
        </w:r>
        <w:r w:rsidR="00732907">
          <w:rPr>
            <w:noProof/>
            <w:webHidden/>
          </w:rPr>
          <w:fldChar w:fldCharType="separate"/>
        </w:r>
        <w:r w:rsidR="00E8153C">
          <w:rPr>
            <w:noProof/>
            <w:webHidden/>
          </w:rPr>
          <w:t>26</w:t>
        </w:r>
        <w:r w:rsidR="00732907">
          <w:rPr>
            <w:noProof/>
            <w:webHidden/>
          </w:rPr>
          <w:fldChar w:fldCharType="end"/>
        </w:r>
      </w:hyperlink>
    </w:p>
    <w:p w14:paraId="31EB9405" w14:textId="1F3EA54A"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3" w:history="1">
        <w:r w:rsidR="00732907" w:rsidRPr="00B9053D">
          <w:rPr>
            <w:rStyle w:val="Hyperlink"/>
            <w:noProof/>
          </w:rPr>
          <w:t>Figure 15: 2020 RNA Generation Deactivations Assumptions</w:t>
        </w:r>
        <w:r w:rsidR="00732907">
          <w:rPr>
            <w:noProof/>
            <w:webHidden/>
          </w:rPr>
          <w:tab/>
        </w:r>
        <w:r w:rsidR="00732907">
          <w:rPr>
            <w:noProof/>
            <w:webHidden/>
          </w:rPr>
          <w:fldChar w:fldCharType="begin"/>
        </w:r>
        <w:r w:rsidR="00732907">
          <w:rPr>
            <w:noProof/>
            <w:webHidden/>
          </w:rPr>
          <w:instrText xml:space="preserve"> PAGEREF _Toc48251333 \h </w:instrText>
        </w:r>
        <w:r w:rsidR="00732907">
          <w:rPr>
            <w:noProof/>
            <w:webHidden/>
          </w:rPr>
        </w:r>
        <w:r w:rsidR="00732907">
          <w:rPr>
            <w:noProof/>
            <w:webHidden/>
          </w:rPr>
          <w:fldChar w:fldCharType="separate"/>
        </w:r>
        <w:r w:rsidR="00E8153C">
          <w:rPr>
            <w:noProof/>
            <w:webHidden/>
          </w:rPr>
          <w:t>27</w:t>
        </w:r>
        <w:r w:rsidR="00732907">
          <w:rPr>
            <w:noProof/>
            <w:webHidden/>
          </w:rPr>
          <w:fldChar w:fldCharType="end"/>
        </w:r>
      </w:hyperlink>
    </w:p>
    <w:p w14:paraId="359A47C7" w14:textId="5F95D4C1"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4" w:history="1">
        <w:r w:rsidR="00732907" w:rsidRPr="00B9053D">
          <w:rPr>
            <w:rStyle w:val="Hyperlink"/>
            <w:noProof/>
          </w:rPr>
          <w:t>Figure 16: Existing Plants Impacted by DEC’s Peaker Rule (additional details on peakers status by ozone season are in Appendix D)</w:t>
        </w:r>
        <w:r w:rsidR="00732907">
          <w:rPr>
            <w:noProof/>
            <w:webHidden/>
          </w:rPr>
          <w:tab/>
        </w:r>
        <w:r w:rsidR="00732907">
          <w:rPr>
            <w:noProof/>
            <w:webHidden/>
          </w:rPr>
          <w:fldChar w:fldCharType="begin"/>
        </w:r>
        <w:r w:rsidR="00732907">
          <w:rPr>
            <w:noProof/>
            <w:webHidden/>
          </w:rPr>
          <w:instrText xml:space="preserve"> PAGEREF _Toc48251334 \h </w:instrText>
        </w:r>
        <w:r w:rsidR="00732907">
          <w:rPr>
            <w:noProof/>
            <w:webHidden/>
          </w:rPr>
        </w:r>
        <w:r w:rsidR="00732907">
          <w:rPr>
            <w:noProof/>
            <w:webHidden/>
          </w:rPr>
          <w:fldChar w:fldCharType="separate"/>
        </w:r>
        <w:r w:rsidR="00E8153C">
          <w:rPr>
            <w:noProof/>
            <w:webHidden/>
          </w:rPr>
          <w:t>28</w:t>
        </w:r>
        <w:r w:rsidR="00732907">
          <w:rPr>
            <w:noProof/>
            <w:webHidden/>
          </w:rPr>
          <w:fldChar w:fldCharType="end"/>
        </w:r>
      </w:hyperlink>
    </w:p>
    <w:p w14:paraId="7AC06D77" w14:textId="044775DC"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5" w:history="1">
        <w:r w:rsidR="00732907" w:rsidRPr="00B9053D">
          <w:rPr>
            <w:rStyle w:val="Hyperlink"/>
            <w:noProof/>
          </w:rPr>
          <w:t>Figure 17: Additional Proposed Generation Projects from the 2020 Gold Book</w:t>
        </w:r>
        <w:r w:rsidR="00732907">
          <w:rPr>
            <w:noProof/>
            <w:webHidden/>
          </w:rPr>
          <w:tab/>
        </w:r>
        <w:r w:rsidR="00732907">
          <w:rPr>
            <w:noProof/>
            <w:webHidden/>
          </w:rPr>
          <w:fldChar w:fldCharType="begin"/>
        </w:r>
        <w:r w:rsidR="00732907">
          <w:rPr>
            <w:noProof/>
            <w:webHidden/>
          </w:rPr>
          <w:instrText xml:space="preserve"> PAGEREF _Toc48251335 \h </w:instrText>
        </w:r>
        <w:r w:rsidR="00732907">
          <w:rPr>
            <w:noProof/>
            <w:webHidden/>
          </w:rPr>
        </w:r>
        <w:r w:rsidR="00732907">
          <w:rPr>
            <w:noProof/>
            <w:webHidden/>
          </w:rPr>
          <w:fldChar w:fldCharType="separate"/>
        </w:r>
        <w:r w:rsidR="00E8153C">
          <w:rPr>
            <w:noProof/>
            <w:webHidden/>
          </w:rPr>
          <w:t>30</w:t>
        </w:r>
        <w:r w:rsidR="00732907">
          <w:rPr>
            <w:noProof/>
            <w:webHidden/>
          </w:rPr>
          <w:fldChar w:fldCharType="end"/>
        </w:r>
      </w:hyperlink>
    </w:p>
    <w:p w14:paraId="433455B5" w14:textId="279D18BE"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6" w:history="1">
        <w:r w:rsidR="00732907" w:rsidRPr="00B9053D">
          <w:rPr>
            <w:rStyle w:val="Hyperlink"/>
            <w:noProof/>
          </w:rPr>
          <w:t>Figure 18: Additional Proposed Transmission Projects from the 2020 Gold Book</w:t>
        </w:r>
        <w:r w:rsidR="00732907">
          <w:rPr>
            <w:noProof/>
            <w:webHidden/>
          </w:rPr>
          <w:tab/>
        </w:r>
        <w:r w:rsidR="00732907">
          <w:rPr>
            <w:noProof/>
            <w:webHidden/>
          </w:rPr>
          <w:fldChar w:fldCharType="begin"/>
        </w:r>
        <w:r w:rsidR="00732907">
          <w:rPr>
            <w:noProof/>
            <w:webHidden/>
          </w:rPr>
          <w:instrText xml:space="preserve"> PAGEREF _Toc48251336 \h </w:instrText>
        </w:r>
        <w:r w:rsidR="00732907">
          <w:rPr>
            <w:noProof/>
            <w:webHidden/>
          </w:rPr>
        </w:r>
        <w:r w:rsidR="00732907">
          <w:rPr>
            <w:noProof/>
            <w:webHidden/>
          </w:rPr>
          <w:fldChar w:fldCharType="separate"/>
        </w:r>
        <w:r w:rsidR="00E8153C">
          <w:rPr>
            <w:noProof/>
            <w:webHidden/>
          </w:rPr>
          <w:t>33</w:t>
        </w:r>
        <w:r w:rsidR="00732907">
          <w:rPr>
            <w:noProof/>
            <w:webHidden/>
          </w:rPr>
          <w:fldChar w:fldCharType="end"/>
        </w:r>
      </w:hyperlink>
    </w:p>
    <w:p w14:paraId="49C8D4C0" w14:textId="140E6445"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7" w:history="1">
        <w:r w:rsidR="00732907" w:rsidRPr="00B9053D">
          <w:rPr>
            <w:rStyle w:val="Hyperlink"/>
            <w:noProof/>
          </w:rPr>
          <w:t>Figure 19: NYCA Peak Load and Resources 2024 through 2030</w:t>
        </w:r>
        <w:r w:rsidR="00732907">
          <w:rPr>
            <w:noProof/>
            <w:webHidden/>
          </w:rPr>
          <w:tab/>
        </w:r>
        <w:r w:rsidR="00732907">
          <w:rPr>
            <w:noProof/>
            <w:webHidden/>
          </w:rPr>
          <w:fldChar w:fldCharType="begin"/>
        </w:r>
        <w:r w:rsidR="00732907">
          <w:rPr>
            <w:noProof/>
            <w:webHidden/>
          </w:rPr>
          <w:instrText xml:space="preserve"> PAGEREF _Toc48251337 \h </w:instrText>
        </w:r>
        <w:r w:rsidR="00732907">
          <w:rPr>
            <w:noProof/>
            <w:webHidden/>
          </w:rPr>
        </w:r>
        <w:r w:rsidR="00732907">
          <w:rPr>
            <w:noProof/>
            <w:webHidden/>
          </w:rPr>
          <w:fldChar w:fldCharType="separate"/>
        </w:r>
        <w:r w:rsidR="00E8153C">
          <w:rPr>
            <w:noProof/>
            <w:webHidden/>
          </w:rPr>
          <w:t>35</w:t>
        </w:r>
        <w:r w:rsidR="00732907">
          <w:rPr>
            <w:noProof/>
            <w:webHidden/>
          </w:rPr>
          <w:fldChar w:fldCharType="end"/>
        </w:r>
      </w:hyperlink>
    </w:p>
    <w:p w14:paraId="389694FB" w14:textId="57D23B0A"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8" w:history="1">
        <w:r w:rsidR="00732907" w:rsidRPr="00B9053D">
          <w:rPr>
            <w:rStyle w:val="Hyperlink"/>
            <w:noProof/>
          </w:rPr>
          <w:t>Figure 19a: ICAP vs UCAP for 2030</w:t>
        </w:r>
        <w:r w:rsidR="00732907">
          <w:rPr>
            <w:noProof/>
            <w:webHidden/>
          </w:rPr>
          <w:tab/>
        </w:r>
        <w:r w:rsidR="00732907">
          <w:rPr>
            <w:noProof/>
            <w:webHidden/>
          </w:rPr>
          <w:fldChar w:fldCharType="begin"/>
        </w:r>
        <w:r w:rsidR="00732907">
          <w:rPr>
            <w:noProof/>
            <w:webHidden/>
          </w:rPr>
          <w:instrText xml:space="preserve"> PAGEREF _Toc48251338 \h </w:instrText>
        </w:r>
        <w:r w:rsidR="00732907">
          <w:rPr>
            <w:noProof/>
            <w:webHidden/>
          </w:rPr>
        </w:r>
        <w:r w:rsidR="00732907">
          <w:rPr>
            <w:noProof/>
            <w:webHidden/>
          </w:rPr>
          <w:fldChar w:fldCharType="separate"/>
        </w:r>
        <w:r w:rsidR="00E8153C">
          <w:rPr>
            <w:noProof/>
            <w:webHidden/>
          </w:rPr>
          <w:t>36</w:t>
        </w:r>
        <w:r w:rsidR="00732907">
          <w:rPr>
            <w:noProof/>
            <w:webHidden/>
          </w:rPr>
          <w:fldChar w:fldCharType="end"/>
        </w:r>
      </w:hyperlink>
    </w:p>
    <w:p w14:paraId="03DE22C0" w14:textId="4121A4FF"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39" w:history="1">
        <w:r w:rsidR="00732907" w:rsidRPr="00B9053D">
          <w:rPr>
            <w:rStyle w:val="Hyperlink"/>
            <w:noProof/>
          </w:rPr>
          <w:t>Figure 20: NYCA Load and Resources Comparison with the 2019 - 2028 CRP</w:t>
        </w:r>
        <w:r w:rsidR="00732907">
          <w:rPr>
            <w:noProof/>
            <w:webHidden/>
          </w:rPr>
          <w:tab/>
        </w:r>
        <w:r w:rsidR="00732907">
          <w:rPr>
            <w:noProof/>
            <w:webHidden/>
          </w:rPr>
          <w:fldChar w:fldCharType="begin"/>
        </w:r>
        <w:r w:rsidR="00732907">
          <w:rPr>
            <w:noProof/>
            <w:webHidden/>
          </w:rPr>
          <w:instrText xml:space="preserve"> PAGEREF _Toc48251339 \h </w:instrText>
        </w:r>
        <w:r w:rsidR="00732907">
          <w:rPr>
            <w:noProof/>
            <w:webHidden/>
          </w:rPr>
        </w:r>
        <w:r w:rsidR="00732907">
          <w:rPr>
            <w:noProof/>
            <w:webHidden/>
          </w:rPr>
          <w:fldChar w:fldCharType="separate"/>
        </w:r>
        <w:r w:rsidR="00E8153C">
          <w:rPr>
            <w:noProof/>
            <w:webHidden/>
          </w:rPr>
          <w:t>37</w:t>
        </w:r>
        <w:r w:rsidR="00732907">
          <w:rPr>
            <w:noProof/>
            <w:webHidden/>
          </w:rPr>
          <w:fldChar w:fldCharType="end"/>
        </w:r>
      </w:hyperlink>
    </w:p>
    <w:p w14:paraId="7BE7D0C0" w14:textId="67A0817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0" w:history="1">
        <w:r w:rsidR="00732907" w:rsidRPr="00B9053D">
          <w:rPr>
            <w:rStyle w:val="Hyperlink"/>
            <w:noProof/>
          </w:rPr>
          <w:t>Figure 21: 2020 RNA Zone J Load and Capacity Comparison with the 2019 - 2028 CRP</w:t>
        </w:r>
        <w:r w:rsidR="00732907">
          <w:rPr>
            <w:noProof/>
            <w:webHidden/>
          </w:rPr>
          <w:tab/>
        </w:r>
        <w:r w:rsidR="00732907">
          <w:rPr>
            <w:noProof/>
            <w:webHidden/>
          </w:rPr>
          <w:fldChar w:fldCharType="begin"/>
        </w:r>
        <w:r w:rsidR="00732907">
          <w:rPr>
            <w:noProof/>
            <w:webHidden/>
          </w:rPr>
          <w:instrText xml:space="preserve"> PAGEREF _Toc48251340 \h </w:instrText>
        </w:r>
        <w:r w:rsidR="00732907">
          <w:rPr>
            <w:noProof/>
            <w:webHidden/>
          </w:rPr>
        </w:r>
        <w:r w:rsidR="00732907">
          <w:rPr>
            <w:noProof/>
            <w:webHidden/>
          </w:rPr>
          <w:fldChar w:fldCharType="separate"/>
        </w:r>
        <w:r w:rsidR="00E8153C">
          <w:rPr>
            <w:noProof/>
            <w:webHidden/>
          </w:rPr>
          <w:t>37</w:t>
        </w:r>
        <w:r w:rsidR="00732907">
          <w:rPr>
            <w:noProof/>
            <w:webHidden/>
          </w:rPr>
          <w:fldChar w:fldCharType="end"/>
        </w:r>
      </w:hyperlink>
    </w:p>
    <w:p w14:paraId="07404E04" w14:textId="04F725A8"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1" w:history="1">
        <w:r w:rsidR="00732907" w:rsidRPr="00B9053D">
          <w:rPr>
            <w:rStyle w:val="Hyperlink"/>
            <w:noProof/>
          </w:rPr>
          <w:t>Figure 22: Transmission System Thermal Emergency Transfer Limits</w:t>
        </w:r>
        <w:r w:rsidR="00732907">
          <w:rPr>
            <w:noProof/>
            <w:webHidden/>
          </w:rPr>
          <w:tab/>
        </w:r>
        <w:r w:rsidR="00732907">
          <w:rPr>
            <w:noProof/>
            <w:webHidden/>
          </w:rPr>
          <w:fldChar w:fldCharType="begin"/>
        </w:r>
        <w:r w:rsidR="00732907">
          <w:rPr>
            <w:noProof/>
            <w:webHidden/>
          </w:rPr>
          <w:instrText xml:space="preserve"> PAGEREF _Toc48251341 \h </w:instrText>
        </w:r>
        <w:r w:rsidR="00732907">
          <w:rPr>
            <w:noProof/>
            <w:webHidden/>
          </w:rPr>
        </w:r>
        <w:r w:rsidR="00732907">
          <w:rPr>
            <w:noProof/>
            <w:webHidden/>
          </w:rPr>
          <w:fldChar w:fldCharType="separate"/>
        </w:r>
        <w:r w:rsidR="00E8153C">
          <w:rPr>
            <w:noProof/>
            <w:webHidden/>
          </w:rPr>
          <w:t>43</w:t>
        </w:r>
        <w:r w:rsidR="00732907">
          <w:rPr>
            <w:noProof/>
            <w:webHidden/>
          </w:rPr>
          <w:fldChar w:fldCharType="end"/>
        </w:r>
      </w:hyperlink>
    </w:p>
    <w:p w14:paraId="48FD9119" w14:textId="0CF02BE1"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2" w:history="1">
        <w:r w:rsidR="00732907" w:rsidRPr="00B9053D">
          <w:rPr>
            <w:rStyle w:val="Hyperlink"/>
            <w:noProof/>
          </w:rPr>
          <w:t>Figure 23: Transmission System Voltage Emergency Transfer Limits</w:t>
        </w:r>
        <w:r w:rsidR="00732907">
          <w:rPr>
            <w:noProof/>
            <w:webHidden/>
          </w:rPr>
          <w:tab/>
        </w:r>
        <w:r w:rsidR="00732907">
          <w:rPr>
            <w:noProof/>
            <w:webHidden/>
          </w:rPr>
          <w:fldChar w:fldCharType="begin"/>
        </w:r>
        <w:r w:rsidR="00732907">
          <w:rPr>
            <w:noProof/>
            <w:webHidden/>
          </w:rPr>
          <w:instrText xml:space="preserve"> PAGEREF _Toc48251342 \h </w:instrText>
        </w:r>
        <w:r w:rsidR="00732907">
          <w:rPr>
            <w:noProof/>
            <w:webHidden/>
          </w:rPr>
        </w:r>
        <w:r w:rsidR="00732907">
          <w:rPr>
            <w:noProof/>
            <w:webHidden/>
          </w:rPr>
          <w:fldChar w:fldCharType="separate"/>
        </w:r>
        <w:r w:rsidR="00E8153C">
          <w:rPr>
            <w:noProof/>
            <w:webHidden/>
          </w:rPr>
          <w:t>43</w:t>
        </w:r>
        <w:r w:rsidR="00732907">
          <w:rPr>
            <w:noProof/>
            <w:webHidden/>
          </w:rPr>
          <w:fldChar w:fldCharType="end"/>
        </w:r>
      </w:hyperlink>
    </w:p>
    <w:p w14:paraId="42B434EA" w14:textId="6BAED6F4"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3" w:history="1">
        <w:r w:rsidR="00732907" w:rsidRPr="00B9053D">
          <w:rPr>
            <w:rStyle w:val="Hyperlink"/>
            <w:noProof/>
          </w:rPr>
          <w:t>Figure 24: Transmission System Base Case Emergency Transfer Limits</w:t>
        </w:r>
        <w:r w:rsidR="00732907">
          <w:rPr>
            <w:noProof/>
            <w:webHidden/>
          </w:rPr>
          <w:tab/>
        </w:r>
        <w:r w:rsidR="00732907">
          <w:rPr>
            <w:noProof/>
            <w:webHidden/>
          </w:rPr>
          <w:fldChar w:fldCharType="begin"/>
        </w:r>
        <w:r w:rsidR="00732907">
          <w:rPr>
            <w:noProof/>
            <w:webHidden/>
          </w:rPr>
          <w:instrText xml:space="preserve"> PAGEREF _Toc48251343 \h </w:instrText>
        </w:r>
        <w:r w:rsidR="00732907">
          <w:rPr>
            <w:noProof/>
            <w:webHidden/>
          </w:rPr>
        </w:r>
        <w:r w:rsidR="00732907">
          <w:rPr>
            <w:noProof/>
            <w:webHidden/>
          </w:rPr>
          <w:fldChar w:fldCharType="separate"/>
        </w:r>
        <w:r w:rsidR="00E8153C">
          <w:rPr>
            <w:noProof/>
            <w:webHidden/>
          </w:rPr>
          <w:t>43</w:t>
        </w:r>
        <w:r w:rsidR="00732907">
          <w:rPr>
            <w:noProof/>
            <w:webHidden/>
          </w:rPr>
          <w:fldChar w:fldCharType="end"/>
        </w:r>
      </w:hyperlink>
    </w:p>
    <w:p w14:paraId="165EBDC4" w14:textId="1E576E4F"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4" w:history="1">
        <w:r w:rsidR="00732907" w:rsidRPr="00B9053D">
          <w:rPr>
            <w:rStyle w:val="Hyperlink"/>
            <w:noProof/>
          </w:rPr>
          <w:t>Figure 25: 2020 RNA Topology Year 4 -10 (2024 -2030)</w:t>
        </w:r>
        <w:r w:rsidR="00732907">
          <w:rPr>
            <w:noProof/>
            <w:webHidden/>
          </w:rPr>
          <w:tab/>
        </w:r>
        <w:r w:rsidR="00732907">
          <w:rPr>
            <w:noProof/>
            <w:webHidden/>
          </w:rPr>
          <w:fldChar w:fldCharType="begin"/>
        </w:r>
        <w:r w:rsidR="00732907">
          <w:rPr>
            <w:noProof/>
            <w:webHidden/>
          </w:rPr>
          <w:instrText xml:space="preserve"> PAGEREF _Toc48251344 \h </w:instrText>
        </w:r>
        <w:r w:rsidR="00732907">
          <w:rPr>
            <w:noProof/>
            <w:webHidden/>
          </w:rPr>
        </w:r>
        <w:r w:rsidR="00732907">
          <w:rPr>
            <w:noProof/>
            <w:webHidden/>
          </w:rPr>
          <w:fldChar w:fldCharType="separate"/>
        </w:r>
        <w:r w:rsidR="00E8153C">
          <w:rPr>
            <w:noProof/>
            <w:webHidden/>
          </w:rPr>
          <w:t>45</w:t>
        </w:r>
        <w:r w:rsidR="00732907">
          <w:rPr>
            <w:noProof/>
            <w:webHidden/>
          </w:rPr>
          <w:fldChar w:fldCharType="end"/>
        </w:r>
      </w:hyperlink>
    </w:p>
    <w:p w14:paraId="4BA2C9FD" w14:textId="0B09D0D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5" w:history="1">
        <w:r w:rsidR="00732907" w:rsidRPr="00B9053D">
          <w:rPr>
            <w:rStyle w:val="Hyperlink"/>
            <w:noProof/>
          </w:rPr>
          <w:t>Figure 26: Topology Year 1 (2021)</w:t>
        </w:r>
        <w:r w:rsidR="00732907">
          <w:rPr>
            <w:noProof/>
            <w:webHidden/>
          </w:rPr>
          <w:tab/>
        </w:r>
        <w:r w:rsidR="00732907">
          <w:rPr>
            <w:noProof/>
            <w:webHidden/>
          </w:rPr>
          <w:fldChar w:fldCharType="begin"/>
        </w:r>
        <w:r w:rsidR="00732907">
          <w:rPr>
            <w:noProof/>
            <w:webHidden/>
          </w:rPr>
          <w:instrText xml:space="preserve"> PAGEREF _Toc48251345 \h </w:instrText>
        </w:r>
        <w:r w:rsidR="00732907">
          <w:rPr>
            <w:noProof/>
            <w:webHidden/>
          </w:rPr>
        </w:r>
        <w:r w:rsidR="00732907">
          <w:rPr>
            <w:noProof/>
            <w:webHidden/>
          </w:rPr>
          <w:fldChar w:fldCharType="separate"/>
        </w:r>
        <w:r w:rsidR="00E8153C">
          <w:rPr>
            <w:noProof/>
            <w:webHidden/>
          </w:rPr>
          <w:t>46</w:t>
        </w:r>
        <w:r w:rsidR="00732907">
          <w:rPr>
            <w:noProof/>
            <w:webHidden/>
          </w:rPr>
          <w:fldChar w:fldCharType="end"/>
        </w:r>
      </w:hyperlink>
    </w:p>
    <w:p w14:paraId="3F2BDB2F" w14:textId="562C6558"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6" w:history="1">
        <w:r w:rsidR="00732907" w:rsidRPr="00B9053D">
          <w:rPr>
            <w:rStyle w:val="Hyperlink"/>
            <w:noProof/>
          </w:rPr>
          <w:t>Figure 27: Topology Year 2- 3 (2022- 2023)</w:t>
        </w:r>
        <w:r w:rsidR="00732907">
          <w:rPr>
            <w:noProof/>
            <w:webHidden/>
          </w:rPr>
          <w:tab/>
        </w:r>
        <w:r w:rsidR="00732907">
          <w:rPr>
            <w:noProof/>
            <w:webHidden/>
          </w:rPr>
          <w:fldChar w:fldCharType="begin"/>
        </w:r>
        <w:r w:rsidR="00732907">
          <w:rPr>
            <w:noProof/>
            <w:webHidden/>
          </w:rPr>
          <w:instrText xml:space="preserve"> PAGEREF _Toc48251346 \h </w:instrText>
        </w:r>
        <w:r w:rsidR="00732907">
          <w:rPr>
            <w:noProof/>
            <w:webHidden/>
          </w:rPr>
        </w:r>
        <w:r w:rsidR="00732907">
          <w:rPr>
            <w:noProof/>
            <w:webHidden/>
          </w:rPr>
          <w:fldChar w:fldCharType="separate"/>
        </w:r>
        <w:r w:rsidR="00E8153C">
          <w:rPr>
            <w:noProof/>
            <w:webHidden/>
          </w:rPr>
          <w:t>47</w:t>
        </w:r>
        <w:r w:rsidR="00732907">
          <w:rPr>
            <w:noProof/>
            <w:webHidden/>
          </w:rPr>
          <w:fldChar w:fldCharType="end"/>
        </w:r>
      </w:hyperlink>
    </w:p>
    <w:p w14:paraId="10845F9C" w14:textId="1E51A71F"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7" w:history="1">
        <w:r w:rsidR="00732907" w:rsidRPr="00B9053D">
          <w:rPr>
            <w:rStyle w:val="Hyperlink"/>
            <w:noProof/>
          </w:rPr>
          <w:t>Figure 28: NYCA Resource Adequacy Results</w:t>
        </w:r>
        <w:r w:rsidR="00732907">
          <w:rPr>
            <w:noProof/>
            <w:webHidden/>
          </w:rPr>
          <w:tab/>
        </w:r>
        <w:r w:rsidR="00732907">
          <w:rPr>
            <w:noProof/>
            <w:webHidden/>
          </w:rPr>
          <w:fldChar w:fldCharType="begin"/>
        </w:r>
        <w:r w:rsidR="00732907">
          <w:rPr>
            <w:noProof/>
            <w:webHidden/>
          </w:rPr>
          <w:instrText xml:space="preserve"> PAGEREF _Toc48251347 \h </w:instrText>
        </w:r>
        <w:r w:rsidR="00732907">
          <w:rPr>
            <w:noProof/>
            <w:webHidden/>
          </w:rPr>
        </w:r>
        <w:r w:rsidR="00732907">
          <w:rPr>
            <w:noProof/>
            <w:webHidden/>
          </w:rPr>
          <w:fldChar w:fldCharType="separate"/>
        </w:r>
        <w:r w:rsidR="00E8153C">
          <w:rPr>
            <w:noProof/>
            <w:webHidden/>
          </w:rPr>
          <w:t>48</w:t>
        </w:r>
        <w:r w:rsidR="00732907">
          <w:rPr>
            <w:noProof/>
            <w:webHidden/>
          </w:rPr>
          <w:fldChar w:fldCharType="end"/>
        </w:r>
      </w:hyperlink>
    </w:p>
    <w:p w14:paraId="4154ACBA" w14:textId="32A56CF4"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8" w:history="1">
        <w:r w:rsidR="00732907" w:rsidRPr="00B9053D">
          <w:rPr>
            <w:rStyle w:val="Hyperlink"/>
            <w:noProof/>
          </w:rPr>
          <w:t>Figure 29: 2020 RNA Zone J Load and Capacity Comparison with the 2019 – 2028 CRP</w:t>
        </w:r>
        <w:r w:rsidR="00732907">
          <w:rPr>
            <w:noProof/>
            <w:webHidden/>
          </w:rPr>
          <w:tab/>
        </w:r>
        <w:r w:rsidR="00732907">
          <w:rPr>
            <w:noProof/>
            <w:webHidden/>
          </w:rPr>
          <w:fldChar w:fldCharType="begin"/>
        </w:r>
        <w:r w:rsidR="00732907">
          <w:rPr>
            <w:noProof/>
            <w:webHidden/>
          </w:rPr>
          <w:instrText xml:space="preserve"> PAGEREF _Toc48251348 \h </w:instrText>
        </w:r>
        <w:r w:rsidR="00732907">
          <w:rPr>
            <w:noProof/>
            <w:webHidden/>
          </w:rPr>
        </w:r>
        <w:r w:rsidR="00732907">
          <w:rPr>
            <w:noProof/>
            <w:webHidden/>
          </w:rPr>
          <w:fldChar w:fldCharType="separate"/>
        </w:r>
        <w:r w:rsidR="00E8153C">
          <w:rPr>
            <w:noProof/>
            <w:webHidden/>
          </w:rPr>
          <w:t>49</w:t>
        </w:r>
        <w:r w:rsidR="00732907">
          <w:rPr>
            <w:noProof/>
            <w:webHidden/>
          </w:rPr>
          <w:fldChar w:fldCharType="end"/>
        </w:r>
      </w:hyperlink>
    </w:p>
    <w:p w14:paraId="6873393B" w14:textId="47D48C3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49" w:history="1">
        <w:r w:rsidR="00732907" w:rsidRPr="00B9053D">
          <w:rPr>
            <w:rStyle w:val="Hyperlink"/>
            <w:noProof/>
          </w:rPr>
          <w:t>Figure 30: Compensatory MW Additions for Resource Adequacy Violations</w:t>
        </w:r>
        <w:r w:rsidR="00732907">
          <w:rPr>
            <w:noProof/>
            <w:webHidden/>
          </w:rPr>
          <w:tab/>
        </w:r>
        <w:r w:rsidR="00732907">
          <w:rPr>
            <w:noProof/>
            <w:webHidden/>
          </w:rPr>
          <w:fldChar w:fldCharType="begin"/>
        </w:r>
        <w:r w:rsidR="00732907">
          <w:rPr>
            <w:noProof/>
            <w:webHidden/>
          </w:rPr>
          <w:instrText xml:space="preserve"> PAGEREF _Toc48251349 \h </w:instrText>
        </w:r>
        <w:r w:rsidR="00732907">
          <w:rPr>
            <w:noProof/>
            <w:webHidden/>
          </w:rPr>
        </w:r>
        <w:r w:rsidR="00732907">
          <w:rPr>
            <w:noProof/>
            <w:webHidden/>
          </w:rPr>
          <w:fldChar w:fldCharType="separate"/>
        </w:r>
        <w:r w:rsidR="00E8153C">
          <w:rPr>
            <w:noProof/>
            <w:webHidden/>
          </w:rPr>
          <w:t>50</w:t>
        </w:r>
        <w:r w:rsidR="00732907">
          <w:rPr>
            <w:noProof/>
            <w:webHidden/>
          </w:rPr>
          <w:fldChar w:fldCharType="end"/>
        </w:r>
      </w:hyperlink>
    </w:p>
    <w:p w14:paraId="27676839" w14:textId="6E5A3529"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0" w:history="1">
        <w:r w:rsidR="00732907" w:rsidRPr="00B9053D">
          <w:rPr>
            <w:rStyle w:val="Hyperlink"/>
            <w:noProof/>
          </w:rPr>
          <w:t>Figure 31: NYCA Free Flow Simulation Results</w:t>
        </w:r>
        <w:r w:rsidR="00732907">
          <w:rPr>
            <w:noProof/>
            <w:webHidden/>
          </w:rPr>
          <w:tab/>
        </w:r>
        <w:r w:rsidR="00732907">
          <w:rPr>
            <w:noProof/>
            <w:webHidden/>
          </w:rPr>
          <w:fldChar w:fldCharType="begin"/>
        </w:r>
        <w:r w:rsidR="00732907">
          <w:rPr>
            <w:noProof/>
            <w:webHidden/>
          </w:rPr>
          <w:instrText xml:space="preserve"> PAGEREF _Toc48251350 \h </w:instrText>
        </w:r>
        <w:r w:rsidR="00732907">
          <w:rPr>
            <w:noProof/>
            <w:webHidden/>
          </w:rPr>
        </w:r>
        <w:r w:rsidR="00732907">
          <w:rPr>
            <w:noProof/>
            <w:webHidden/>
          </w:rPr>
          <w:fldChar w:fldCharType="separate"/>
        </w:r>
        <w:r w:rsidR="00E8153C">
          <w:rPr>
            <w:noProof/>
            <w:webHidden/>
          </w:rPr>
          <w:t>51</w:t>
        </w:r>
        <w:r w:rsidR="00732907">
          <w:rPr>
            <w:noProof/>
            <w:webHidden/>
          </w:rPr>
          <w:fldChar w:fldCharType="end"/>
        </w:r>
      </w:hyperlink>
    </w:p>
    <w:p w14:paraId="451619BD" w14:textId="1089097E"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1" w:history="1">
        <w:r w:rsidR="00732907" w:rsidRPr="00B9053D">
          <w:rPr>
            <w:rStyle w:val="Hyperlink"/>
            <w:noProof/>
          </w:rPr>
          <w:t>Figure 32: Steady State Transmission Security N-1-1 Violations</w:t>
        </w:r>
        <w:r w:rsidR="00732907">
          <w:rPr>
            <w:noProof/>
            <w:webHidden/>
          </w:rPr>
          <w:tab/>
        </w:r>
        <w:r w:rsidR="00732907">
          <w:rPr>
            <w:noProof/>
            <w:webHidden/>
          </w:rPr>
          <w:fldChar w:fldCharType="begin"/>
        </w:r>
        <w:r w:rsidR="00732907">
          <w:rPr>
            <w:noProof/>
            <w:webHidden/>
          </w:rPr>
          <w:instrText xml:space="preserve"> PAGEREF _Toc48251351 \h </w:instrText>
        </w:r>
        <w:r w:rsidR="00732907">
          <w:rPr>
            <w:noProof/>
            <w:webHidden/>
          </w:rPr>
        </w:r>
        <w:r w:rsidR="00732907">
          <w:rPr>
            <w:noProof/>
            <w:webHidden/>
          </w:rPr>
          <w:fldChar w:fldCharType="separate"/>
        </w:r>
        <w:r w:rsidR="00E8153C">
          <w:rPr>
            <w:noProof/>
            <w:webHidden/>
          </w:rPr>
          <w:t>53</w:t>
        </w:r>
        <w:r w:rsidR="00732907">
          <w:rPr>
            <w:noProof/>
            <w:webHidden/>
          </w:rPr>
          <w:fldChar w:fldCharType="end"/>
        </w:r>
      </w:hyperlink>
    </w:p>
    <w:p w14:paraId="7BE648FD" w14:textId="035DC143"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2" w:history="1">
        <w:r w:rsidR="00732907" w:rsidRPr="00B9053D">
          <w:rPr>
            <w:rStyle w:val="Hyperlink"/>
            <w:noProof/>
          </w:rPr>
          <w:t>Figure 33: Steady State Transmission Security N-1-1-0 Violations</w:t>
        </w:r>
        <w:r w:rsidR="00732907">
          <w:rPr>
            <w:noProof/>
            <w:webHidden/>
          </w:rPr>
          <w:tab/>
        </w:r>
        <w:r w:rsidR="00732907">
          <w:rPr>
            <w:noProof/>
            <w:webHidden/>
          </w:rPr>
          <w:fldChar w:fldCharType="begin"/>
        </w:r>
        <w:r w:rsidR="00732907">
          <w:rPr>
            <w:noProof/>
            <w:webHidden/>
          </w:rPr>
          <w:instrText xml:space="preserve"> PAGEREF _Toc48251352 \h </w:instrText>
        </w:r>
        <w:r w:rsidR="00732907">
          <w:rPr>
            <w:noProof/>
            <w:webHidden/>
          </w:rPr>
        </w:r>
        <w:r w:rsidR="00732907">
          <w:rPr>
            <w:noProof/>
            <w:webHidden/>
          </w:rPr>
          <w:fldChar w:fldCharType="separate"/>
        </w:r>
        <w:r w:rsidR="00E8153C">
          <w:rPr>
            <w:noProof/>
            <w:webHidden/>
          </w:rPr>
          <w:t>53</w:t>
        </w:r>
        <w:r w:rsidR="00732907">
          <w:rPr>
            <w:noProof/>
            <w:webHidden/>
          </w:rPr>
          <w:fldChar w:fldCharType="end"/>
        </w:r>
      </w:hyperlink>
    </w:p>
    <w:p w14:paraId="4C8B103D" w14:textId="2F0C04C9"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3" w:history="1">
        <w:r w:rsidR="00732907" w:rsidRPr="00B9053D">
          <w:rPr>
            <w:rStyle w:val="Hyperlink"/>
            <w:noProof/>
          </w:rPr>
          <w:t>Figure 34: Dynamic Stability Criteria N-1 Violations (placeholder)</w:t>
        </w:r>
        <w:r w:rsidR="00732907">
          <w:rPr>
            <w:noProof/>
            <w:webHidden/>
          </w:rPr>
          <w:tab/>
        </w:r>
        <w:r w:rsidR="00732907">
          <w:rPr>
            <w:noProof/>
            <w:webHidden/>
          </w:rPr>
          <w:fldChar w:fldCharType="begin"/>
        </w:r>
        <w:r w:rsidR="00732907">
          <w:rPr>
            <w:noProof/>
            <w:webHidden/>
          </w:rPr>
          <w:instrText xml:space="preserve"> PAGEREF _Toc48251353 \h </w:instrText>
        </w:r>
        <w:r w:rsidR="00732907">
          <w:rPr>
            <w:noProof/>
            <w:webHidden/>
          </w:rPr>
        </w:r>
        <w:r w:rsidR="00732907">
          <w:rPr>
            <w:noProof/>
            <w:webHidden/>
          </w:rPr>
          <w:fldChar w:fldCharType="separate"/>
        </w:r>
        <w:r w:rsidR="00E8153C">
          <w:rPr>
            <w:noProof/>
            <w:webHidden/>
          </w:rPr>
          <w:t>54</w:t>
        </w:r>
        <w:r w:rsidR="00732907">
          <w:rPr>
            <w:noProof/>
            <w:webHidden/>
          </w:rPr>
          <w:fldChar w:fldCharType="end"/>
        </w:r>
      </w:hyperlink>
    </w:p>
    <w:p w14:paraId="0DFAD798" w14:textId="261F840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4" w:history="1">
        <w:r w:rsidR="00732907" w:rsidRPr="00B9053D">
          <w:rPr>
            <w:rStyle w:val="Hyperlink"/>
            <w:noProof/>
          </w:rPr>
          <w:t>Figure 35: Dynamic Stability Criteria N-1-1 Violations (L/O Ravenswood 3 as First Level Event) (placeholder)</w:t>
        </w:r>
        <w:r w:rsidR="00732907">
          <w:rPr>
            <w:noProof/>
            <w:webHidden/>
          </w:rPr>
          <w:tab/>
        </w:r>
        <w:r w:rsidR="00732907">
          <w:rPr>
            <w:noProof/>
            <w:webHidden/>
          </w:rPr>
          <w:fldChar w:fldCharType="begin"/>
        </w:r>
        <w:r w:rsidR="00732907">
          <w:rPr>
            <w:noProof/>
            <w:webHidden/>
          </w:rPr>
          <w:instrText xml:space="preserve"> PAGEREF _Toc48251354 \h </w:instrText>
        </w:r>
        <w:r w:rsidR="00732907">
          <w:rPr>
            <w:noProof/>
            <w:webHidden/>
          </w:rPr>
        </w:r>
        <w:r w:rsidR="00732907">
          <w:rPr>
            <w:noProof/>
            <w:webHidden/>
          </w:rPr>
          <w:fldChar w:fldCharType="separate"/>
        </w:r>
        <w:r w:rsidR="00E8153C">
          <w:rPr>
            <w:noProof/>
            <w:webHidden/>
          </w:rPr>
          <w:t>54</w:t>
        </w:r>
        <w:r w:rsidR="00732907">
          <w:rPr>
            <w:noProof/>
            <w:webHidden/>
          </w:rPr>
          <w:fldChar w:fldCharType="end"/>
        </w:r>
      </w:hyperlink>
    </w:p>
    <w:p w14:paraId="6B2D971E" w14:textId="43C8BE1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5" w:history="1">
        <w:r w:rsidR="00732907" w:rsidRPr="00B9053D">
          <w:rPr>
            <w:rStyle w:val="Hyperlink"/>
            <w:noProof/>
          </w:rPr>
          <w:t>Figure 36: New York City (NYC) 345 kV Bus Voltage Recovery</w:t>
        </w:r>
        <w:r w:rsidR="00732907">
          <w:rPr>
            <w:noProof/>
            <w:webHidden/>
          </w:rPr>
          <w:tab/>
        </w:r>
        <w:r w:rsidR="00732907">
          <w:rPr>
            <w:noProof/>
            <w:webHidden/>
          </w:rPr>
          <w:fldChar w:fldCharType="begin"/>
        </w:r>
        <w:r w:rsidR="00732907">
          <w:rPr>
            <w:noProof/>
            <w:webHidden/>
          </w:rPr>
          <w:instrText xml:space="preserve"> PAGEREF _Toc48251355 \h </w:instrText>
        </w:r>
        <w:r w:rsidR="00732907">
          <w:rPr>
            <w:noProof/>
            <w:webHidden/>
          </w:rPr>
        </w:r>
        <w:r w:rsidR="00732907">
          <w:rPr>
            <w:noProof/>
            <w:webHidden/>
          </w:rPr>
          <w:fldChar w:fldCharType="separate"/>
        </w:r>
        <w:r w:rsidR="00E8153C">
          <w:rPr>
            <w:noProof/>
            <w:webHidden/>
          </w:rPr>
          <w:t>55</w:t>
        </w:r>
        <w:r w:rsidR="00732907">
          <w:rPr>
            <w:noProof/>
            <w:webHidden/>
          </w:rPr>
          <w:fldChar w:fldCharType="end"/>
        </w:r>
      </w:hyperlink>
    </w:p>
    <w:p w14:paraId="4F0B3CE1" w14:textId="6F3E0FF5"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6" w:history="1">
        <w:r w:rsidR="00732907" w:rsidRPr="00B9053D">
          <w:rPr>
            <w:rStyle w:val="Hyperlink"/>
            <w:noProof/>
          </w:rPr>
          <w:t>Figure 37: High Side of GSU Voltage</w:t>
        </w:r>
        <w:r w:rsidR="00732907">
          <w:rPr>
            <w:noProof/>
            <w:webHidden/>
          </w:rPr>
          <w:tab/>
        </w:r>
        <w:r w:rsidR="00732907">
          <w:rPr>
            <w:noProof/>
            <w:webHidden/>
          </w:rPr>
          <w:fldChar w:fldCharType="begin"/>
        </w:r>
        <w:r w:rsidR="00732907">
          <w:rPr>
            <w:noProof/>
            <w:webHidden/>
          </w:rPr>
          <w:instrText xml:space="preserve"> PAGEREF _Toc48251356 \h </w:instrText>
        </w:r>
        <w:r w:rsidR="00732907">
          <w:rPr>
            <w:noProof/>
            <w:webHidden/>
          </w:rPr>
        </w:r>
        <w:r w:rsidR="00732907">
          <w:rPr>
            <w:noProof/>
            <w:webHidden/>
          </w:rPr>
          <w:fldChar w:fldCharType="separate"/>
        </w:r>
        <w:r w:rsidR="00E8153C">
          <w:rPr>
            <w:noProof/>
            <w:webHidden/>
          </w:rPr>
          <w:t>56</w:t>
        </w:r>
        <w:r w:rsidR="00732907">
          <w:rPr>
            <w:noProof/>
            <w:webHidden/>
          </w:rPr>
          <w:fldChar w:fldCharType="end"/>
        </w:r>
      </w:hyperlink>
    </w:p>
    <w:p w14:paraId="7D2B5BA0" w14:textId="34B9A06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7" w:history="1">
        <w:r w:rsidR="00732907" w:rsidRPr="00B9053D">
          <w:rPr>
            <w:rStyle w:val="Hyperlink"/>
            <w:noProof/>
          </w:rPr>
          <w:t>Figure 38: Generator Synchronism</w:t>
        </w:r>
        <w:r w:rsidR="00732907">
          <w:rPr>
            <w:noProof/>
            <w:webHidden/>
          </w:rPr>
          <w:tab/>
        </w:r>
        <w:r w:rsidR="00732907">
          <w:rPr>
            <w:noProof/>
            <w:webHidden/>
          </w:rPr>
          <w:fldChar w:fldCharType="begin"/>
        </w:r>
        <w:r w:rsidR="00732907">
          <w:rPr>
            <w:noProof/>
            <w:webHidden/>
          </w:rPr>
          <w:instrText xml:space="preserve"> PAGEREF _Toc48251357 \h </w:instrText>
        </w:r>
        <w:r w:rsidR="00732907">
          <w:rPr>
            <w:noProof/>
            <w:webHidden/>
          </w:rPr>
        </w:r>
        <w:r w:rsidR="00732907">
          <w:rPr>
            <w:noProof/>
            <w:webHidden/>
          </w:rPr>
          <w:fldChar w:fldCharType="separate"/>
        </w:r>
        <w:r w:rsidR="00E8153C">
          <w:rPr>
            <w:noProof/>
            <w:webHidden/>
          </w:rPr>
          <w:t>57</w:t>
        </w:r>
        <w:r w:rsidR="00732907">
          <w:rPr>
            <w:noProof/>
            <w:webHidden/>
          </w:rPr>
          <w:fldChar w:fldCharType="end"/>
        </w:r>
      </w:hyperlink>
    </w:p>
    <w:p w14:paraId="03670BCE" w14:textId="0EBD758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8" w:history="1">
        <w:r w:rsidR="00732907" w:rsidRPr="00B9053D">
          <w:rPr>
            <w:rStyle w:val="Hyperlink"/>
            <w:noProof/>
          </w:rPr>
          <w:t>Figure 39: Description of Dynamic MVA Added to System (Placeholder)</w:t>
        </w:r>
        <w:r w:rsidR="00732907">
          <w:rPr>
            <w:noProof/>
            <w:webHidden/>
          </w:rPr>
          <w:tab/>
        </w:r>
        <w:r w:rsidR="00732907">
          <w:rPr>
            <w:noProof/>
            <w:webHidden/>
          </w:rPr>
          <w:fldChar w:fldCharType="begin"/>
        </w:r>
        <w:r w:rsidR="00732907">
          <w:rPr>
            <w:noProof/>
            <w:webHidden/>
          </w:rPr>
          <w:instrText xml:space="preserve"> PAGEREF _Toc48251358 \h </w:instrText>
        </w:r>
        <w:r w:rsidR="00732907">
          <w:rPr>
            <w:noProof/>
            <w:webHidden/>
          </w:rPr>
        </w:r>
        <w:r w:rsidR="00732907">
          <w:rPr>
            <w:noProof/>
            <w:webHidden/>
          </w:rPr>
          <w:fldChar w:fldCharType="separate"/>
        </w:r>
        <w:r w:rsidR="00E8153C">
          <w:rPr>
            <w:noProof/>
            <w:webHidden/>
          </w:rPr>
          <w:t>58</w:t>
        </w:r>
        <w:r w:rsidR="00732907">
          <w:rPr>
            <w:noProof/>
            <w:webHidden/>
          </w:rPr>
          <w:fldChar w:fldCharType="end"/>
        </w:r>
      </w:hyperlink>
    </w:p>
    <w:p w14:paraId="233C88EC" w14:textId="2E246347"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59" w:history="1">
        <w:r w:rsidR="00732907" w:rsidRPr="00B9053D">
          <w:rPr>
            <w:rStyle w:val="Hyperlink"/>
            <w:noProof/>
          </w:rPr>
          <w:t>Figure 40: Description of Static and Dynamic MVA Added to System (Placeholder)</w:t>
        </w:r>
        <w:r w:rsidR="00732907">
          <w:rPr>
            <w:noProof/>
            <w:webHidden/>
          </w:rPr>
          <w:tab/>
        </w:r>
        <w:r w:rsidR="00732907">
          <w:rPr>
            <w:noProof/>
            <w:webHidden/>
          </w:rPr>
          <w:fldChar w:fldCharType="begin"/>
        </w:r>
        <w:r w:rsidR="00732907">
          <w:rPr>
            <w:noProof/>
            <w:webHidden/>
          </w:rPr>
          <w:instrText xml:space="preserve"> PAGEREF _Toc48251359 \h </w:instrText>
        </w:r>
        <w:r w:rsidR="00732907">
          <w:rPr>
            <w:noProof/>
            <w:webHidden/>
          </w:rPr>
        </w:r>
        <w:r w:rsidR="00732907">
          <w:rPr>
            <w:noProof/>
            <w:webHidden/>
          </w:rPr>
          <w:fldChar w:fldCharType="separate"/>
        </w:r>
        <w:r w:rsidR="00E8153C">
          <w:rPr>
            <w:noProof/>
            <w:webHidden/>
          </w:rPr>
          <w:t>58</w:t>
        </w:r>
        <w:r w:rsidR="00732907">
          <w:rPr>
            <w:noProof/>
            <w:webHidden/>
          </w:rPr>
          <w:fldChar w:fldCharType="end"/>
        </w:r>
      </w:hyperlink>
    </w:p>
    <w:p w14:paraId="645D8A38" w14:textId="5FD68B35"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0" w:history="1">
        <w:r w:rsidR="00732907" w:rsidRPr="00B9053D">
          <w:rPr>
            <w:rStyle w:val="Hyperlink"/>
            <w:noProof/>
          </w:rPr>
          <w:t>Figure 41: Astoria East/ Corona 138 kV TLA</w:t>
        </w:r>
        <w:r w:rsidR="00732907">
          <w:rPr>
            <w:noProof/>
            <w:webHidden/>
          </w:rPr>
          <w:tab/>
        </w:r>
        <w:r w:rsidR="00732907">
          <w:rPr>
            <w:noProof/>
            <w:webHidden/>
          </w:rPr>
          <w:fldChar w:fldCharType="begin"/>
        </w:r>
        <w:r w:rsidR="00732907">
          <w:rPr>
            <w:noProof/>
            <w:webHidden/>
          </w:rPr>
          <w:instrText xml:space="preserve"> PAGEREF _Toc48251360 \h </w:instrText>
        </w:r>
        <w:r w:rsidR="00732907">
          <w:rPr>
            <w:noProof/>
            <w:webHidden/>
          </w:rPr>
        </w:r>
        <w:r w:rsidR="00732907">
          <w:rPr>
            <w:noProof/>
            <w:webHidden/>
          </w:rPr>
          <w:fldChar w:fldCharType="separate"/>
        </w:r>
        <w:r w:rsidR="00E8153C">
          <w:rPr>
            <w:noProof/>
            <w:webHidden/>
          </w:rPr>
          <w:t>59</w:t>
        </w:r>
        <w:r w:rsidR="00732907">
          <w:rPr>
            <w:noProof/>
            <w:webHidden/>
          </w:rPr>
          <w:fldChar w:fldCharType="end"/>
        </w:r>
      </w:hyperlink>
    </w:p>
    <w:p w14:paraId="738C60EE" w14:textId="653BF990"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1" w:history="1">
        <w:r w:rsidR="00732907" w:rsidRPr="00B9053D">
          <w:rPr>
            <w:rStyle w:val="Hyperlink"/>
            <w:noProof/>
          </w:rPr>
          <w:t>Figure 42: Astoria East/ Corona 138 kV TLA Deficiency</w:t>
        </w:r>
        <w:r w:rsidR="00732907">
          <w:rPr>
            <w:noProof/>
            <w:webHidden/>
          </w:rPr>
          <w:tab/>
        </w:r>
        <w:r w:rsidR="00732907">
          <w:rPr>
            <w:noProof/>
            <w:webHidden/>
          </w:rPr>
          <w:fldChar w:fldCharType="begin"/>
        </w:r>
        <w:r w:rsidR="00732907">
          <w:rPr>
            <w:noProof/>
            <w:webHidden/>
          </w:rPr>
          <w:instrText xml:space="preserve"> PAGEREF _Toc48251361 \h </w:instrText>
        </w:r>
        <w:r w:rsidR="00732907">
          <w:rPr>
            <w:noProof/>
            <w:webHidden/>
          </w:rPr>
        </w:r>
        <w:r w:rsidR="00732907">
          <w:rPr>
            <w:noProof/>
            <w:webHidden/>
          </w:rPr>
          <w:fldChar w:fldCharType="separate"/>
        </w:r>
        <w:r w:rsidR="00E8153C">
          <w:rPr>
            <w:noProof/>
            <w:webHidden/>
          </w:rPr>
          <w:t>59</w:t>
        </w:r>
        <w:r w:rsidR="00732907">
          <w:rPr>
            <w:noProof/>
            <w:webHidden/>
          </w:rPr>
          <w:fldChar w:fldCharType="end"/>
        </w:r>
      </w:hyperlink>
    </w:p>
    <w:p w14:paraId="6B6F7B73" w14:textId="21438DC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2" w:history="1">
        <w:r w:rsidR="00732907" w:rsidRPr="00B9053D">
          <w:rPr>
            <w:rStyle w:val="Hyperlink"/>
            <w:noProof/>
          </w:rPr>
          <w:t>Figure 43: Astoria East/Corona 138 kV Load Duration Curve for 2023</w:t>
        </w:r>
        <w:r w:rsidR="00732907">
          <w:rPr>
            <w:noProof/>
            <w:webHidden/>
          </w:rPr>
          <w:tab/>
        </w:r>
        <w:r w:rsidR="00732907">
          <w:rPr>
            <w:noProof/>
            <w:webHidden/>
          </w:rPr>
          <w:fldChar w:fldCharType="begin"/>
        </w:r>
        <w:r w:rsidR="00732907">
          <w:rPr>
            <w:noProof/>
            <w:webHidden/>
          </w:rPr>
          <w:instrText xml:space="preserve"> PAGEREF _Toc48251362 \h </w:instrText>
        </w:r>
        <w:r w:rsidR="00732907">
          <w:rPr>
            <w:noProof/>
            <w:webHidden/>
          </w:rPr>
        </w:r>
        <w:r w:rsidR="00732907">
          <w:rPr>
            <w:noProof/>
            <w:webHidden/>
          </w:rPr>
          <w:fldChar w:fldCharType="separate"/>
        </w:r>
        <w:r w:rsidR="00E8153C">
          <w:rPr>
            <w:noProof/>
            <w:webHidden/>
          </w:rPr>
          <w:t>60</w:t>
        </w:r>
        <w:r w:rsidR="00732907">
          <w:rPr>
            <w:noProof/>
            <w:webHidden/>
          </w:rPr>
          <w:fldChar w:fldCharType="end"/>
        </w:r>
      </w:hyperlink>
    </w:p>
    <w:p w14:paraId="2EDFE7AF" w14:textId="5FF1E374"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3" w:history="1">
        <w:r w:rsidR="00732907" w:rsidRPr="00B9053D">
          <w:rPr>
            <w:rStyle w:val="Hyperlink"/>
            <w:noProof/>
          </w:rPr>
          <w:t>Figure 44: Astoria East/Corona 138 kV Load Duration Curve for 2030</w:t>
        </w:r>
        <w:r w:rsidR="00732907">
          <w:rPr>
            <w:noProof/>
            <w:webHidden/>
          </w:rPr>
          <w:tab/>
        </w:r>
        <w:r w:rsidR="00732907">
          <w:rPr>
            <w:noProof/>
            <w:webHidden/>
          </w:rPr>
          <w:fldChar w:fldCharType="begin"/>
        </w:r>
        <w:r w:rsidR="00732907">
          <w:rPr>
            <w:noProof/>
            <w:webHidden/>
          </w:rPr>
          <w:instrText xml:space="preserve"> PAGEREF _Toc48251363 \h </w:instrText>
        </w:r>
        <w:r w:rsidR="00732907">
          <w:rPr>
            <w:noProof/>
            <w:webHidden/>
          </w:rPr>
        </w:r>
        <w:r w:rsidR="00732907">
          <w:rPr>
            <w:noProof/>
            <w:webHidden/>
          </w:rPr>
          <w:fldChar w:fldCharType="separate"/>
        </w:r>
        <w:r w:rsidR="00E8153C">
          <w:rPr>
            <w:noProof/>
            <w:webHidden/>
          </w:rPr>
          <w:t>60</w:t>
        </w:r>
        <w:r w:rsidR="00732907">
          <w:rPr>
            <w:noProof/>
            <w:webHidden/>
          </w:rPr>
          <w:fldChar w:fldCharType="end"/>
        </w:r>
      </w:hyperlink>
    </w:p>
    <w:p w14:paraId="5EC7F69F" w14:textId="3A972028"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4" w:history="1">
        <w:r w:rsidR="00732907" w:rsidRPr="00B9053D">
          <w:rPr>
            <w:rStyle w:val="Hyperlink"/>
            <w:noProof/>
          </w:rPr>
          <w:t>Figure 45: Greenwood/ Fox Hills 138 kV TLA</w:t>
        </w:r>
        <w:r w:rsidR="00732907">
          <w:rPr>
            <w:noProof/>
            <w:webHidden/>
          </w:rPr>
          <w:tab/>
        </w:r>
        <w:r w:rsidR="00732907">
          <w:rPr>
            <w:noProof/>
            <w:webHidden/>
          </w:rPr>
          <w:fldChar w:fldCharType="begin"/>
        </w:r>
        <w:r w:rsidR="00732907">
          <w:rPr>
            <w:noProof/>
            <w:webHidden/>
          </w:rPr>
          <w:instrText xml:space="preserve"> PAGEREF _Toc48251364 \h </w:instrText>
        </w:r>
        <w:r w:rsidR="00732907">
          <w:rPr>
            <w:noProof/>
            <w:webHidden/>
          </w:rPr>
        </w:r>
        <w:r w:rsidR="00732907">
          <w:rPr>
            <w:noProof/>
            <w:webHidden/>
          </w:rPr>
          <w:fldChar w:fldCharType="separate"/>
        </w:r>
        <w:r w:rsidR="00E8153C">
          <w:rPr>
            <w:noProof/>
            <w:webHidden/>
          </w:rPr>
          <w:t>61</w:t>
        </w:r>
        <w:r w:rsidR="00732907">
          <w:rPr>
            <w:noProof/>
            <w:webHidden/>
          </w:rPr>
          <w:fldChar w:fldCharType="end"/>
        </w:r>
      </w:hyperlink>
    </w:p>
    <w:p w14:paraId="384D07A1" w14:textId="2D40A93B"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5" w:history="1">
        <w:r w:rsidR="00732907" w:rsidRPr="00B9053D">
          <w:rPr>
            <w:rStyle w:val="Hyperlink"/>
            <w:noProof/>
          </w:rPr>
          <w:t>Figure 46: Greenwood/ Fox Hills 138 kV TLA Deficiency</w:t>
        </w:r>
        <w:r w:rsidR="00732907">
          <w:rPr>
            <w:noProof/>
            <w:webHidden/>
          </w:rPr>
          <w:tab/>
        </w:r>
        <w:r w:rsidR="00732907">
          <w:rPr>
            <w:noProof/>
            <w:webHidden/>
          </w:rPr>
          <w:fldChar w:fldCharType="begin"/>
        </w:r>
        <w:r w:rsidR="00732907">
          <w:rPr>
            <w:noProof/>
            <w:webHidden/>
          </w:rPr>
          <w:instrText xml:space="preserve"> PAGEREF _Toc48251365 \h </w:instrText>
        </w:r>
        <w:r w:rsidR="00732907">
          <w:rPr>
            <w:noProof/>
            <w:webHidden/>
          </w:rPr>
        </w:r>
        <w:r w:rsidR="00732907">
          <w:rPr>
            <w:noProof/>
            <w:webHidden/>
          </w:rPr>
          <w:fldChar w:fldCharType="separate"/>
        </w:r>
        <w:r w:rsidR="00E8153C">
          <w:rPr>
            <w:noProof/>
            <w:webHidden/>
          </w:rPr>
          <w:t>61</w:t>
        </w:r>
        <w:r w:rsidR="00732907">
          <w:rPr>
            <w:noProof/>
            <w:webHidden/>
          </w:rPr>
          <w:fldChar w:fldCharType="end"/>
        </w:r>
      </w:hyperlink>
    </w:p>
    <w:p w14:paraId="7E2A8B78" w14:textId="065AE68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6" w:history="1">
        <w:r w:rsidR="00732907" w:rsidRPr="00B9053D">
          <w:rPr>
            <w:rStyle w:val="Hyperlink"/>
            <w:noProof/>
          </w:rPr>
          <w:t>Figure 47: Greenwood/ Fox Hills 138 kV TLA Load Duration Curve for 2025</w:t>
        </w:r>
        <w:r w:rsidR="00732907">
          <w:rPr>
            <w:noProof/>
            <w:webHidden/>
          </w:rPr>
          <w:tab/>
        </w:r>
        <w:r w:rsidR="00732907">
          <w:rPr>
            <w:noProof/>
            <w:webHidden/>
          </w:rPr>
          <w:fldChar w:fldCharType="begin"/>
        </w:r>
        <w:r w:rsidR="00732907">
          <w:rPr>
            <w:noProof/>
            <w:webHidden/>
          </w:rPr>
          <w:instrText xml:space="preserve"> PAGEREF _Toc48251366 \h </w:instrText>
        </w:r>
        <w:r w:rsidR="00732907">
          <w:rPr>
            <w:noProof/>
            <w:webHidden/>
          </w:rPr>
        </w:r>
        <w:r w:rsidR="00732907">
          <w:rPr>
            <w:noProof/>
            <w:webHidden/>
          </w:rPr>
          <w:fldChar w:fldCharType="separate"/>
        </w:r>
        <w:r w:rsidR="00E8153C">
          <w:rPr>
            <w:noProof/>
            <w:webHidden/>
          </w:rPr>
          <w:t>62</w:t>
        </w:r>
        <w:r w:rsidR="00732907">
          <w:rPr>
            <w:noProof/>
            <w:webHidden/>
          </w:rPr>
          <w:fldChar w:fldCharType="end"/>
        </w:r>
      </w:hyperlink>
    </w:p>
    <w:p w14:paraId="41356E95" w14:textId="72C7554E"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7" w:history="1">
        <w:r w:rsidR="00732907" w:rsidRPr="00B9053D">
          <w:rPr>
            <w:rStyle w:val="Hyperlink"/>
            <w:noProof/>
          </w:rPr>
          <w:t>Figure 48: 2020 Gold Book NYCA High Load vs. Baseline Summer Peak Forecast</w:t>
        </w:r>
        <w:r w:rsidR="00732907">
          <w:rPr>
            <w:noProof/>
            <w:webHidden/>
          </w:rPr>
          <w:tab/>
        </w:r>
        <w:r w:rsidR="00732907">
          <w:rPr>
            <w:noProof/>
            <w:webHidden/>
          </w:rPr>
          <w:fldChar w:fldCharType="begin"/>
        </w:r>
        <w:r w:rsidR="00732907">
          <w:rPr>
            <w:noProof/>
            <w:webHidden/>
          </w:rPr>
          <w:instrText xml:space="preserve"> PAGEREF _Toc48251367 \h </w:instrText>
        </w:r>
        <w:r w:rsidR="00732907">
          <w:rPr>
            <w:noProof/>
            <w:webHidden/>
          </w:rPr>
        </w:r>
        <w:r w:rsidR="00732907">
          <w:rPr>
            <w:noProof/>
            <w:webHidden/>
          </w:rPr>
          <w:fldChar w:fldCharType="separate"/>
        </w:r>
        <w:r w:rsidR="00E8153C">
          <w:rPr>
            <w:noProof/>
            <w:webHidden/>
          </w:rPr>
          <w:t>64</w:t>
        </w:r>
        <w:r w:rsidR="00732907">
          <w:rPr>
            <w:noProof/>
            <w:webHidden/>
          </w:rPr>
          <w:fldChar w:fldCharType="end"/>
        </w:r>
      </w:hyperlink>
    </w:p>
    <w:p w14:paraId="39E02ADD" w14:textId="50345030"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8" w:history="1">
        <w:r w:rsidR="00732907" w:rsidRPr="00B9053D">
          <w:rPr>
            <w:rStyle w:val="Hyperlink"/>
            <w:noProof/>
          </w:rPr>
          <w:t>Figure 49: 2020 Gold Book Zone J High Load vs. Non-coincident Summer Peak Forecast</w:t>
        </w:r>
        <w:r w:rsidR="00732907">
          <w:rPr>
            <w:noProof/>
            <w:webHidden/>
          </w:rPr>
          <w:tab/>
        </w:r>
        <w:r w:rsidR="00732907">
          <w:rPr>
            <w:noProof/>
            <w:webHidden/>
          </w:rPr>
          <w:fldChar w:fldCharType="begin"/>
        </w:r>
        <w:r w:rsidR="00732907">
          <w:rPr>
            <w:noProof/>
            <w:webHidden/>
          </w:rPr>
          <w:instrText xml:space="preserve"> PAGEREF _Toc48251368 \h </w:instrText>
        </w:r>
        <w:r w:rsidR="00732907">
          <w:rPr>
            <w:noProof/>
            <w:webHidden/>
          </w:rPr>
        </w:r>
        <w:r w:rsidR="00732907">
          <w:rPr>
            <w:noProof/>
            <w:webHidden/>
          </w:rPr>
          <w:fldChar w:fldCharType="separate"/>
        </w:r>
        <w:r w:rsidR="00E8153C">
          <w:rPr>
            <w:noProof/>
            <w:webHidden/>
          </w:rPr>
          <w:t>65</w:t>
        </w:r>
        <w:r w:rsidR="00732907">
          <w:rPr>
            <w:noProof/>
            <w:webHidden/>
          </w:rPr>
          <w:fldChar w:fldCharType="end"/>
        </w:r>
      </w:hyperlink>
    </w:p>
    <w:p w14:paraId="67D926DE" w14:textId="335AE20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69" w:history="1">
        <w:r w:rsidR="00732907" w:rsidRPr="00B9053D">
          <w:rPr>
            <w:rStyle w:val="Hyperlink"/>
            <w:noProof/>
          </w:rPr>
          <w:t>Figure 50: 2020 RNA Resource Adequacy High Load Scenario NYCA LOLE Results</w:t>
        </w:r>
        <w:r w:rsidR="00732907">
          <w:rPr>
            <w:noProof/>
            <w:webHidden/>
          </w:rPr>
          <w:tab/>
        </w:r>
        <w:r w:rsidR="00732907">
          <w:rPr>
            <w:noProof/>
            <w:webHidden/>
          </w:rPr>
          <w:fldChar w:fldCharType="begin"/>
        </w:r>
        <w:r w:rsidR="00732907">
          <w:rPr>
            <w:noProof/>
            <w:webHidden/>
          </w:rPr>
          <w:instrText xml:space="preserve"> PAGEREF _Toc48251369 \h </w:instrText>
        </w:r>
        <w:r w:rsidR="00732907">
          <w:rPr>
            <w:noProof/>
            <w:webHidden/>
          </w:rPr>
        </w:r>
        <w:r w:rsidR="00732907">
          <w:rPr>
            <w:noProof/>
            <w:webHidden/>
          </w:rPr>
          <w:fldChar w:fldCharType="separate"/>
        </w:r>
        <w:r w:rsidR="00E8153C">
          <w:rPr>
            <w:noProof/>
            <w:webHidden/>
          </w:rPr>
          <w:t>65</w:t>
        </w:r>
        <w:r w:rsidR="00732907">
          <w:rPr>
            <w:noProof/>
            <w:webHidden/>
          </w:rPr>
          <w:fldChar w:fldCharType="end"/>
        </w:r>
      </w:hyperlink>
    </w:p>
    <w:p w14:paraId="10B4F089" w14:textId="6B7546D7"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70" w:history="1">
        <w:r w:rsidR="00732907" w:rsidRPr="00B9053D">
          <w:rPr>
            <w:rStyle w:val="Hyperlink"/>
            <w:noProof/>
          </w:rPr>
          <w:t>Figure 51: Zonal Resource Adequacy Margin (MW)</w:t>
        </w:r>
        <w:r w:rsidR="00732907">
          <w:rPr>
            <w:noProof/>
            <w:webHidden/>
          </w:rPr>
          <w:tab/>
        </w:r>
        <w:r w:rsidR="00732907">
          <w:rPr>
            <w:noProof/>
            <w:webHidden/>
          </w:rPr>
          <w:fldChar w:fldCharType="begin"/>
        </w:r>
        <w:r w:rsidR="00732907">
          <w:rPr>
            <w:noProof/>
            <w:webHidden/>
          </w:rPr>
          <w:instrText xml:space="preserve"> PAGEREF _Toc48251370 \h </w:instrText>
        </w:r>
        <w:r w:rsidR="00732907">
          <w:rPr>
            <w:noProof/>
            <w:webHidden/>
          </w:rPr>
        </w:r>
        <w:r w:rsidR="00732907">
          <w:rPr>
            <w:noProof/>
            <w:webHidden/>
          </w:rPr>
          <w:fldChar w:fldCharType="separate"/>
        </w:r>
        <w:r w:rsidR="00E8153C">
          <w:rPr>
            <w:noProof/>
            <w:webHidden/>
          </w:rPr>
          <w:t>66</w:t>
        </w:r>
        <w:r w:rsidR="00732907">
          <w:rPr>
            <w:noProof/>
            <w:webHidden/>
          </w:rPr>
          <w:fldChar w:fldCharType="end"/>
        </w:r>
      </w:hyperlink>
    </w:p>
    <w:p w14:paraId="087C821A" w14:textId="5C984D77"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71" w:history="1">
        <w:r w:rsidR="00732907" w:rsidRPr="00B9053D">
          <w:rPr>
            <w:rStyle w:val="Hyperlink"/>
            <w:noProof/>
          </w:rPr>
          <w:t>Figure 52: 2020 RNA Resource Adequacy Status-quo Scenario NYCA LOLE Results</w:t>
        </w:r>
        <w:r w:rsidR="00732907">
          <w:rPr>
            <w:noProof/>
            <w:webHidden/>
          </w:rPr>
          <w:tab/>
        </w:r>
        <w:r w:rsidR="00732907">
          <w:rPr>
            <w:noProof/>
            <w:webHidden/>
          </w:rPr>
          <w:fldChar w:fldCharType="begin"/>
        </w:r>
        <w:r w:rsidR="00732907">
          <w:rPr>
            <w:noProof/>
            <w:webHidden/>
          </w:rPr>
          <w:instrText xml:space="preserve"> PAGEREF _Toc48251371 \h </w:instrText>
        </w:r>
        <w:r w:rsidR="00732907">
          <w:rPr>
            <w:noProof/>
            <w:webHidden/>
          </w:rPr>
        </w:r>
        <w:r w:rsidR="00732907">
          <w:rPr>
            <w:noProof/>
            <w:webHidden/>
          </w:rPr>
          <w:fldChar w:fldCharType="separate"/>
        </w:r>
        <w:r w:rsidR="00E8153C">
          <w:rPr>
            <w:noProof/>
            <w:webHidden/>
          </w:rPr>
          <w:t>67</w:t>
        </w:r>
        <w:r w:rsidR="00732907">
          <w:rPr>
            <w:noProof/>
            <w:webHidden/>
          </w:rPr>
          <w:fldChar w:fldCharType="end"/>
        </w:r>
      </w:hyperlink>
    </w:p>
    <w:p w14:paraId="2B97DA1E" w14:textId="1C48D8F2"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72" w:history="1">
        <w:r w:rsidR="00732907" w:rsidRPr="00B9053D">
          <w:rPr>
            <w:rStyle w:val="Hyperlink"/>
            <w:noProof/>
          </w:rPr>
          <w:t>Figure 53: 2020 RNA Transmission Security Status-quo Scenario Results</w:t>
        </w:r>
        <w:r w:rsidR="00732907">
          <w:rPr>
            <w:noProof/>
            <w:webHidden/>
          </w:rPr>
          <w:tab/>
        </w:r>
        <w:r w:rsidR="00732907">
          <w:rPr>
            <w:noProof/>
            <w:webHidden/>
          </w:rPr>
          <w:fldChar w:fldCharType="begin"/>
        </w:r>
        <w:r w:rsidR="00732907">
          <w:rPr>
            <w:noProof/>
            <w:webHidden/>
          </w:rPr>
          <w:instrText xml:space="preserve"> PAGEREF _Toc48251372 \h </w:instrText>
        </w:r>
        <w:r w:rsidR="00732907">
          <w:rPr>
            <w:noProof/>
            <w:webHidden/>
          </w:rPr>
        </w:r>
        <w:r w:rsidR="00732907">
          <w:rPr>
            <w:noProof/>
            <w:webHidden/>
          </w:rPr>
          <w:fldChar w:fldCharType="separate"/>
        </w:r>
        <w:r w:rsidR="00E8153C">
          <w:rPr>
            <w:noProof/>
            <w:webHidden/>
          </w:rPr>
          <w:t>68</w:t>
        </w:r>
        <w:r w:rsidR="00732907">
          <w:rPr>
            <w:noProof/>
            <w:webHidden/>
          </w:rPr>
          <w:fldChar w:fldCharType="end"/>
        </w:r>
      </w:hyperlink>
    </w:p>
    <w:p w14:paraId="7B976CFD" w14:textId="651F4229"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73" w:history="1">
        <w:r w:rsidR="00732907" w:rsidRPr="00B9053D">
          <w:rPr>
            <w:rStyle w:val="Hyperlink"/>
            <w:noProof/>
          </w:rPr>
          <w:t>Figure 55: List of NERC Standards for Planning Coordinators and Transmission Planners</w:t>
        </w:r>
        <w:r w:rsidR="00732907">
          <w:rPr>
            <w:noProof/>
            <w:webHidden/>
          </w:rPr>
          <w:tab/>
        </w:r>
        <w:r w:rsidR="00732907">
          <w:rPr>
            <w:noProof/>
            <w:webHidden/>
          </w:rPr>
          <w:fldChar w:fldCharType="begin"/>
        </w:r>
        <w:r w:rsidR="00732907">
          <w:rPr>
            <w:noProof/>
            <w:webHidden/>
          </w:rPr>
          <w:instrText xml:space="preserve"> PAGEREF _Toc48251373 \h </w:instrText>
        </w:r>
        <w:r w:rsidR="00732907">
          <w:rPr>
            <w:noProof/>
            <w:webHidden/>
          </w:rPr>
        </w:r>
        <w:r w:rsidR="00732907">
          <w:rPr>
            <w:noProof/>
            <w:webHidden/>
          </w:rPr>
          <w:fldChar w:fldCharType="separate"/>
        </w:r>
        <w:r w:rsidR="00E8153C">
          <w:rPr>
            <w:noProof/>
            <w:webHidden/>
          </w:rPr>
          <w:t>71</w:t>
        </w:r>
        <w:r w:rsidR="00732907">
          <w:rPr>
            <w:noProof/>
            <w:webHidden/>
          </w:rPr>
          <w:fldChar w:fldCharType="end"/>
        </w:r>
      </w:hyperlink>
    </w:p>
    <w:p w14:paraId="7B3D19AC" w14:textId="7F85B6BA" w:rsidR="00732907" w:rsidRDefault="00D517E4">
      <w:pPr>
        <w:pStyle w:val="TableofFigures"/>
        <w:tabs>
          <w:tab w:val="right" w:leader="dot" w:pos="10070"/>
        </w:tabs>
        <w:rPr>
          <w:rFonts w:asciiTheme="minorHAnsi" w:eastAsiaTheme="minorEastAsia" w:hAnsiTheme="minorHAnsi" w:cstheme="minorBidi"/>
          <w:noProof/>
          <w:sz w:val="22"/>
          <w:lang w:bidi="ar-SA"/>
        </w:rPr>
      </w:pPr>
      <w:hyperlink w:anchor="_Toc48251374" w:history="1">
        <w:r w:rsidR="00732907" w:rsidRPr="00B9053D">
          <w:rPr>
            <w:rStyle w:val="Hyperlink"/>
            <w:noProof/>
          </w:rPr>
          <w:t>Figure 56: Description of NERC TPL-001 Planning Assessment Study Cases</w:t>
        </w:r>
        <w:r w:rsidR="00732907">
          <w:rPr>
            <w:noProof/>
            <w:webHidden/>
          </w:rPr>
          <w:tab/>
        </w:r>
        <w:r w:rsidR="00732907">
          <w:rPr>
            <w:noProof/>
            <w:webHidden/>
          </w:rPr>
          <w:fldChar w:fldCharType="begin"/>
        </w:r>
        <w:r w:rsidR="00732907">
          <w:rPr>
            <w:noProof/>
            <w:webHidden/>
          </w:rPr>
          <w:instrText xml:space="preserve"> PAGEREF _Toc48251374 \h </w:instrText>
        </w:r>
        <w:r w:rsidR="00732907">
          <w:rPr>
            <w:noProof/>
            <w:webHidden/>
          </w:rPr>
        </w:r>
        <w:r w:rsidR="00732907">
          <w:rPr>
            <w:noProof/>
            <w:webHidden/>
          </w:rPr>
          <w:fldChar w:fldCharType="separate"/>
        </w:r>
        <w:r w:rsidR="00E8153C">
          <w:rPr>
            <w:noProof/>
            <w:webHidden/>
          </w:rPr>
          <w:t>74</w:t>
        </w:r>
        <w:r w:rsidR="00732907">
          <w:rPr>
            <w:noProof/>
            <w:webHidden/>
          </w:rPr>
          <w:fldChar w:fldCharType="end"/>
        </w:r>
      </w:hyperlink>
    </w:p>
    <w:p w14:paraId="27AB3894" w14:textId="48BE9143" w:rsidR="0007199E" w:rsidRDefault="00062D5F" w:rsidP="001E358B">
      <w:pPr>
        <w:pStyle w:val="Heading1"/>
        <w:ind w:left="0" w:firstLine="0"/>
        <w:rPr>
          <w:rFonts w:asciiTheme="minorHAnsi" w:hAnsiTheme="minorHAnsi" w:cstheme="minorHAnsi"/>
          <w:b/>
          <w:bCs w:val="0"/>
          <w:color w:val="auto"/>
          <w:sz w:val="20"/>
          <w:szCs w:val="22"/>
        </w:rPr>
        <w:sectPr w:rsidR="0007199E" w:rsidSect="00A045F7">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58" w:gutter="0"/>
          <w:pgNumType w:fmt="lowerRoman" w:start="1"/>
          <w:cols w:space="720"/>
          <w:titlePg/>
          <w:docGrid w:linePitch="360"/>
        </w:sectPr>
      </w:pPr>
      <w:r>
        <w:rPr>
          <w:rFonts w:asciiTheme="minorHAnsi" w:hAnsiTheme="minorHAnsi" w:cstheme="minorHAnsi"/>
          <w:b/>
          <w:bCs w:val="0"/>
          <w:color w:val="auto"/>
          <w:sz w:val="20"/>
          <w:szCs w:val="22"/>
        </w:rPr>
        <w:fldChar w:fldCharType="end"/>
      </w:r>
    </w:p>
    <w:p w14:paraId="630AE809" w14:textId="5C3AD7CE" w:rsidR="00585819" w:rsidRPr="00585819" w:rsidRDefault="00585819" w:rsidP="004413F6">
      <w:pPr>
        <w:pStyle w:val="Heading1"/>
        <w:ind w:left="0" w:firstLine="0"/>
      </w:pPr>
      <w:bookmarkStart w:id="2" w:name="_Toc48252270"/>
      <w:r>
        <w:lastRenderedPageBreak/>
        <w:t>Executive Summary</w:t>
      </w:r>
      <w:bookmarkEnd w:id="2"/>
    </w:p>
    <w:p w14:paraId="36D275CF" w14:textId="4A50B0E2" w:rsidR="00E630FA" w:rsidRDefault="00241B91" w:rsidP="006927D5">
      <w:pPr>
        <w:pStyle w:val="BodyText"/>
        <w:rPr>
          <w:b/>
          <w:i/>
        </w:rPr>
      </w:pPr>
      <w:r w:rsidRPr="004C4837">
        <w:rPr>
          <w:b/>
          <w:i/>
        </w:rPr>
        <w:t>[TO BE ADDED AT A LATER DATE]</w:t>
      </w:r>
    </w:p>
    <w:p w14:paraId="0DF6A626" w14:textId="5564DFCE" w:rsidR="00241B91" w:rsidRPr="004C4837" w:rsidRDefault="00E630FA" w:rsidP="004C4837">
      <w:pPr>
        <w:rPr>
          <w:rFonts w:ascii="Cambria" w:eastAsia="Arial Narrow" w:hAnsi="Cambria"/>
          <w:b/>
          <w:bCs/>
          <w:i/>
          <w:sz w:val="22"/>
          <w:lang w:bidi="ar-SA"/>
        </w:rPr>
      </w:pPr>
      <w:r>
        <w:rPr>
          <w:b/>
          <w:i/>
        </w:rPr>
        <w:br w:type="page"/>
      </w:r>
    </w:p>
    <w:p w14:paraId="567CBE83" w14:textId="57EE8178" w:rsidR="0084324A" w:rsidRPr="00B274D6" w:rsidRDefault="0084324A" w:rsidP="00A8579E">
      <w:pPr>
        <w:pStyle w:val="Heading1"/>
        <w:numPr>
          <w:ilvl w:val="0"/>
          <w:numId w:val="36"/>
        </w:numPr>
      </w:pPr>
      <w:bookmarkStart w:id="3" w:name="_Toc48252271"/>
      <w:r w:rsidRPr="00B274D6">
        <w:lastRenderedPageBreak/>
        <w:t>Introduction</w:t>
      </w:r>
      <w:bookmarkEnd w:id="3"/>
      <w:r w:rsidR="00B5411F" w:rsidRPr="00B274D6">
        <w:t xml:space="preserve"> </w:t>
      </w:r>
    </w:p>
    <w:p w14:paraId="0AA58986" w14:textId="20F3E7FA" w:rsidR="0084324A" w:rsidRPr="008F4DF1" w:rsidRDefault="0084324A" w:rsidP="008F4DF1">
      <w:pPr>
        <w:pStyle w:val="BodyText"/>
      </w:pPr>
      <w:r w:rsidRPr="008F4DF1">
        <w:t>This report sets forth the NYISO’s 20</w:t>
      </w:r>
      <w:r w:rsidR="005B5DFF" w:rsidRPr="008F4DF1">
        <w:t xml:space="preserve">20 </w:t>
      </w:r>
      <w:r w:rsidRPr="008F4DF1">
        <w:t xml:space="preserve">Reliability Needs Assessment (RNA) and scenario findings for the </w:t>
      </w:r>
      <w:r w:rsidR="00987B3C">
        <w:t xml:space="preserve">newly redefined </w:t>
      </w:r>
      <w:r w:rsidRPr="008F4DF1">
        <w:t xml:space="preserve">Study Period </w:t>
      </w:r>
      <w:r w:rsidR="003B178C">
        <w:t>of year</w:t>
      </w:r>
      <w:r w:rsidR="00241B91">
        <w:t>s</w:t>
      </w:r>
      <w:r w:rsidR="003B178C">
        <w:t xml:space="preserve"> 4 through 10 </w:t>
      </w:r>
      <w:r w:rsidRPr="008F4DF1">
        <w:t>(</w:t>
      </w:r>
      <w:r w:rsidR="00987B3C" w:rsidRPr="00987B3C">
        <w:rPr>
          <w:i/>
        </w:rPr>
        <w:t xml:space="preserve">i.e., </w:t>
      </w:r>
      <w:r w:rsidRPr="008F4DF1">
        <w:t>years 20</w:t>
      </w:r>
      <w:r w:rsidR="005B5DFF" w:rsidRPr="008F4DF1">
        <w:t>2</w:t>
      </w:r>
      <w:r w:rsidR="00F0346C" w:rsidRPr="008F4DF1">
        <w:t>4</w:t>
      </w:r>
      <w:r w:rsidRPr="008F4DF1">
        <w:t xml:space="preserve"> through 20</w:t>
      </w:r>
      <w:r w:rsidR="005B5DFF" w:rsidRPr="008F4DF1">
        <w:t>30</w:t>
      </w:r>
      <w:r w:rsidRPr="008F4DF1">
        <w:t>).</w:t>
      </w:r>
      <w:r w:rsidR="006F28CB" w:rsidRPr="008F4DF1">
        <w:t xml:space="preserve"> The RNA is </w:t>
      </w:r>
      <w:r w:rsidR="00CE3682">
        <w:t>the first</w:t>
      </w:r>
      <w:r w:rsidR="00CE3682" w:rsidRPr="008F4DF1">
        <w:t xml:space="preserve"> </w:t>
      </w:r>
      <w:r w:rsidR="006F28CB" w:rsidRPr="008F4DF1">
        <w:t xml:space="preserve">of two </w:t>
      </w:r>
      <w:r w:rsidR="00CE3682">
        <w:t xml:space="preserve">main </w:t>
      </w:r>
      <w:r w:rsidR="006F28CB" w:rsidRPr="008F4DF1">
        <w:t>components of the Reliability Planning Process</w:t>
      </w:r>
      <w:r w:rsidR="008D26CA">
        <w:t xml:space="preserve"> (RPP)</w:t>
      </w:r>
      <w:r w:rsidR="006F28CB" w:rsidRPr="008F4DF1">
        <w:t xml:space="preserve">, which is </w:t>
      </w:r>
      <w:r w:rsidR="00241B91">
        <w:t>one of the three processes that comprise</w:t>
      </w:r>
      <w:r w:rsidR="006F28CB" w:rsidRPr="008F4DF1">
        <w:t xml:space="preserve"> the NYISO’s Comprehensive System Planning Process (see</w:t>
      </w:r>
      <w:r w:rsidR="00875BB0" w:rsidRPr="008F4DF1">
        <w:t xml:space="preserve"> </w:t>
      </w:r>
      <w:r w:rsidR="00875BB0" w:rsidRPr="008F4DF1">
        <w:fldChar w:fldCharType="begin"/>
      </w:r>
      <w:r w:rsidR="00875BB0" w:rsidRPr="008F4DF1">
        <w:instrText xml:space="preserve"> REF _Ref46153831 \h </w:instrText>
      </w:r>
      <w:r w:rsidR="008F4DF1">
        <w:instrText xml:space="preserve"> \* MERGEFORMAT </w:instrText>
      </w:r>
      <w:r w:rsidR="00875BB0" w:rsidRPr="008F4DF1">
        <w:fldChar w:fldCharType="separate"/>
      </w:r>
      <w:r w:rsidR="00875BB0" w:rsidRPr="008F4DF1">
        <w:t>Figure 3</w:t>
      </w:r>
      <w:r w:rsidR="00875BB0" w:rsidRPr="008F4DF1">
        <w:fldChar w:fldCharType="end"/>
      </w:r>
      <w:r w:rsidR="006F28CB" w:rsidRPr="008F4DF1">
        <w:t>)</w:t>
      </w:r>
      <w:r w:rsidR="008F4DF1" w:rsidRPr="008F4DF1">
        <w:t>.</w:t>
      </w:r>
      <w:r w:rsidR="00CE3682">
        <w:t xml:space="preserve">  </w:t>
      </w:r>
      <w:r w:rsidR="00CE3682" w:rsidRPr="00CE3682">
        <w:t xml:space="preserve">The RNA is performed to evaluate electric system reliability </w:t>
      </w:r>
      <w:r w:rsidR="00CE3682">
        <w:t>according to</w:t>
      </w:r>
      <w:r w:rsidR="00CE3682" w:rsidRPr="00CE3682">
        <w:t xml:space="preserve"> resource adequacy and transmission security </w:t>
      </w:r>
      <w:r w:rsidR="00CE3682">
        <w:t xml:space="preserve">criteria </w:t>
      </w:r>
      <w:r w:rsidR="00CE3682" w:rsidRPr="00CE3682">
        <w:t xml:space="preserve">over </w:t>
      </w:r>
      <w:r w:rsidR="00CE3682">
        <w:t>the</w:t>
      </w:r>
      <w:r w:rsidR="00CE3682" w:rsidRPr="00CE3682">
        <w:t xml:space="preserve"> </w:t>
      </w:r>
      <w:r w:rsidR="00CE3682">
        <w:t>S</w:t>
      </w:r>
      <w:r w:rsidR="00CE3682" w:rsidRPr="00CE3682">
        <w:t xml:space="preserve">tudy </w:t>
      </w:r>
      <w:r w:rsidR="00CE3682">
        <w:t>P</w:t>
      </w:r>
      <w:r w:rsidR="00CE3682" w:rsidRPr="00CE3682">
        <w:t>eriod.</w:t>
      </w:r>
    </w:p>
    <w:p w14:paraId="5161F334" w14:textId="40F98B0D" w:rsidR="006F28CB" w:rsidRPr="00742ACF" w:rsidRDefault="00742ACF" w:rsidP="00281AA8">
      <w:pPr>
        <w:pStyle w:val="Figure"/>
        <w:keepNext/>
      </w:pPr>
      <w:bookmarkStart w:id="4" w:name="_Ref46153831"/>
      <w:bookmarkStart w:id="5" w:name="_Toc48251320"/>
      <w:r w:rsidRPr="00742ACF">
        <w:t xml:space="preserve">Figure </w:t>
      </w:r>
      <w:r w:rsidR="00D517E4">
        <w:fldChar w:fldCharType="begin"/>
      </w:r>
      <w:r w:rsidR="00D517E4">
        <w:instrText xml:space="preserve"> SEQ Figure \* ARABIC </w:instrText>
      </w:r>
      <w:r w:rsidR="00D517E4">
        <w:fldChar w:fldCharType="separate"/>
      </w:r>
      <w:r w:rsidR="00F94268">
        <w:rPr>
          <w:noProof/>
        </w:rPr>
        <w:t>3</w:t>
      </w:r>
      <w:r w:rsidR="00D517E4">
        <w:rPr>
          <w:noProof/>
        </w:rPr>
        <w:fldChar w:fldCharType="end"/>
      </w:r>
      <w:bookmarkEnd w:id="4"/>
      <w:r w:rsidRPr="00742ACF">
        <w:t xml:space="preserve">: </w:t>
      </w:r>
      <w:r w:rsidR="006F28CB" w:rsidRPr="00742ACF">
        <w:t>The NYISO’s Comprehensive System Planning Process (CSPP)</w:t>
      </w:r>
      <w:bookmarkEnd w:id="5"/>
    </w:p>
    <w:p w14:paraId="15999DCA" w14:textId="22EA3B0A" w:rsidR="006F28CB" w:rsidRPr="005B5DFF" w:rsidRDefault="006F28CB" w:rsidP="008F4438">
      <w:pPr>
        <w:pStyle w:val="BodyText"/>
        <w:jc w:val="center"/>
      </w:pPr>
      <w:r w:rsidRPr="008F4438">
        <w:rPr>
          <w:noProof/>
        </w:rPr>
        <w:drawing>
          <wp:inline distT="0" distB="0" distL="0" distR="0" wp14:anchorId="0EE7C062" wp14:editId="5F3F8C45">
            <wp:extent cx="5715000" cy="3703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99" r="2082" b="2000"/>
                    <a:stretch/>
                  </pic:blipFill>
                  <pic:spPr bwMode="auto">
                    <a:xfrm>
                      <a:off x="0" y="0"/>
                      <a:ext cx="5723301" cy="3708699"/>
                    </a:xfrm>
                    <a:prstGeom prst="rect">
                      <a:avLst/>
                    </a:prstGeom>
                    <a:ln>
                      <a:noFill/>
                    </a:ln>
                    <a:extLst>
                      <a:ext uri="{53640926-AAD7-44D8-BBD7-CCE9431645EC}">
                        <a14:shadowObscured xmlns:a14="http://schemas.microsoft.com/office/drawing/2010/main"/>
                      </a:ext>
                    </a:extLst>
                  </pic:spPr>
                </pic:pic>
              </a:graphicData>
            </a:graphic>
          </wp:inline>
        </w:drawing>
      </w:r>
    </w:p>
    <w:p w14:paraId="0B999CAB" w14:textId="5F71D711" w:rsidR="0084324A" w:rsidRPr="008F4DF1" w:rsidRDefault="0084324A" w:rsidP="008F4DF1">
      <w:pPr>
        <w:pStyle w:val="BodyText"/>
      </w:pPr>
      <w:r w:rsidRPr="008F4DF1">
        <w:t xml:space="preserve">The RNA is developed by the NYISO in conjunction with </w:t>
      </w:r>
      <w:r w:rsidR="00241B91">
        <w:t>stakeholders</w:t>
      </w:r>
      <w:r w:rsidRPr="008F4DF1">
        <w:t xml:space="preserve"> and all interested parties as the first step in the </w:t>
      </w:r>
      <w:r w:rsidR="008D26CA">
        <w:t>RPP.</w:t>
      </w:r>
      <w:r w:rsidR="000859BF" w:rsidRPr="008F4DF1">
        <w:t xml:space="preserve"> </w:t>
      </w:r>
      <w:r w:rsidRPr="008F4DF1">
        <w:t xml:space="preserve">The RNA </w:t>
      </w:r>
      <w:r w:rsidR="00CE3682">
        <w:t>assesses</w:t>
      </w:r>
      <w:r w:rsidR="00CE3682" w:rsidRPr="008F4DF1">
        <w:t xml:space="preserve"> </w:t>
      </w:r>
      <w:r w:rsidR="00CE3682">
        <w:t xml:space="preserve">the </w:t>
      </w:r>
      <w:r w:rsidR="00CE3682" w:rsidRPr="008F4DF1">
        <w:t xml:space="preserve">reliability </w:t>
      </w:r>
      <w:r w:rsidR="00CE3682">
        <w:t xml:space="preserve">of the New York Bulk Power Transmission Facilities (BPTFs) as </w:t>
      </w:r>
      <w:r w:rsidRPr="008F4DF1">
        <w:t>the foundation study used in the development of the NYISO Comprehensive Reliabilit</w:t>
      </w:r>
      <w:r w:rsidR="007223FB" w:rsidRPr="008F4DF1">
        <w:t xml:space="preserve">y Plan (CRP). </w:t>
      </w:r>
      <w:r w:rsidR="008225B3">
        <w:t>Two major study types are performed:</w:t>
      </w:r>
      <w:r w:rsidRPr="008F4DF1">
        <w:t xml:space="preserve"> resource adequacy and transmission security</w:t>
      </w:r>
      <w:r w:rsidR="008225B3">
        <w:t>,</w:t>
      </w:r>
      <w:r w:rsidRPr="008F4DF1">
        <w:t xml:space="preserve"> over </w:t>
      </w:r>
      <w:r w:rsidR="00926997">
        <w:t xml:space="preserve">the RNA Study Period </w:t>
      </w:r>
      <w:r w:rsidR="00926997" w:rsidRPr="008225B3">
        <w:t>(</w:t>
      </w:r>
      <w:r w:rsidR="00926997" w:rsidRPr="008225B3">
        <w:rPr>
          <w:i/>
        </w:rPr>
        <w:t>i.e.</w:t>
      </w:r>
      <w:r w:rsidR="008225B3" w:rsidRPr="008225B3">
        <w:rPr>
          <w:i/>
        </w:rPr>
        <w:t>,</w:t>
      </w:r>
      <w:r w:rsidR="00926997">
        <w:t xml:space="preserve"> year 4 through year 10, 2024-2030)</w:t>
      </w:r>
      <w:r w:rsidR="007223FB" w:rsidRPr="008F4DF1">
        <w:t xml:space="preserve">. </w:t>
      </w:r>
      <w:r w:rsidRPr="008F4DF1">
        <w:t>If the RNA identifies any violation of Reliability Criteria</w:t>
      </w:r>
      <w:r w:rsidR="003B4D4B">
        <w:rPr>
          <w:rStyle w:val="FootnoteReference"/>
        </w:rPr>
        <w:footnoteReference w:id="1"/>
      </w:r>
      <w:r w:rsidRPr="008F4DF1">
        <w:t xml:space="preserve"> for BPTF</w:t>
      </w:r>
      <w:r w:rsidR="004B1342">
        <w:t>s</w:t>
      </w:r>
      <w:r w:rsidRPr="008F4DF1">
        <w:t xml:space="preserve">, the NYISO will report a Reliability Need quantified by an amount of compensatory </w:t>
      </w:r>
      <w:r w:rsidRPr="008F4DF1">
        <w:lastRenderedPageBreak/>
        <w:t xml:space="preserve">megawatts (MW) </w:t>
      </w:r>
      <w:r w:rsidR="004E624E" w:rsidRPr="008F4DF1">
        <w:t xml:space="preserve">in a location </w:t>
      </w:r>
      <w:r w:rsidRPr="008F4DF1">
        <w:t>that would resol</w:t>
      </w:r>
      <w:r w:rsidR="000859BF" w:rsidRPr="008F4DF1">
        <w:t xml:space="preserve">ve that need. </w:t>
      </w:r>
      <w:r w:rsidRPr="008F4DF1">
        <w:t>After NYISO</w:t>
      </w:r>
      <w:r w:rsidR="00A12239" w:rsidRPr="008F4DF1">
        <w:t>’s</w:t>
      </w:r>
      <w:r w:rsidRPr="008F4DF1">
        <w:t xml:space="preserve"> Board approval of the RNA</w:t>
      </w:r>
      <w:r w:rsidR="00681064" w:rsidRPr="008F4DF1">
        <w:t xml:space="preserve"> and if any Reliability Needs </w:t>
      </w:r>
      <w:r w:rsidR="009363E8" w:rsidRPr="008F4DF1">
        <w:t xml:space="preserve">are </w:t>
      </w:r>
      <w:r w:rsidR="00681064" w:rsidRPr="008F4DF1">
        <w:t xml:space="preserve">left after the </w:t>
      </w:r>
      <w:r w:rsidR="008225B3">
        <w:t>post-RNA Base Case</w:t>
      </w:r>
      <w:r w:rsidR="00681064" w:rsidRPr="008F4DF1">
        <w:t xml:space="preserve"> update</w:t>
      </w:r>
      <w:r w:rsidR="008225B3">
        <w:t>s</w:t>
      </w:r>
      <w:r w:rsidR="00681064" w:rsidRPr="008F4DF1">
        <w:t xml:space="preserve"> process</w:t>
      </w:r>
      <w:r w:rsidRPr="008F4DF1">
        <w:t xml:space="preserve">, the NYISO will </w:t>
      </w:r>
      <w:r w:rsidR="00EF1C2F">
        <w:t>solicit</w:t>
      </w:r>
      <w:r w:rsidRPr="008F4DF1">
        <w:t xml:space="preserve"> market‐based </w:t>
      </w:r>
      <w:r w:rsidR="009363E8" w:rsidRPr="008F4DF1">
        <w:t>solutions</w:t>
      </w:r>
      <w:r w:rsidR="0037555C">
        <w:t>,</w:t>
      </w:r>
      <w:r w:rsidRPr="008F4DF1">
        <w:t xml:space="preserve"> designate one or more Responsible Transmission Owners</w:t>
      </w:r>
      <w:r w:rsidR="00DA404E" w:rsidRPr="008F4DF1">
        <w:t xml:space="preserve"> </w:t>
      </w:r>
      <w:r w:rsidR="004B1342">
        <w:t>to develop</w:t>
      </w:r>
      <w:r w:rsidRPr="008F4DF1">
        <w:t xml:space="preserve"> regulated backstop solution</w:t>
      </w:r>
      <w:r w:rsidR="004B1342">
        <w:t>s</w:t>
      </w:r>
      <w:r w:rsidRPr="008F4DF1">
        <w:t xml:space="preserve"> to address eac</w:t>
      </w:r>
      <w:r w:rsidR="00157012" w:rsidRPr="008F4DF1">
        <w:t>h identified Reliability Need</w:t>
      </w:r>
      <w:r w:rsidR="0037555C">
        <w:t>,</w:t>
      </w:r>
      <w:r w:rsidR="009363E8" w:rsidRPr="008F4DF1">
        <w:t xml:space="preserve"> and solicit alternative regulated </w:t>
      </w:r>
      <w:r w:rsidR="00EF1C2F">
        <w:t>solutions</w:t>
      </w:r>
      <w:r w:rsidR="009363E8" w:rsidRPr="008F4DF1">
        <w:t xml:space="preserve"> from interested parties</w:t>
      </w:r>
      <w:r w:rsidR="00157012" w:rsidRPr="008F4DF1">
        <w:t>.</w:t>
      </w:r>
    </w:p>
    <w:p w14:paraId="7F3B9DBD" w14:textId="28152F66" w:rsidR="000C5006" w:rsidRPr="008F4DF1" w:rsidRDefault="0084324A" w:rsidP="008F4DF1">
      <w:pPr>
        <w:pStyle w:val="BodyText"/>
      </w:pPr>
      <w:r w:rsidRPr="008F4DF1">
        <w:t xml:space="preserve">The CRP </w:t>
      </w:r>
      <w:r w:rsidR="00590B33" w:rsidRPr="008F4DF1">
        <w:t xml:space="preserve">details the NYISO plan for continued reliability of </w:t>
      </w:r>
      <w:r w:rsidR="00850B5B">
        <w:t xml:space="preserve">the </w:t>
      </w:r>
      <w:r w:rsidR="00294536">
        <w:t>BPTF</w:t>
      </w:r>
      <w:r w:rsidR="004B1342">
        <w:t>s</w:t>
      </w:r>
      <w:r w:rsidR="00590B33" w:rsidRPr="008F4DF1">
        <w:t xml:space="preserve"> during the Study Period and identifies additional resources, or combinations of resources, that resolve any identified criteria violations in the RNA. New or proposed resources included in the CRP </w:t>
      </w:r>
      <w:r w:rsidRPr="008F4DF1">
        <w:t>may be provided by market‐based solutions develop</w:t>
      </w:r>
      <w:r w:rsidR="004B1342">
        <w:t xml:space="preserve">ed in response to market forces, </w:t>
      </w:r>
      <w:r w:rsidRPr="008F4DF1">
        <w:t>and</w:t>
      </w:r>
      <w:r w:rsidR="004B1342">
        <w:t xml:space="preserve"> by</w:t>
      </w:r>
      <w:r w:rsidRPr="008F4DF1">
        <w:t xml:space="preserve"> </w:t>
      </w:r>
      <w:r w:rsidR="004B1342">
        <w:t>the</w:t>
      </w:r>
      <w:r w:rsidRPr="008F4DF1">
        <w:t xml:space="preserve"> request for solu</w:t>
      </w:r>
      <w:r w:rsidR="004B1342">
        <w:t>tions</w:t>
      </w:r>
      <w:r w:rsidRPr="008F4DF1">
        <w:t xml:space="preserve">. If the market does not adequately respond, reliability will be maintained by either regulated </w:t>
      </w:r>
      <w:r w:rsidR="00B43B84" w:rsidRPr="008F4DF1">
        <w:t xml:space="preserve">backstop </w:t>
      </w:r>
      <w:r w:rsidRPr="008F4DF1">
        <w:t xml:space="preserve">solutions developed by the </w:t>
      </w:r>
      <w:r w:rsidR="004B1342">
        <w:t>R</w:t>
      </w:r>
      <w:r w:rsidR="00850B5B">
        <w:t xml:space="preserve">esponsible </w:t>
      </w:r>
      <w:r w:rsidRPr="008F4DF1">
        <w:t>TOs, which are obligated to provide reliable service to their customers, or alternative regulated soluti</w:t>
      </w:r>
      <w:r w:rsidR="000859BF" w:rsidRPr="008F4DF1">
        <w:t xml:space="preserve">ons being developed by </w:t>
      </w:r>
      <w:r w:rsidR="00DA709D" w:rsidRPr="008F4DF1">
        <w:t>O</w:t>
      </w:r>
      <w:r w:rsidR="000859BF" w:rsidRPr="008F4DF1">
        <w:t>ther</w:t>
      </w:r>
      <w:r w:rsidR="00DA709D" w:rsidRPr="008F4DF1">
        <w:t xml:space="preserve"> Developers</w:t>
      </w:r>
      <w:r w:rsidR="000859BF" w:rsidRPr="008F4DF1">
        <w:t xml:space="preserve">. </w:t>
      </w:r>
      <w:r w:rsidRPr="008F4DF1">
        <w:t xml:space="preserve">To maintain </w:t>
      </w:r>
      <w:r w:rsidR="00590B33" w:rsidRPr="008F4DF1">
        <w:t xml:space="preserve">the </w:t>
      </w:r>
      <w:r w:rsidRPr="008F4DF1">
        <w:t>long‐term reliability</w:t>
      </w:r>
      <w:r w:rsidR="00590B33" w:rsidRPr="008F4DF1">
        <w:t xml:space="preserve"> of the BPTF</w:t>
      </w:r>
      <w:r w:rsidR="004B1342">
        <w:t>s</w:t>
      </w:r>
      <w:r w:rsidRPr="008F4DF1">
        <w:t>, these additional resources must be readily available or in development at the appropriate time</w:t>
      </w:r>
      <w:r w:rsidR="000859BF" w:rsidRPr="008F4DF1">
        <w:t xml:space="preserve"> to address the </w:t>
      </w:r>
      <w:r w:rsidR="002859CC" w:rsidRPr="008F4DF1">
        <w:t xml:space="preserve">identified </w:t>
      </w:r>
      <w:r w:rsidR="000859BF" w:rsidRPr="008F4DF1">
        <w:t xml:space="preserve">need. </w:t>
      </w:r>
    </w:p>
    <w:p w14:paraId="126288A7" w14:textId="77777777" w:rsidR="0084324A" w:rsidRPr="008F4DF1" w:rsidRDefault="0084324A" w:rsidP="008F4DF1">
      <w:pPr>
        <w:pStyle w:val="BodyText"/>
      </w:pPr>
      <w:r w:rsidRPr="008F4DF1">
        <w:t>Proposed solutions that are submitted in response to an identified Reliability Need are evaluated in the development of the CRP and must</w:t>
      </w:r>
      <w:r w:rsidR="009E7336" w:rsidRPr="008F4DF1">
        <w:t xml:space="preserve"> satisfy Reliability Criteria. </w:t>
      </w:r>
      <w:r w:rsidRPr="008F4DF1">
        <w:t>However, the solutions submitted to the NYISO for evaluation in the CRP do not have to be in the same amounts of MW or locations as the compen</w:t>
      </w:r>
      <w:r w:rsidR="00804B1D" w:rsidRPr="008F4DF1">
        <w:t xml:space="preserve">satory MW reported in the RNA. </w:t>
      </w:r>
      <w:r w:rsidRPr="008F4DF1">
        <w:t>There are various combinations of resources and transmission upgrades that could meet th</w:t>
      </w:r>
      <w:r w:rsidR="00804B1D" w:rsidRPr="008F4DF1">
        <w:t xml:space="preserve">e needs identified in the RNA. </w:t>
      </w:r>
      <w:r w:rsidRPr="008F4DF1">
        <w:t>The reconfiguration of transmission facilities and/or modifications to operating protocols identified in the solution phase could result in changes and/or modifications of the needs identified in the RNA.</w:t>
      </w:r>
    </w:p>
    <w:p w14:paraId="6921175A" w14:textId="4A717878" w:rsidR="0084324A" w:rsidRPr="008F4DF1" w:rsidRDefault="0084324A" w:rsidP="008F4DF1">
      <w:pPr>
        <w:pStyle w:val="BodyText"/>
      </w:pPr>
      <w:r w:rsidRPr="008F4DF1">
        <w:t xml:space="preserve">This report begins </w:t>
      </w:r>
      <w:r w:rsidR="00213598" w:rsidRPr="008F4DF1">
        <w:t>by highlighting</w:t>
      </w:r>
      <w:r w:rsidR="00F913FC" w:rsidRPr="008F4DF1">
        <w:t xml:space="preserve"> </w:t>
      </w:r>
      <w:r w:rsidRPr="008F4DF1">
        <w:t xml:space="preserve">the changes to the RPP </w:t>
      </w:r>
      <w:r w:rsidR="00F913FC" w:rsidRPr="008F4DF1">
        <w:t>recently implemented</w:t>
      </w:r>
      <w:r w:rsidR="00213598" w:rsidRPr="008F4DF1">
        <w:t xml:space="preserve"> in the NYISO’s tariffs and procedures</w:t>
      </w:r>
      <w:r w:rsidR="00804B1D" w:rsidRPr="008F4DF1">
        <w:t xml:space="preserve">. </w:t>
      </w:r>
      <w:r w:rsidRPr="008F4DF1">
        <w:t xml:space="preserve">Next, this report summarizes the </w:t>
      </w:r>
      <w:r w:rsidR="00751954" w:rsidRPr="008F4DF1">
        <w:t xml:space="preserve">prior RPP </w:t>
      </w:r>
      <w:r w:rsidRPr="008F4DF1">
        <w:t>finding</w:t>
      </w:r>
      <w:r w:rsidR="00804B1D" w:rsidRPr="008F4DF1">
        <w:t xml:space="preserve">s and reliability plans. </w:t>
      </w:r>
      <w:r w:rsidRPr="008F4DF1">
        <w:t>The report continues with a summary of the load and resource forecast for the</w:t>
      </w:r>
      <w:r w:rsidR="00211DC0">
        <w:t xml:space="preserve"> RNA Study Period</w:t>
      </w:r>
      <w:r w:rsidRPr="008F4DF1">
        <w:t>, the RNA Base Case assumptions and methodology, and the RNA finding</w:t>
      </w:r>
      <w:r w:rsidR="00751954" w:rsidRPr="008F4DF1">
        <w:t>s</w:t>
      </w:r>
      <w:r w:rsidR="00804B1D" w:rsidRPr="008F4DF1">
        <w:t xml:space="preserve">. </w:t>
      </w:r>
      <w:r w:rsidRPr="008F4DF1">
        <w:t>Detailed analyses, data and results, and the underlying modeling assumptions ar</w:t>
      </w:r>
      <w:r w:rsidR="0081676F" w:rsidRPr="008F4DF1">
        <w:t>e contained in the appendices.</w:t>
      </w:r>
    </w:p>
    <w:p w14:paraId="7168B9CA" w14:textId="77777777" w:rsidR="006004DC" w:rsidRPr="008F4DF1" w:rsidRDefault="006004DC" w:rsidP="008F4DF1">
      <w:pPr>
        <w:pStyle w:val="BodyText"/>
      </w:pPr>
      <w:r w:rsidRPr="008F4DF1">
        <w:t>Along with addressing reliability, the RPP is also designed to provide information that is both informative and of value to the New York wholesale electricity marketplace and federal and state policy makers.</w:t>
      </w:r>
    </w:p>
    <w:p w14:paraId="74935B8A" w14:textId="77777777" w:rsidR="004B1342" w:rsidRDefault="000C5006" w:rsidP="008F4DF1">
      <w:pPr>
        <w:pStyle w:val="BodyText"/>
      </w:pPr>
      <w:r w:rsidRPr="008F4DF1">
        <w:t xml:space="preserve">For informational purposes, this RNA report reviews </w:t>
      </w:r>
      <w:r w:rsidR="00CD1569" w:rsidRPr="008F4DF1">
        <w:t>activities related to</w:t>
      </w:r>
      <w:r w:rsidRPr="008F4DF1">
        <w:t xml:space="preserve"> environmental regulatory programs and </w:t>
      </w:r>
      <w:r w:rsidR="00CD1569" w:rsidRPr="008F4DF1">
        <w:t xml:space="preserve">other relevant </w:t>
      </w:r>
      <w:r w:rsidR="00DD39D8" w:rsidRPr="008F4DF1">
        <w:t>developments</w:t>
      </w:r>
      <w:r w:rsidR="00A46648">
        <w:t xml:space="preserve">. </w:t>
      </w:r>
      <w:r w:rsidRPr="008F4DF1">
        <w:t>Also f</w:t>
      </w:r>
      <w:r w:rsidR="0084324A" w:rsidRPr="008F4DF1">
        <w:t xml:space="preserve">or informational purposes, this RNA report also provides the latest historical information </w:t>
      </w:r>
      <w:r w:rsidR="00F1745F" w:rsidRPr="008F4DF1">
        <w:t xml:space="preserve">and is </w:t>
      </w:r>
      <w:r w:rsidR="0084324A" w:rsidRPr="008F4DF1">
        <w:t>available for the past five years of congestion</w:t>
      </w:r>
      <w:r w:rsidR="00142944" w:rsidRPr="008F4DF1">
        <w:t xml:space="preserve"> on </w:t>
      </w:r>
      <w:r w:rsidR="0084324A" w:rsidRPr="008F4DF1">
        <w:t>the NY</w:t>
      </w:r>
      <w:r w:rsidR="00B9597B" w:rsidRPr="008F4DF1">
        <w:t xml:space="preserve">ISO’s </w:t>
      </w:r>
      <w:r w:rsidR="00B9597B" w:rsidRPr="008F4DF1">
        <w:lastRenderedPageBreak/>
        <w:t xml:space="preserve">website. </w:t>
      </w:r>
    </w:p>
    <w:p w14:paraId="3589C9BD" w14:textId="2CC74AF5" w:rsidR="00157012" w:rsidRPr="008F4DF1" w:rsidRDefault="0084324A" w:rsidP="008F4DF1">
      <w:pPr>
        <w:pStyle w:val="BodyText"/>
      </w:pPr>
      <w:r w:rsidRPr="008F4DF1">
        <w:t>The 20</w:t>
      </w:r>
      <w:r w:rsidR="00A46648">
        <w:t>20</w:t>
      </w:r>
      <w:r w:rsidRPr="008F4DF1">
        <w:t xml:space="preserve"> </w:t>
      </w:r>
      <w:r w:rsidR="00961915" w:rsidRPr="008F4DF1">
        <w:t>RPP</w:t>
      </w:r>
      <w:r w:rsidRPr="008F4DF1">
        <w:t xml:space="preserve"> will serv</w:t>
      </w:r>
      <w:r w:rsidR="00961915" w:rsidRPr="008F4DF1">
        <w:t>e as the foundation for the 20</w:t>
      </w:r>
      <w:r w:rsidR="00A46648">
        <w:t>21</w:t>
      </w:r>
      <w:r w:rsidRPr="008F4DF1">
        <w:t xml:space="preserve"> Congestion Assessment and Resource Integration Study (CARIS), which will present more detailed evaluation of system congestion.</w:t>
      </w:r>
      <w:r w:rsidR="006004DC" w:rsidRPr="008F4DF1">
        <w:t xml:space="preserve"> Just as important as the electric system plan is the process of planning itself. Electric system planning is an ongoing process of evaluating, monitoring, and updating as conditions warrant.</w:t>
      </w:r>
    </w:p>
    <w:p w14:paraId="6BE25ABD" w14:textId="46681EE2" w:rsidR="006F28CB" w:rsidRPr="008F4DF1" w:rsidRDefault="006F28CB" w:rsidP="008F4DF1">
      <w:pPr>
        <w:pStyle w:val="BodyText"/>
      </w:pPr>
      <w:r w:rsidRPr="008F4DF1">
        <w:t xml:space="preserve">An overview of the RPP is illustrated in </w:t>
      </w:r>
      <w:r w:rsidR="008F4DF1" w:rsidRPr="008F4DF1">
        <w:fldChar w:fldCharType="begin"/>
      </w:r>
      <w:r w:rsidR="008F4DF1" w:rsidRPr="008F4DF1">
        <w:instrText xml:space="preserve"> REF _Ref46154667 \h </w:instrText>
      </w:r>
      <w:r w:rsidR="008F4DF1">
        <w:instrText xml:space="preserve"> \* MERGEFORMAT </w:instrText>
      </w:r>
      <w:r w:rsidR="008F4DF1" w:rsidRPr="008F4DF1">
        <w:fldChar w:fldCharType="separate"/>
      </w:r>
      <w:r w:rsidR="008F4DF1" w:rsidRPr="008F4DF1">
        <w:t>Figure 4</w:t>
      </w:r>
      <w:r w:rsidR="008F4DF1" w:rsidRPr="008F4DF1">
        <w:fldChar w:fldCharType="end"/>
      </w:r>
      <w:r w:rsidR="00A46648">
        <w:t xml:space="preserve"> </w:t>
      </w:r>
      <w:r w:rsidRPr="008F4DF1">
        <w:t>and is described in the RPP Manual.</w:t>
      </w:r>
    </w:p>
    <w:p w14:paraId="1A7B39CD" w14:textId="12ADACD5" w:rsidR="007070E9" w:rsidRDefault="006F28CB" w:rsidP="00281AA8">
      <w:pPr>
        <w:pStyle w:val="Figure"/>
        <w:keepNext/>
      </w:pPr>
      <w:bookmarkStart w:id="6" w:name="_Ref46154667"/>
      <w:bookmarkStart w:id="7" w:name="_Ref47020292"/>
      <w:bookmarkStart w:id="8" w:name="_Toc48251321"/>
      <w:r w:rsidRPr="00742ACF">
        <w:lastRenderedPageBreak/>
        <w:t xml:space="preserve">Figure </w:t>
      </w:r>
      <w:r w:rsidR="00D517E4">
        <w:fldChar w:fldCharType="begin"/>
      </w:r>
      <w:r w:rsidR="00D517E4">
        <w:instrText xml:space="preserve"> SEQ Figure \* ARABIC </w:instrText>
      </w:r>
      <w:r w:rsidR="00D517E4">
        <w:fldChar w:fldCharType="separate"/>
      </w:r>
      <w:r w:rsidR="00F94268">
        <w:rPr>
          <w:noProof/>
        </w:rPr>
        <w:t>4</w:t>
      </w:r>
      <w:r w:rsidR="00D517E4">
        <w:rPr>
          <w:noProof/>
        </w:rPr>
        <w:fldChar w:fldCharType="end"/>
      </w:r>
      <w:bookmarkEnd w:id="6"/>
      <w:r w:rsidRPr="00742ACF">
        <w:t xml:space="preserve">: NYISO </w:t>
      </w:r>
      <w:r w:rsidR="00A46648">
        <w:t>RPP</w:t>
      </w:r>
      <w:bookmarkEnd w:id="7"/>
      <w:bookmarkEnd w:id="8"/>
      <w:r w:rsidR="00C55AA3">
        <w:t xml:space="preserve"> </w:t>
      </w:r>
    </w:p>
    <w:p w14:paraId="2F8E5356" w14:textId="3CCA4FD3" w:rsidR="00B71519" w:rsidRDefault="00A46648" w:rsidP="00A45DCC">
      <w:pPr>
        <w:pStyle w:val="BodyText"/>
        <w:jc w:val="center"/>
      </w:pPr>
      <w:r w:rsidRPr="00AB1402">
        <w:rPr>
          <w:noProof/>
        </w:rPr>
        <w:drawing>
          <wp:inline distT="0" distB="0" distL="0" distR="0" wp14:anchorId="3865196F" wp14:editId="5967B766">
            <wp:extent cx="5768340" cy="74804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t="-78" r="48248" b="49416"/>
                    <a:stretch/>
                  </pic:blipFill>
                  <pic:spPr bwMode="auto">
                    <a:xfrm>
                      <a:off x="0" y="0"/>
                      <a:ext cx="5774314" cy="7488204"/>
                    </a:xfrm>
                    <a:prstGeom prst="rect">
                      <a:avLst/>
                    </a:prstGeom>
                    <a:noFill/>
                    <a:ln>
                      <a:noFill/>
                    </a:ln>
                    <a:extLst>
                      <a:ext uri="{53640926-AAD7-44D8-BBD7-CCE9431645EC}">
                        <a14:shadowObscured xmlns:a14="http://schemas.microsoft.com/office/drawing/2010/main"/>
                      </a:ext>
                    </a:extLst>
                  </pic:spPr>
                </pic:pic>
              </a:graphicData>
            </a:graphic>
          </wp:inline>
        </w:drawing>
      </w:r>
    </w:p>
    <w:p w14:paraId="01D12CF1" w14:textId="3A96B92D" w:rsidR="006F28CB" w:rsidRPr="00157012" w:rsidRDefault="006F28CB" w:rsidP="006F28CB">
      <w:pPr>
        <w:pStyle w:val="BodyText"/>
        <w:rPr>
          <w:bCs w:val="0"/>
        </w:rPr>
      </w:pPr>
      <w:r>
        <w:br w:type="page"/>
      </w:r>
    </w:p>
    <w:p w14:paraId="4C11B120" w14:textId="63B5E647" w:rsidR="0084324A" w:rsidRPr="0084324A" w:rsidRDefault="0084324A" w:rsidP="00A8579E">
      <w:pPr>
        <w:pStyle w:val="Heading1"/>
        <w:numPr>
          <w:ilvl w:val="0"/>
          <w:numId w:val="36"/>
        </w:numPr>
      </w:pPr>
      <w:bookmarkStart w:id="9" w:name="_Toc48252272"/>
      <w:r w:rsidRPr="0084324A">
        <w:lastRenderedPageBreak/>
        <w:t xml:space="preserve">Overview of </w:t>
      </w:r>
      <w:r w:rsidR="00866629">
        <w:t>Reliability Planning Process</w:t>
      </w:r>
      <w:r w:rsidR="00866629" w:rsidRPr="0084324A">
        <w:t xml:space="preserve"> </w:t>
      </w:r>
      <w:r w:rsidRPr="0084324A">
        <w:t>Changes</w:t>
      </w:r>
      <w:bookmarkEnd w:id="9"/>
      <w:r w:rsidR="00B5411F">
        <w:t xml:space="preserve"> </w:t>
      </w:r>
    </w:p>
    <w:p w14:paraId="5DC4ECC5" w14:textId="476D4975" w:rsidR="0084324A" w:rsidRPr="008F4DF1" w:rsidRDefault="0084324A" w:rsidP="008F4DF1">
      <w:pPr>
        <w:pStyle w:val="BodyText"/>
      </w:pPr>
      <w:r w:rsidRPr="008F4DF1">
        <w:t>The current RPP was approved by the Federal Energy Regulatory Commission (FERC) and its requirements are contained in Attachment Y of the NYISO’s Open Access Transmiss</w:t>
      </w:r>
      <w:r w:rsidR="00CC4248" w:rsidRPr="008F4DF1">
        <w:t xml:space="preserve">ion Tariff (OATT). </w:t>
      </w:r>
      <w:r w:rsidRPr="008F4DF1">
        <w:t>The detailed process</w:t>
      </w:r>
      <w:r w:rsidR="00867687">
        <w:t xml:space="preserve"> of the RPP is contained in the </w:t>
      </w:r>
      <w:r w:rsidR="00CF712D">
        <w:t>RPP Manua</w:t>
      </w:r>
      <w:r w:rsidR="00867687">
        <w:t>l</w:t>
      </w:r>
      <w:r w:rsidRPr="008F4DF1">
        <w:t>.</w:t>
      </w:r>
    </w:p>
    <w:p w14:paraId="3BC96534" w14:textId="02141BC8" w:rsidR="007070E9" w:rsidRDefault="00F0346C" w:rsidP="008F4DF1">
      <w:pPr>
        <w:pStyle w:val="BodyText"/>
      </w:pPr>
      <w:r w:rsidRPr="008F4DF1">
        <w:t>In 2019</w:t>
      </w:r>
      <w:r w:rsidR="00E26349">
        <w:t xml:space="preserve">, </w:t>
      </w:r>
      <w:r w:rsidRPr="008F4DF1">
        <w:t>a major planning process was carved out of the RPP and defined as the Short-Term Reliability Process (STRP)</w:t>
      </w:r>
      <w:r w:rsidR="00C14A5F">
        <w:t xml:space="preserve">. </w:t>
      </w:r>
      <w:r w:rsidR="001A0F80">
        <w:t>T</w:t>
      </w:r>
      <w:r w:rsidRPr="008F4DF1">
        <w:t xml:space="preserve">his process was approved by the </w:t>
      </w:r>
      <w:r w:rsidR="00357CFC">
        <w:t xml:space="preserve">FERC </w:t>
      </w:r>
      <w:r w:rsidRPr="008F4DF1">
        <w:t xml:space="preserve">and its requirements are contained in </w:t>
      </w:r>
      <w:hyperlink r:id="rId18" w:history="1">
        <w:r w:rsidRPr="008F4DF1">
          <w:t>Attachments Y and FF of the NYISO’s OATT</w:t>
        </w:r>
      </w:hyperlink>
      <w:r w:rsidRPr="008F4DF1">
        <w:t xml:space="preserve">. With this process in place, the RPP’s Study Period changes from </w:t>
      </w:r>
      <w:r w:rsidR="001A0F80">
        <w:t xml:space="preserve">a </w:t>
      </w:r>
      <w:r w:rsidRPr="008F4DF1">
        <w:t>year 1 to year 10</w:t>
      </w:r>
      <w:r w:rsidR="001A0F80">
        <w:t xml:space="preserve"> analysis</w:t>
      </w:r>
      <w:r w:rsidRPr="008F4DF1">
        <w:t xml:space="preserve">, into </w:t>
      </w:r>
      <w:r w:rsidR="001A0F80">
        <w:t xml:space="preserve">a </w:t>
      </w:r>
      <w:r w:rsidRPr="008F4DF1">
        <w:t>year 4 to year 10 look ahead</w:t>
      </w:r>
      <w:r w:rsidR="001A0F80">
        <w:t>.  At the same time</w:t>
      </w:r>
      <w:r w:rsidR="00694CB8">
        <w:t xml:space="preserve">, </w:t>
      </w:r>
      <w:r w:rsidR="00694CB8" w:rsidRPr="008F4DF1">
        <w:t>the</w:t>
      </w:r>
      <w:r w:rsidRPr="008F4DF1">
        <w:t xml:space="preserve"> STRP evaluates year 1 through year 5 from the </w:t>
      </w:r>
      <w:r w:rsidR="000A64FC">
        <w:t>Short Term Assessment of Reliability (</w:t>
      </w:r>
      <w:r w:rsidRPr="008F4DF1">
        <w:t>STAR</w:t>
      </w:r>
      <w:r w:rsidR="000A64FC">
        <w:t>)</w:t>
      </w:r>
      <w:r w:rsidRPr="008F4DF1">
        <w:t xml:space="preserve"> Start Date</w:t>
      </w:r>
      <w:r w:rsidR="001A0F80">
        <w:t xml:space="preserve">, with a focus on Short-Term Reliability Needs arising in years 1 through 3 of the Study </w:t>
      </w:r>
      <w:r w:rsidR="00694CB8">
        <w:t xml:space="preserve">Period. </w:t>
      </w:r>
      <w:r w:rsidRPr="008F4DF1">
        <w:t xml:space="preserve">Each quarterly STRP concludes if the STAR or Generator Deactivation Assessment </w:t>
      </w:r>
      <w:r w:rsidR="00867687">
        <w:t>does not identify</w:t>
      </w:r>
      <w:r w:rsidRPr="008F4DF1">
        <w:t xml:space="preserve"> a STRP Need</w:t>
      </w:r>
      <w:r w:rsidR="00867687">
        <w:t>, and</w:t>
      </w:r>
      <w:r w:rsidRPr="008F4DF1">
        <w:t xml:space="preserve"> states </w:t>
      </w:r>
      <w:r w:rsidR="00867687">
        <w:t>whether</w:t>
      </w:r>
      <w:r w:rsidRPr="008F4DF1">
        <w:t xml:space="preserve"> a STRP Need will be addressed in the RPP</w:t>
      </w:r>
      <w:r w:rsidR="00867687">
        <w:t xml:space="preserve"> or in the STRP</w:t>
      </w:r>
      <w:r w:rsidRPr="008F4DF1">
        <w:t>.</w:t>
      </w:r>
      <w:r w:rsidR="001A0F80">
        <w:t xml:space="preserve"> </w:t>
      </w:r>
    </w:p>
    <w:p w14:paraId="6FB869A2" w14:textId="77777777" w:rsidR="007070E9" w:rsidRPr="007070E9" w:rsidRDefault="007070E9" w:rsidP="007070E9">
      <w:pPr>
        <w:pStyle w:val="BodyText"/>
      </w:pPr>
      <w:r w:rsidRPr="007070E9">
        <w:t>Short-Term Reliability Process Needs that arise in the Near Term (within three years) will be addressed using the Short-Term Reliability Process (STRP).  Short-Term Reliability Process Needs that are not Near-Term needs on the BPTF will only be addressed using the STRP if an identified Reliability Need cannot timely be addressed through the ISO’s Reliability Planning Process.  If the Reliability Need is handled through the STRP, the NYISO will solicit market-based solutions of all types, a regulated transmission solution(s), and service offers from Generators, as appropriate.  The NYISO will select a solution(s) consistent with the STRP process which may include selecting Generators to remain in service under temporary Reliability Must Run (RMR) agreements until the transmission solution is complete.</w:t>
      </w:r>
    </w:p>
    <w:p w14:paraId="3052D928" w14:textId="287A1863" w:rsidR="005B5DFF" w:rsidRPr="008F4DF1" w:rsidRDefault="00003586" w:rsidP="008F4DF1">
      <w:pPr>
        <w:pStyle w:val="BodyText"/>
      </w:pPr>
      <w:r w:rsidRPr="008F4DF1">
        <w:t xml:space="preserve">One of the changes to the RPP, which was first implemented in the 2016 RNA, </w:t>
      </w:r>
      <w:r w:rsidR="003B0128" w:rsidRPr="008F4DF1">
        <w:t>is provid</w:t>
      </w:r>
      <w:r w:rsidR="00FB3FF6" w:rsidRPr="008F4DF1">
        <w:t>ing</w:t>
      </w:r>
      <w:r w:rsidR="003B0128" w:rsidRPr="008F4DF1">
        <w:t xml:space="preserve"> </w:t>
      </w:r>
      <w:r w:rsidR="00F96FA4">
        <w:t>initial</w:t>
      </w:r>
      <w:r w:rsidR="00F96FA4" w:rsidRPr="008F4DF1">
        <w:t xml:space="preserve"> </w:t>
      </w:r>
      <w:r w:rsidR="00BB1071" w:rsidRPr="008F4DF1">
        <w:t xml:space="preserve">(“1st pass”) </w:t>
      </w:r>
      <w:r w:rsidR="003B0128" w:rsidRPr="008F4DF1">
        <w:t>RNA results to stakeholders</w:t>
      </w:r>
      <w:r w:rsidR="005B5DFF" w:rsidRPr="008F4DF1">
        <w:t xml:space="preserve">, </w:t>
      </w:r>
      <w:r w:rsidR="00827A1B" w:rsidRPr="008F4DF1">
        <w:t>usually</w:t>
      </w:r>
      <w:r w:rsidR="003B0128" w:rsidRPr="008F4DF1">
        <w:t xml:space="preserve"> in June of the first year of the biennial planning process. The </w:t>
      </w:r>
      <w:r w:rsidR="0064468B" w:rsidRPr="008F4DF1">
        <w:t>s</w:t>
      </w:r>
      <w:r w:rsidR="003B0128" w:rsidRPr="008F4DF1">
        <w:t xml:space="preserve">takeholders can provide project updates focused on </w:t>
      </w:r>
      <w:r w:rsidR="00827A1B" w:rsidRPr="008F4DF1">
        <w:t>reducing</w:t>
      </w:r>
      <w:r w:rsidR="003B0128" w:rsidRPr="008F4DF1">
        <w:t xml:space="preserve"> </w:t>
      </w:r>
      <w:r w:rsidR="005B5DFF" w:rsidRPr="008F4DF1">
        <w:t xml:space="preserve">or eliminating </w:t>
      </w:r>
      <w:r w:rsidR="003B0128" w:rsidRPr="008F4DF1">
        <w:t xml:space="preserve">the </w:t>
      </w:r>
      <w:r w:rsidR="00F96FA4">
        <w:t>initial</w:t>
      </w:r>
      <w:r w:rsidR="00F96FA4" w:rsidRPr="008F4DF1">
        <w:t xml:space="preserve"> </w:t>
      </w:r>
      <w:r w:rsidR="003B0128" w:rsidRPr="008F4DF1">
        <w:t>Reliabilit</w:t>
      </w:r>
      <w:r w:rsidR="00827A1B" w:rsidRPr="008F4DF1">
        <w:t xml:space="preserve">y Needs, if any are identified, </w:t>
      </w:r>
      <w:r w:rsidR="005B5DFF" w:rsidRPr="008F4DF1">
        <w:t>such as:</w:t>
      </w:r>
    </w:p>
    <w:p w14:paraId="75619E88" w14:textId="77777777" w:rsidR="005B5DFF" w:rsidRPr="004E4DFB" w:rsidRDefault="005B5DFF" w:rsidP="00A8579E">
      <w:pPr>
        <w:pStyle w:val="BodyText"/>
        <w:numPr>
          <w:ilvl w:val="0"/>
          <w:numId w:val="38"/>
        </w:numPr>
        <w:spacing w:line="276" w:lineRule="auto"/>
      </w:pPr>
      <w:r>
        <w:t xml:space="preserve">Updated </w:t>
      </w:r>
      <w:r w:rsidRPr="004E4DFB">
        <w:t xml:space="preserve">LTPs </w:t>
      </w:r>
    </w:p>
    <w:p w14:paraId="3D0BC0CA" w14:textId="77777777" w:rsidR="005B5DFF" w:rsidRPr="004E4DFB" w:rsidRDefault="005B5DFF" w:rsidP="00A8579E">
      <w:pPr>
        <w:pStyle w:val="BodyText"/>
        <w:numPr>
          <w:ilvl w:val="0"/>
          <w:numId w:val="38"/>
        </w:numPr>
        <w:spacing w:line="276" w:lineRule="auto"/>
      </w:pPr>
      <w:r w:rsidRPr="004E4DFB">
        <w:t>Changes in BPTFs</w:t>
      </w:r>
    </w:p>
    <w:p w14:paraId="06EFE91E" w14:textId="26692E9E" w:rsidR="005B5DFF" w:rsidRPr="004E4DFB" w:rsidRDefault="00827A1B" w:rsidP="00A8579E">
      <w:pPr>
        <w:pStyle w:val="BodyText"/>
        <w:numPr>
          <w:ilvl w:val="0"/>
          <w:numId w:val="38"/>
        </w:numPr>
        <w:spacing w:line="276" w:lineRule="auto"/>
      </w:pPr>
      <w:r>
        <w:t>C</w:t>
      </w:r>
      <w:r w:rsidR="005B5DFF" w:rsidRPr="004E4DFB">
        <w:t>hange</w:t>
      </w:r>
      <w:r w:rsidR="001A0F80">
        <w:t>s</w:t>
      </w:r>
      <w:r w:rsidR="005B5DFF" w:rsidRPr="004E4DFB">
        <w:t xml:space="preserve"> in </w:t>
      </w:r>
      <w:r w:rsidR="001A0F80">
        <w:t xml:space="preserve">available </w:t>
      </w:r>
      <w:r w:rsidR="005B5DFF" w:rsidRPr="004E4DFB">
        <w:t>resources such as generating unit status</w:t>
      </w:r>
      <w:r w:rsidR="00BB1071">
        <w:t xml:space="preserve"> </w:t>
      </w:r>
      <w:r w:rsidR="005B5DFF">
        <w:t>or</w:t>
      </w:r>
      <w:r w:rsidR="005B5DFF" w:rsidRPr="004E4DFB">
        <w:t xml:space="preserve"> authority to operate in current equipment configuration past a date certain</w:t>
      </w:r>
      <w:r w:rsidR="005B5DFF">
        <w:t xml:space="preserve"> </w:t>
      </w:r>
      <w:r w:rsidR="005B5DFF" w:rsidRPr="004E4DFB">
        <w:rPr>
          <w:color w:val="000000"/>
        </w:rPr>
        <w:t>(</w:t>
      </w:r>
      <w:r w:rsidR="005B5DFF" w:rsidRPr="004E4DFB">
        <w:rPr>
          <w:i/>
          <w:color w:val="000000"/>
        </w:rPr>
        <w:t>e.g.</w:t>
      </w:r>
      <w:r w:rsidR="005B5DFF" w:rsidRPr="004E4DFB">
        <w:rPr>
          <w:color w:val="000000"/>
        </w:rPr>
        <w:t>, due to a new or amended environmental law</w:t>
      </w:r>
      <w:r w:rsidR="001A0F80">
        <w:rPr>
          <w:color w:val="000000"/>
        </w:rPr>
        <w:t>s</w:t>
      </w:r>
      <w:r w:rsidR="005B5DFF" w:rsidRPr="004E4DFB">
        <w:rPr>
          <w:color w:val="000000"/>
        </w:rPr>
        <w:t xml:space="preserve"> or regulation</w:t>
      </w:r>
      <w:r w:rsidR="001A0F80">
        <w:rPr>
          <w:color w:val="000000"/>
        </w:rPr>
        <w:t>s</w:t>
      </w:r>
      <w:r w:rsidR="005B5DFF" w:rsidRPr="004E4DFB">
        <w:rPr>
          <w:color w:val="000000"/>
        </w:rPr>
        <w:t>)</w:t>
      </w:r>
      <w:r w:rsidRPr="00827A1B">
        <w:rPr>
          <w:rStyle w:val="FootnoteReference"/>
          <w:rFonts w:asciiTheme="majorHAnsi" w:eastAsia="MS Mincho" w:hAnsiTheme="majorHAnsi"/>
        </w:rPr>
        <w:t xml:space="preserve"> </w:t>
      </w:r>
      <w:r>
        <w:rPr>
          <w:rStyle w:val="FootnoteReference"/>
          <w:rFonts w:asciiTheme="majorHAnsi" w:eastAsia="MS Mincho" w:hAnsiTheme="majorHAnsi"/>
        </w:rPr>
        <w:footnoteReference w:id="2"/>
      </w:r>
    </w:p>
    <w:p w14:paraId="571802D3" w14:textId="5573AB91" w:rsidR="00827A1B" w:rsidRPr="00827A1B" w:rsidRDefault="005B5DFF" w:rsidP="00A8579E">
      <w:pPr>
        <w:pStyle w:val="BodyText"/>
        <w:numPr>
          <w:ilvl w:val="0"/>
          <w:numId w:val="38"/>
        </w:numPr>
        <w:spacing w:line="276" w:lineRule="auto"/>
      </w:pPr>
      <w:r w:rsidRPr="004E4DFB">
        <w:t>Change</w:t>
      </w:r>
      <w:r w:rsidR="001A0F80">
        <w:t>s</w:t>
      </w:r>
      <w:r w:rsidRPr="004E4DFB">
        <w:t xml:space="preserve"> in load forecast</w:t>
      </w:r>
      <w:r>
        <w:t xml:space="preserve"> or demand response resources</w:t>
      </w:r>
      <w:r w:rsidR="001A0F80">
        <w:t>.</w:t>
      </w:r>
      <w:r>
        <w:t xml:space="preserve"> </w:t>
      </w:r>
    </w:p>
    <w:p w14:paraId="47283A91" w14:textId="2970D6CF" w:rsidR="0084324A" w:rsidRPr="00827A1B" w:rsidRDefault="0084324A" w:rsidP="00464A14">
      <w:pPr>
        <w:pStyle w:val="BodyText"/>
      </w:pPr>
      <w:r w:rsidRPr="00827A1B">
        <w:lastRenderedPageBreak/>
        <w:t>If the NYISO determines that an update d</w:t>
      </w:r>
      <w:r w:rsidR="000C5006" w:rsidRPr="00827A1B">
        <w:t>oes</w:t>
      </w:r>
      <w:r w:rsidRPr="00827A1B">
        <w:t xml:space="preserve"> not meet the inclusion rules and/or d</w:t>
      </w:r>
      <w:r w:rsidR="000C5006" w:rsidRPr="00827A1B">
        <w:t>oes</w:t>
      </w:r>
      <w:r w:rsidRPr="00827A1B">
        <w:t xml:space="preserve"> not impact the preliminary Reliability Need, then the NYISO </w:t>
      </w:r>
      <w:r w:rsidR="001A0F80">
        <w:t>will</w:t>
      </w:r>
      <w:r w:rsidR="001A0F80" w:rsidRPr="00827A1B">
        <w:t xml:space="preserve"> </w:t>
      </w:r>
      <w:r w:rsidRPr="00827A1B">
        <w:t>not incorporate the chang</w:t>
      </w:r>
      <w:r w:rsidR="0081676F" w:rsidRPr="00827A1B">
        <w:t>e into the final RNA Base Case.</w:t>
      </w:r>
    </w:p>
    <w:p w14:paraId="272E1715" w14:textId="653507F6" w:rsidR="00827A1B" w:rsidRDefault="00827A1B" w:rsidP="00464A14">
      <w:pPr>
        <w:pStyle w:val="BodyText"/>
        <w:rPr>
          <w:rFonts w:asciiTheme="majorHAnsi" w:hAnsiTheme="majorHAnsi"/>
        </w:rPr>
      </w:pPr>
      <w:r>
        <w:rPr>
          <w:rFonts w:asciiTheme="majorHAnsi" w:hAnsiTheme="majorHAnsi"/>
        </w:rPr>
        <w:t>After the NYISO Board of Directors approves the RNA Report</w:t>
      </w:r>
      <w:r w:rsidR="001A0F80">
        <w:rPr>
          <w:rFonts w:asciiTheme="majorHAnsi" w:hAnsiTheme="majorHAnsi"/>
        </w:rPr>
        <w:t>,</w:t>
      </w:r>
      <w:r w:rsidRPr="00013EDF">
        <w:rPr>
          <w:rFonts w:asciiTheme="majorHAnsi" w:hAnsiTheme="majorHAnsi"/>
        </w:rPr>
        <w:t xml:space="preserve"> </w:t>
      </w:r>
      <w:r>
        <w:rPr>
          <w:rFonts w:asciiTheme="majorHAnsi" w:hAnsiTheme="majorHAnsi"/>
        </w:rPr>
        <w:t>and before NYISO issues a solicitation for regulated backstop, market-based, and alternative regulated solutions, the NYISO will request updated LTPs, NYPA transmission plans, and other</w:t>
      </w:r>
      <w:r>
        <w:rPr>
          <w:rStyle w:val="FootnoteReference"/>
          <w:rFonts w:asciiTheme="majorHAnsi" w:eastAsia="MS Mincho" w:hAnsiTheme="majorHAnsi"/>
        </w:rPr>
        <w:footnoteReference w:id="3"/>
      </w:r>
      <w:r>
        <w:rPr>
          <w:rFonts w:asciiTheme="majorHAnsi" w:hAnsiTheme="majorHAnsi"/>
        </w:rPr>
        <w:t xml:space="preserve"> status updates relevant to reducing, or eliminating, the Reliability Needs, as timely received from </w:t>
      </w:r>
      <w:r w:rsidRPr="00407735">
        <w:rPr>
          <w:rFonts w:asciiTheme="majorHAnsi" w:hAnsiTheme="majorHAnsi"/>
        </w:rPr>
        <w:t>Market Participants, Developers,</w:t>
      </w:r>
      <w:r>
        <w:t xml:space="preserve"> TOs, and </w:t>
      </w:r>
      <w:r w:rsidRPr="00D10FED">
        <w:rPr>
          <w:rFonts w:asciiTheme="majorHAnsi" w:hAnsiTheme="majorHAnsi"/>
        </w:rPr>
        <w:t>other parties</w:t>
      </w:r>
      <w:r>
        <w:rPr>
          <w:rFonts w:asciiTheme="majorHAnsi" w:hAnsiTheme="majorHAnsi"/>
        </w:rPr>
        <w:t xml:space="preserve">.  </w:t>
      </w:r>
      <w:r w:rsidR="001A0F80">
        <w:rPr>
          <w:rFonts w:asciiTheme="majorHAnsi" w:hAnsiTheme="majorHAnsi"/>
        </w:rPr>
        <w:t xml:space="preserve">Changes that would tend to increase the scope of Reliability Needs after the RNA lockdown date will be handled in the Short-Term Reliability Process or a future RNA, as appropriate.  </w:t>
      </w:r>
      <w:r>
        <w:rPr>
          <w:rFonts w:asciiTheme="majorHAnsi" w:hAnsiTheme="majorHAnsi"/>
        </w:rPr>
        <w:t xml:space="preserve">The NYISO will then request solutions for the remaining Reliability Needs, if any.  </w:t>
      </w:r>
    </w:p>
    <w:p w14:paraId="570443DD" w14:textId="7BD3EAEA" w:rsidR="004A35F7" w:rsidRPr="00E26349" w:rsidRDefault="00402ABC" w:rsidP="00E26349">
      <w:pPr>
        <w:pStyle w:val="BodyText"/>
      </w:pPr>
      <w:r w:rsidRPr="00E26349">
        <w:t>T</w:t>
      </w:r>
      <w:r w:rsidR="007C35FA" w:rsidRPr="00E26349">
        <w:t xml:space="preserve">he 2018 version of the </w:t>
      </w:r>
      <w:r w:rsidR="00701245" w:rsidRPr="00E26349">
        <w:t xml:space="preserve">RPP </w:t>
      </w:r>
      <w:r w:rsidR="007C35FA" w:rsidRPr="00E26349">
        <w:t xml:space="preserve">Manual reflects a change in the </w:t>
      </w:r>
      <w:r w:rsidR="000F775A" w:rsidRPr="00E26349">
        <w:t>“</w:t>
      </w:r>
      <w:r w:rsidR="007C35FA" w:rsidRPr="00E26349">
        <w:t>RNA Base Case Development Process</w:t>
      </w:r>
      <w:r w:rsidR="000F775A" w:rsidRPr="00E26349">
        <w:t>” section</w:t>
      </w:r>
      <w:r w:rsidR="007C35FA" w:rsidRPr="00E26349">
        <w:t xml:space="preserve">, mainly related </w:t>
      </w:r>
      <w:r w:rsidR="000C5006" w:rsidRPr="00E26349">
        <w:t>to</w:t>
      </w:r>
      <w:r w:rsidR="007C35FA" w:rsidRPr="00E26349">
        <w:t xml:space="preserve"> the </w:t>
      </w:r>
      <w:r w:rsidR="000C5006" w:rsidRPr="00E26349">
        <w:t xml:space="preserve">Base Case </w:t>
      </w:r>
      <w:r w:rsidR="007C35FA" w:rsidRPr="00E26349">
        <w:t>inclusion rules applicable to proposed projects, and also to the treatment of generation deactivations in the RNA Base Case</w:t>
      </w:r>
      <w:r w:rsidR="001A0F80">
        <w:t xml:space="preserve">.  Specifically, </w:t>
      </w:r>
      <w:r w:rsidR="00792BDD" w:rsidRPr="00E26349">
        <w:t xml:space="preserve">additional considerations were added in 2019 to reflect situations </w:t>
      </w:r>
      <w:r w:rsidR="00247BF9">
        <w:t>in which</w:t>
      </w:r>
      <w:r w:rsidR="00792BDD" w:rsidRPr="00E26349">
        <w:t xml:space="preserve"> a Generator Owner lacks authority to operate in its current equipment configuration past a date certain (</w:t>
      </w:r>
      <w:r w:rsidR="00792BDD" w:rsidRPr="00F07493">
        <w:rPr>
          <w:i/>
        </w:rPr>
        <w:t>e.g.,</w:t>
      </w:r>
      <w:r w:rsidR="00792BDD" w:rsidRPr="00E26349">
        <w:t xml:space="preserve"> due to a new or amended environmental law or regulation)</w:t>
      </w:r>
      <w:r w:rsidR="007C35FA" w:rsidRPr="00E26349">
        <w:t>.</w:t>
      </w:r>
      <w:r w:rsidR="004A35F7" w:rsidRPr="00E26349">
        <w:t xml:space="preserve"> </w:t>
      </w:r>
    </w:p>
    <w:p w14:paraId="1012D01A" w14:textId="17A11D2E" w:rsidR="00157012" w:rsidRPr="00712D7C" w:rsidRDefault="00971EC0" w:rsidP="00712D7C">
      <w:pPr>
        <w:pStyle w:val="BodyText"/>
      </w:pPr>
      <w:r w:rsidRPr="00712D7C">
        <w:t>Further details of the RPP</w:t>
      </w:r>
      <w:r w:rsidR="00700F7F" w:rsidRPr="00712D7C">
        <w:t xml:space="preserve"> and STRP</w:t>
      </w:r>
      <w:r w:rsidRPr="00712D7C">
        <w:t xml:space="preserve"> are contained in </w:t>
      </w:r>
      <w:r w:rsidRPr="00712D7C">
        <w:rPr>
          <w:b/>
        </w:rPr>
        <w:t>Appendix B</w:t>
      </w:r>
      <w:r w:rsidRPr="00712D7C">
        <w:t xml:space="preserve"> of this report, and also in the </w:t>
      </w:r>
      <w:hyperlink r:id="rId19" w:history="1">
        <w:r w:rsidRPr="00002A46">
          <w:rPr>
            <w:rStyle w:val="Hyperlink"/>
          </w:rPr>
          <w:t>RPP Manual</w:t>
        </w:r>
      </w:hyperlink>
      <w:r w:rsidR="00700F7F" w:rsidRPr="00712D7C">
        <w:t xml:space="preserve"> </w:t>
      </w:r>
      <w:r w:rsidRPr="00712D7C">
        <w:t xml:space="preserve">located on the NYISO website. </w:t>
      </w:r>
      <w:r w:rsidR="0084324A" w:rsidRPr="00712D7C">
        <w:t>An overview of the RPP, including the updated RNA process, is il</w:t>
      </w:r>
      <w:r w:rsidR="00CC4248" w:rsidRPr="00712D7C">
        <w:t>lustrated in</w:t>
      </w:r>
      <w:r w:rsidR="00712D7C">
        <w:t xml:space="preserve"> </w:t>
      </w:r>
      <w:r w:rsidR="00712D7C">
        <w:fldChar w:fldCharType="begin"/>
      </w:r>
      <w:r w:rsidR="00712D7C">
        <w:instrText xml:space="preserve"> REF _Ref46154667 \h </w:instrText>
      </w:r>
      <w:r w:rsidR="00712D7C">
        <w:fldChar w:fldCharType="separate"/>
      </w:r>
      <w:r w:rsidR="00712D7C" w:rsidRPr="00742ACF">
        <w:t xml:space="preserve">Figure </w:t>
      </w:r>
      <w:r w:rsidR="00712D7C">
        <w:rPr>
          <w:noProof/>
        </w:rPr>
        <w:t>4</w:t>
      </w:r>
      <w:r w:rsidR="00712D7C">
        <w:fldChar w:fldCharType="end"/>
      </w:r>
      <w:r w:rsidR="00712D7C">
        <w:t xml:space="preserve"> </w:t>
      </w:r>
      <w:r w:rsidR="00712D7C">
        <w:fldChar w:fldCharType="begin"/>
      </w:r>
      <w:r w:rsidR="00712D7C">
        <w:instrText xml:space="preserve"> REF _Ref47020292 \p \h </w:instrText>
      </w:r>
      <w:r w:rsidR="00712D7C">
        <w:fldChar w:fldCharType="separate"/>
      </w:r>
      <w:r w:rsidR="00712D7C">
        <w:t>above</w:t>
      </w:r>
      <w:r w:rsidR="00712D7C">
        <w:fldChar w:fldCharType="end"/>
      </w:r>
      <w:r w:rsidR="00E677A4" w:rsidRPr="00712D7C">
        <w:t xml:space="preserve">, and </w:t>
      </w:r>
      <w:r w:rsidR="00402ABC" w:rsidRPr="00712D7C">
        <w:t xml:space="preserve">is </w:t>
      </w:r>
      <w:r w:rsidR="00E677A4" w:rsidRPr="00712D7C">
        <w:t xml:space="preserve">also </w:t>
      </w:r>
      <w:r w:rsidR="00402ABC" w:rsidRPr="00712D7C">
        <w:t xml:space="preserve">described </w:t>
      </w:r>
      <w:r w:rsidR="00E677A4" w:rsidRPr="00712D7C">
        <w:t xml:space="preserve">in the </w:t>
      </w:r>
      <w:r w:rsidR="00DA404E" w:rsidRPr="00712D7C">
        <w:t>RPP</w:t>
      </w:r>
      <w:r w:rsidR="00E677A4" w:rsidRPr="00712D7C">
        <w:t xml:space="preserve"> Manual.</w:t>
      </w:r>
    </w:p>
    <w:p w14:paraId="3CC62088" w14:textId="77777777" w:rsidR="001F0DF5" w:rsidRPr="00494696" w:rsidRDefault="00157012" w:rsidP="00157012">
      <w:pPr>
        <w:rPr>
          <w:rFonts w:ascii="Cambria" w:eastAsia="Arial Narrow" w:hAnsi="Cambria"/>
          <w:bCs/>
          <w:color w:val="FF0000"/>
          <w:sz w:val="22"/>
          <w:lang w:bidi="ar-SA"/>
        </w:rPr>
      </w:pPr>
      <w:r w:rsidRPr="00494696">
        <w:rPr>
          <w:color w:val="FF0000"/>
        </w:rPr>
        <w:br w:type="page"/>
      </w:r>
    </w:p>
    <w:p w14:paraId="2F255180" w14:textId="5D37E280" w:rsidR="0084324A" w:rsidRDefault="0084324A" w:rsidP="00A8579E">
      <w:pPr>
        <w:pStyle w:val="Heading1"/>
        <w:numPr>
          <w:ilvl w:val="0"/>
          <w:numId w:val="36"/>
        </w:numPr>
      </w:pPr>
      <w:bookmarkStart w:id="10" w:name="_Toc48252273"/>
      <w:r w:rsidRPr="00EA5577">
        <w:lastRenderedPageBreak/>
        <w:t>Summary</w:t>
      </w:r>
      <w:r>
        <w:t xml:space="preserve"> of </w:t>
      </w:r>
      <w:r w:rsidRPr="00157012">
        <w:t>Prior</w:t>
      </w:r>
      <w:r>
        <w:t xml:space="preserve"> </w:t>
      </w:r>
      <w:r w:rsidR="00866629">
        <w:t>Comprehensive Reliability Plans</w:t>
      </w:r>
      <w:bookmarkEnd w:id="10"/>
      <w:r w:rsidR="00866629">
        <w:t xml:space="preserve"> </w:t>
      </w:r>
    </w:p>
    <w:p w14:paraId="45B4720B" w14:textId="1E0C2507" w:rsidR="0084324A" w:rsidRPr="00AB3C92" w:rsidRDefault="0084324A" w:rsidP="003706A9">
      <w:pPr>
        <w:pStyle w:val="BodyText"/>
      </w:pPr>
      <w:r w:rsidRPr="00AB3C92">
        <w:t xml:space="preserve">This </w:t>
      </w:r>
      <w:r w:rsidR="003B4FEA">
        <w:t xml:space="preserve">RNA </w:t>
      </w:r>
      <w:r w:rsidRPr="00AB3C92">
        <w:t>is the</w:t>
      </w:r>
      <w:r w:rsidR="003B4FEA">
        <w:t xml:space="preserve"> tenth</w:t>
      </w:r>
      <w:r w:rsidR="00AB3C92" w:rsidRPr="00AB3C92">
        <w:t xml:space="preserve"> </w:t>
      </w:r>
      <w:r w:rsidRPr="00AB3C92">
        <w:t xml:space="preserve">RNA </w:t>
      </w:r>
      <w:r w:rsidR="003B4FEA">
        <w:t xml:space="preserve">the NYISO is conducting </w:t>
      </w:r>
      <w:r w:rsidRPr="00AB3C92">
        <w:t xml:space="preserve">since the </w:t>
      </w:r>
      <w:r w:rsidR="003B4FEA">
        <w:t>reliability planning process</w:t>
      </w:r>
      <w:r w:rsidRPr="00AB3C92">
        <w:t xml:space="preserve"> was </w:t>
      </w:r>
      <w:r w:rsidR="003B4FEA">
        <w:t xml:space="preserve">initially </w:t>
      </w:r>
      <w:r w:rsidRPr="00AB3C92">
        <w:t xml:space="preserve">approved by FERC in December </w:t>
      </w:r>
      <w:r w:rsidR="00D13342" w:rsidRPr="00AB3C92">
        <w:t xml:space="preserve">2004. </w:t>
      </w:r>
      <w:r w:rsidRPr="00AB3C92">
        <w:t>The first three RNA reports identified Reliability Needs and the first three CRPs (2005-2007) evaluated the market-based and regulated backstop solutions submitted in respo</w:t>
      </w:r>
      <w:r w:rsidR="00CC4248" w:rsidRPr="00AB3C92">
        <w:t xml:space="preserve">nse to those identified needs. </w:t>
      </w:r>
      <w:r w:rsidRPr="00AB3C92">
        <w:t>The 2009 RNA and the 2010 RNA indicated that the system did not exhibit any violations of applicable Reliability Criteria</w:t>
      </w:r>
      <w:r w:rsidR="003B4FEA">
        <w:t>.  Accordingly,</w:t>
      </w:r>
      <w:r w:rsidRPr="00AB3C92">
        <w:t xml:space="preserve"> the</w:t>
      </w:r>
      <w:r w:rsidR="003B4FEA">
        <w:t xml:space="preserve"> NYISO did not</w:t>
      </w:r>
      <w:r w:rsidRPr="00AB3C92">
        <w:t xml:space="preserve"> solicit s</w:t>
      </w:r>
      <w:r w:rsidR="00CC4248" w:rsidRPr="00AB3C92">
        <w:t>olutions under the</w:t>
      </w:r>
      <w:r w:rsidR="003B4FEA">
        <w:t xml:space="preserve"> Comprehensive Reliability Plan</w:t>
      </w:r>
      <w:r w:rsidR="00CC4248" w:rsidRPr="00AB3C92">
        <w:t xml:space="preserve"> </w:t>
      </w:r>
      <w:r w:rsidR="003B4FEA">
        <w:t>(</w:t>
      </w:r>
      <w:r w:rsidR="00CC4248" w:rsidRPr="00AB3C92">
        <w:t>CRP</w:t>
      </w:r>
      <w:r w:rsidR="003B4FEA">
        <w:t>)</w:t>
      </w:r>
      <w:r w:rsidR="00CC4248" w:rsidRPr="00AB3C92">
        <w:t xml:space="preserve"> process. </w:t>
      </w:r>
      <w:r w:rsidRPr="00AB3C92">
        <w:t>The 2012 RNA identified Reliability Needs</w:t>
      </w:r>
      <w:r w:rsidR="003B4FEA">
        <w:t>,</w:t>
      </w:r>
      <w:r w:rsidRPr="00AB3C92">
        <w:t xml:space="preserve"> and the 2012 CRP evaluated market-based and regulated solutio</w:t>
      </w:r>
      <w:r w:rsidR="00EA5577" w:rsidRPr="00AB3C92">
        <w:t>ns in response to those needs.</w:t>
      </w:r>
    </w:p>
    <w:p w14:paraId="3687E1F8" w14:textId="77777777" w:rsidR="0084324A" w:rsidRPr="00AB3C92" w:rsidRDefault="0084324A" w:rsidP="003706A9">
      <w:pPr>
        <w:pStyle w:val="BodyText"/>
      </w:pPr>
      <w:r w:rsidRPr="00AB3C92">
        <w:t>The 2014 RNA identified both resource adequacy and transmission security related Reliability Needs, which were subsequently eliminated by the system updates receiv</w:t>
      </w:r>
      <w:r w:rsidR="00EA5577" w:rsidRPr="00AB3C92">
        <w:t>ed during the 2014 CRP process.</w:t>
      </w:r>
    </w:p>
    <w:p w14:paraId="15F4B5FF" w14:textId="070D1953" w:rsidR="000A294A" w:rsidRDefault="000A294A" w:rsidP="003706A9">
      <w:pPr>
        <w:pStyle w:val="BodyText"/>
      </w:pPr>
      <w:r w:rsidRPr="00AB3C92">
        <w:t>The 2016 RNA identified two transmission security Reliabili</w:t>
      </w:r>
      <w:r w:rsidR="00AE1EEE" w:rsidRPr="00AB3C92">
        <w:t xml:space="preserve">ty Needs beginning in 2017: </w:t>
      </w:r>
      <w:r w:rsidRPr="00AB3C92">
        <w:t>the New York State Electric &amp; Gas Corp. (NYSEG) Oakdale 345/115 kV transformer, and the Long Island Power Authority (LIPA) East Garden City</w:t>
      </w:r>
      <w:r w:rsidR="00AE1EEE" w:rsidRPr="00AB3C92">
        <w:t xml:space="preserve"> to Valley Stream 138 kV line. </w:t>
      </w:r>
      <w:r w:rsidRPr="00AB3C92">
        <w:t xml:space="preserve">Subsequent to the October 2016 approval of the RNA, </w:t>
      </w:r>
      <w:r w:rsidR="003A2E90" w:rsidRPr="00AB3C92">
        <w:t>and</w:t>
      </w:r>
      <w:r w:rsidRPr="00AB3C92">
        <w:t xml:space="preserve"> prior to the start of the CRP</w:t>
      </w:r>
      <w:r w:rsidR="003A2E90" w:rsidRPr="00AB3C92">
        <w:t xml:space="preserve"> </w:t>
      </w:r>
      <w:r w:rsidR="00910504" w:rsidRPr="00AB3C92">
        <w:t xml:space="preserve">(as described in the </w:t>
      </w:r>
      <w:r w:rsidR="00F96FA4">
        <w:t xml:space="preserve">RPP </w:t>
      </w:r>
      <w:r w:rsidR="00910504" w:rsidRPr="00AB3C92">
        <w:t>Manual)</w:t>
      </w:r>
      <w:r w:rsidRPr="00AB3C92">
        <w:t xml:space="preserve">, NYSEG and LIPA provided updates to their </w:t>
      </w:r>
      <w:r w:rsidR="00B7491F" w:rsidRPr="00AB3C92">
        <w:t>LTPs</w:t>
      </w:r>
      <w:r w:rsidR="00AE1EEE" w:rsidRPr="00AB3C92">
        <w:t xml:space="preserve">. </w:t>
      </w:r>
      <w:r w:rsidRPr="00AB3C92">
        <w:t>W</w:t>
      </w:r>
      <w:r w:rsidR="00843FDE" w:rsidRPr="00AB3C92">
        <w:t xml:space="preserve">ith these updates </w:t>
      </w:r>
      <w:r w:rsidRPr="00AB3C92" w:rsidDel="003C3846">
        <w:t xml:space="preserve">the two </w:t>
      </w:r>
      <w:r w:rsidR="00D054C1" w:rsidRPr="00AB3C92">
        <w:t xml:space="preserve">identified </w:t>
      </w:r>
      <w:r w:rsidR="00D054C1" w:rsidRPr="00AB3C92" w:rsidDel="003C3846">
        <w:t>Reliability Nee</w:t>
      </w:r>
      <w:r w:rsidR="00D054C1" w:rsidRPr="00AB3C92">
        <w:t xml:space="preserve">ds were resolved, and there was </w:t>
      </w:r>
      <w:r w:rsidR="00D054C1" w:rsidRPr="00AB3C92" w:rsidDel="003C3846">
        <w:t>no solicit</w:t>
      </w:r>
      <w:r w:rsidR="00D054C1" w:rsidRPr="00AB3C92">
        <w:t>ation of</w:t>
      </w:r>
      <w:r w:rsidR="00D054C1" w:rsidRPr="00AB3C92" w:rsidDel="003C3846">
        <w:t xml:space="preserve"> solutions</w:t>
      </w:r>
      <w:r w:rsidR="00D054C1" w:rsidRPr="00AB3C92">
        <w:t xml:space="preserve"> under the 2016 RPP cycle.</w:t>
      </w:r>
    </w:p>
    <w:p w14:paraId="75DF9339" w14:textId="3292F343" w:rsidR="00467292" w:rsidRDefault="00AB3C92" w:rsidP="00467292">
      <w:pPr>
        <w:pStyle w:val="BodyText"/>
      </w:pPr>
      <w:r>
        <w:t>The 2018 RNA</w:t>
      </w:r>
      <w:r w:rsidR="00467292">
        <w:t xml:space="preserve"> </w:t>
      </w:r>
      <w:r w:rsidR="00467292" w:rsidRPr="00571CB8">
        <w:t>conclude</w:t>
      </w:r>
      <w:r w:rsidR="00467292">
        <w:t>d</w:t>
      </w:r>
      <w:r w:rsidR="00467292" w:rsidRPr="00571CB8">
        <w:t xml:space="preserve"> that the New York State Bulk Power Transmission Facilities will meet all applicable Reliability Criteria over the 2019 through 2028 study period.  </w:t>
      </w:r>
    </w:p>
    <w:p w14:paraId="67F6B560" w14:textId="1E2805E9" w:rsidR="0084324A" w:rsidRPr="00AB3C92" w:rsidRDefault="0084324A" w:rsidP="003706A9">
      <w:pPr>
        <w:pStyle w:val="BodyText"/>
      </w:pPr>
      <w:r w:rsidRPr="00AB3C92">
        <w:t>The NYISO has not previously triggered any regulated backstop solutions to meet previously</w:t>
      </w:r>
      <w:r w:rsidR="003B4FEA">
        <w:t>-</w:t>
      </w:r>
      <w:r w:rsidRPr="00AB3C92">
        <w:t xml:space="preserve">identified Reliability Needs due to changes in system conditions and </w:t>
      </w:r>
      <w:r w:rsidR="003B4FEA">
        <w:t xml:space="preserve">the </w:t>
      </w:r>
      <w:r w:rsidRPr="00AB3C92">
        <w:t>sufficiency o</w:t>
      </w:r>
      <w:r w:rsidR="00EA5577" w:rsidRPr="00AB3C92">
        <w:t xml:space="preserve">f </w:t>
      </w:r>
      <w:r w:rsidR="00292C5E">
        <w:t>market solutions</w:t>
      </w:r>
      <w:r w:rsidR="00292C5E" w:rsidRPr="00AB3C92">
        <w:t xml:space="preserve"> </w:t>
      </w:r>
      <w:r w:rsidR="00EA5577" w:rsidRPr="00AB3C92">
        <w:t>coming into service.</w:t>
      </w:r>
    </w:p>
    <w:p w14:paraId="7E99177C" w14:textId="7B457990" w:rsidR="0084324A" w:rsidRPr="00AB3C92" w:rsidRDefault="00F32BC7" w:rsidP="003706A9">
      <w:pPr>
        <w:pStyle w:val="BodyText"/>
      </w:pPr>
      <w:r w:rsidRPr="00AB3C92">
        <w:fldChar w:fldCharType="begin"/>
      </w:r>
      <w:r w:rsidR="00EA5577" w:rsidRPr="00AB3C92">
        <w:instrText xml:space="preserve"> REF _Ref506977065 \h </w:instrText>
      </w:r>
      <w:r w:rsidR="00494696" w:rsidRPr="00AB3C92">
        <w:instrText xml:space="preserve"> \* MERGEFORMAT </w:instrText>
      </w:r>
      <w:r w:rsidRPr="00AB3C92">
        <w:fldChar w:fldCharType="separate"/>
      </w:r>
      <w:r w:rsidR="00712D7C" w:rsidRPr="00EB4EBB">
        <w:t>Figure 5</w:t>
      </w:r>
      <w:r w:rsidRPr="00AB3C92">
        <w:fldChar w:fldCharType="end"/>
      </w:r>
      <w:r w:rsidR="00EA5577" w:rsidRPr="00AB3C92">
        <w:t xml:space="preserve"> </w:t>
      </w:r>
      <w:r w:rsidR="00712D7C">
        <w:fldChar w:fldCharType="begin"/>
      </w:r>
      <w:r w:rsidR="00712D7C">
        <w:instrText xml:space="preserve"> REF _Ref47020333 \p \h </w:instrText>
      </w:r>
      <w:r w:rsidR="00712D7C">
        <w:fldChar w:fldCharType="separate"/>
      </w:r>
      <w:r w:rsidR="00712D7C">
        <w:t>below</w:t>
      </w:r>
      <w:r w:rsidR="00712D7C">
        <w:fldChar w:fldCharType="end"/>
      </w:r>
      <w:r w:rsidR="00712D7C">
        <w:t xml:space="preserve"> </w:t>
      </w:r>
      <w:r w:rsidR="0084324A" w:rsidRPr="00AB3C92">
        <w:t>presents the market solutions and TOs’ plans that were submitted in response to previous requests for solutions.</w:t>
      </w:r>
    </w:p>
    <w:p w14:paraId="5226FAAA" w14:textId="31F4C100" w:rsidR="00EA5577" w:rsidRPr="00EB4EBB" w:rsidRDefault="00EA5577" w:rsidP="00D2121F">
      <w:pPr>
        <w:pStyle w:val="Figure"/>
        <w:keepNext/>
        <w:keepLines/>
      </w:pPr>
      <w:bookmarkStart w:id="11" w:name="_Ref506977065"/>
      <w:bookmarkStart w:id="12" w:name="_Ref47020333"/>
      <w:bookmarkStart w:id="13" w:name="_Toc48251322"/>
      <w:r w:rsidRPr="00EB4EBB">
        <w:lastRenderedPageBreak/>
        <w:t xml:space="preserve">Figure </w:t>
      </w:r>
      <w:r w:rsidR="00D517E4">
        <w:fldChar w:fldCharType="begin"/>
      </w:r>
      <w:r w:rsidR="00D517E4">
        <w:instrText xml:space="preserve"> SEQ Figure \* ARABIC </w:instrText>
      </w:r>
      <w:r w:rsidR="00D517E4">
        <w:fldChar w:fldCharType="separate"/>
      </w:r>
      <w:r w:rsidR="00F94268">
        <w:rPr>
          <w:noProof/>
        </w:rPr>
        <w:t>5</w:t>
      </w:r>
      <w:r w:rsidR="00D517E4">
        <w:rPr>
          <w:noProof/>
        </w:rPr>
        <w:fldChar w:fldCharType="end"/>
      </w:r>
      <w:bookmarkEnd w:id="11"/>
      <w:r w:rsidRPr="00EB4EBB">
        <w:t xml:space="preserve">: Current Status of Tracked Market-Based Solutions </w:t>
      </w:r>
      <w:r w:rsidR="00957DC6" w:rsidRPr="00EB4EBB">
        <w:t xml:space="preserve">and </w:t>
      </w:r>
      <w:r w:rsidRPr="00EB4EBB">
        <w:t>TOs’ Plans</w:t>
      </w:r>
      <w:bookmarkEnd w:id="12"/>
      <w:bookmarkEnd w:id="13"/>
    </w:p>
    <w:p w14:paraId="3C6B2719" w14:textId="1C419EB1" w:rsidR="00FB60AF" w:rsidRDefault="00583BAF" w:rsidP="008F4438">
      <w:pPr>
        <w:pStyle w:val="BodyText"/>
        <w:jc w:val="center"/>
      </w:pPr>
      <w:r w:rsidRPr="00583BAF">
        <w:rPr>
          <w:noProof/>
        </w:rPr>
        <w:drawing>
          <wp:inline distT="0" distB="0" distL="0" distR="0" wp14:anchorId="7DBA9E62" wp14:editId="15DA3A4D">
            <wp:extent cx="6400730" cy="25603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3625" cy="2561478"/>
                    </a:xfrm>
                    <a:prstGeom prst="rect">
                      <a:avLst/>
                    </a:prstGeom>
                    <a:noFill/>
                    <a:ln>
                      <a:noFill/>
                    </a:ln>
                  </pic:spPr>
                </pic:pic>
              </a:graphicData>
            </a:graphic>
          </wp:inline>
        </w:drawing>
      </w:r>
    </w:p>
    <w:p w14:paraId="75C7ADAA" w14:textId="4E852A06" w:rsidR="00EA5577" w:rsidRDefault="00EA5577" w:rsidP="00523F38">
      <w:pPr>
        <w:rPr>
          <w:rFonts w:ascii="Cambria" w:eastAsia="Arial Narrow" w:hAnsi="Cambria"/>
          <w:bCs/>
          <w:sz w:val="22"/>
          <w:lang w:bidi="ar-SA"/>
        </w:rPr>
      </w:pPr>
      <w:r>
        <w:br w:type="page"/>
      </w:r>
    </w:p>
    <w:p w14:paraId="0EA15859" w14:textId="77777777" w:rsidR="006E7D43" w:rsidRPr="0057217A" w:rsidRDefault="006E7D43" w:rsidP="006E7D43">
      <w:pPr>
        <w:pStyle w:val="Heading1"/>
        <w:numPr>
          <w:ilvl w:val="0"/>
          <w:numId w:val="36"/>
        </w:numPr>
      </w:pPr>
      <w:bookmarkStart w:id="14" w:name="_Toc48252274"/>
      <w:bookmarkStart w:id="15" w:name="_Ref506897374"/>
      <w:r w:rsidRPr="0057217A">
        <w:lastRenderedPageBreak/>
        <w:t>Regulatory Policy Activities</w:t>
      </w:r>
      <w:bookmarkEnd w:id="14"/>
      <w:r w:rsidRPr="0057217A">
        <w:t xml:space="preserve"> </w:t>
      </w:r>
    </w:p>
    <w:p w14:paraId="5EC6F871" w14:textId="77777777" w:rsidR="006E7D43" w:rsidRDefault="006E7D43" w:rsidP="006E7D43">
      <w:pPr>
        <w:pStyle w:val="BodyText"/>
        <w:spacing w:after="200"/>
      </w:pPr>
      <w:r>
        <w:t xml:space="preserve">The Climate Leadership and Community Protection Act (CLCPA) is the public policy initiative shaping how energy will be supplied in New York State. The New York State Department of Environmental Conservation (NYSDEC) “Peaker Rule” requires significant emission reductions from older high emitting gas turbines, which will result in some decisions to deactivate affected units in 2023 and 2025. These two initiative will lead to large changes in the type of resources available to serve the demand in NY. </w:t>
      </w:r>
    </w:p>
    <w:p w14:paraId="1235E40A" w14:textId="77777777" w:rsidR="006E7D43" w:rsidRDefault="006E7D43" w:rsidP="006E7D43">
      <w:pPr>
        <w:pStyle w:val="BodyText"/>
        <w:spacing w:after="200"/>
      </w:pPr>
      <w:r>
        <w:t xml:space="preserve">To support the development of clean energy in this competitive environment, contracts for Renewable Energy Credits (RECs) between the state and developers were established. </w:t>
      </w:r>
      <w:r w:rsidRPr="00CC16A9">
        <w:t>The CLCPA calls for growing the portion of load served by renewable resources to 70</w:t>
      </w:r>
      <w:r>
        <w:t>% by 2030. Looking beyond 2030, the CLCPA requires a zero-emission grid by 2040.  The RNA 70x30 Scenario in conjunction with other studies being performed by the NYISO, such as the Climate Change Impact &amp; Resilience Study, takes an initial review of the reliability implications of the CLCPA targets.</w:t>
      </w:r>
    </w:p>
    <w:p w14:paraId="387A1712" w14:textId="152E560C" w:rsidR="00504886" w:rsidRDefault="006E7D43" w:rsidP="006E7D43">
      <w:pPr>
        <w:pStyle w:val="BodyText"/>
      </w:pPr>
      <w:r>
        <w:t>At the federal, state, and local levels, public policy initiatives are shaping the grid of the future.  How the grid is operated to maintain reliability and economic efficiency while achieving these policies requires careful and informed operations, market design, and planning. F</w:t>
      </w:r>
      <w:r w:rsidRPr="00533E5F">
        <w:t>rom this perspective</w:t>
      </w:r>
      <w:r>
        <w:t xml:space="preserve">, </w:t>
      </w:r>
      <w:r w:rsidRPr="00533E5F">
        <w:t>the NYISO</w:t>
      </w:r>
      <w:r>
        <w:t xml:space="preserve"> is</w:t>
      </w:r>
      <w:r w:rsidRPr="00533E5F">
        <w:t xml:space="preserve"> examin</w:t>
      </w:r>
      <w:r>
        <w:t>ing a number of</w:t>
      </w:r>
      <w:r w:rsidRPr="00533E5F">
        <w:t xml:space="preserve"> public policy initiatives, and engag</w:t>
      </w:r>
      <w:r>
        <w:t>ing</w:t>
      </w:r>
      <w:r w:rsidRPr="00533E5F">
        <w:t xml:space="preserve"> stakeholders and policymakers to identify the challenges </w:t>
      </w:r>
      <w:r>
        <w:t xml:space="preserve">and opportunities </w:t>
      </w:r>
      <w:r w:rsidRPr="00533E5F">
        <w:t>these initiatives may present to bulk power system reliability and efficiency.</w:t>
      </w:r>
    </w:p>
    <w:p w14:paraId="2DA7CF85" w14:textId="77777777" w:rsidR="00504886" w:rsidRDefault="00504886">
      <w:pPr>
        <w:rPr>
          <w:rFonts w:ascii="Cambria" w:eastAsia="Arial Narrow" w:hAnsi="Cambria"/>
          <w:bCs/>
          <w:sz w:val="22"/>
          <w:lang w:bidi="ar-SA"/>
        </w:rPr>
      </w:pPr>
      <w:r>
        <w:br w:type="page"/>
      </w:r>
    </w:p>
    <w:p w14:paraId="30AFFA56" w14:textId="4301EB6F" w:rsidR="006E7D43" w:rsidRDefault="006E7D43" w:rsidP="00504886">
      <w:pPr>
        <w:pStyle w:val="Figure"/>
        <w:keepNext/>
        <w:keepLines/>
        <w:rPr>
          <w:sz w:val="13"/>
        </w:rPr>
      </w:pPr>
      <w:bookmarkStart w:id="16" w:name="_Toc48251323"/>
      <w:r>
        <w:lastRenderedPageBreak/>
        <w:t xml:space="preserve">Figure </w:t>
      </w:r>
      <w:r w:rsidR="00D517E4">
        <w:fldChar w:fldCharType="begin"/>
      </w:r>
      <w:r w:rsidR="00D517E4">
        <w:instrText xml:space="preserve"> SEQ Figure \* ARABIC </w:instrText>
      </w:r>
      <w:r w:rsidR="00D517E4">
        <w:fldChar w:fldCharType="separate"/>
      </w:r>
      <w:r>
        <w:rPr>
          <w:noProof/>
        </w:rPr>
        <w:t>54</w:t>
      </w:r>
      <w:r w:rsidR="00D517E4">
        <w:rPr>
          <w:noProof/>
        </w:rPr>
        <w:fldChar w:fldCharType="end"/>
      </w:r>
      <w:r w:rsidRPr="00D90FFB">
        <w:t xml:space="preserve">: </w:t>
      </w:r>
      <w:r>
        <w:t>Summary Table of Key Environmental Regulations and Energy Policies</w:t>
      </w:r>
      <w:bookmarkEnd w:id="16"/>
      <w:r>
        <w:t xml:space="preserve"> </w:t>
      </w:r>
    </w:p>
    <w:tbl>
      <w:tblPr>
        <w:tblW w:w="0" w:type="auto"/>
        <w:jc w:val="right"/>
        <w:tblLayout w:type="fixed"/>
        <w:tblCellMar>
          <w:left w:w="0" w:type="dxa"/>
          <w:right w:w="0" w:type="dxa"/>
        </w:tblCellMar>
        <w:tblLook w:val="01E0" w:firstRow="1" w:lastRow="1" w:firstColumn="1" w:lastColumn="1" w:noHBand="0" w:noVBand="0"/>
      </w:tblPr>
      <w:tblGrid>
        <w:gridCol w:w="2405"/>
        <w:gridCol w:w="2497"/>
        <w:gridCol w:w="2696"/>
        <w:gridCol w:w="2516"/>
      </w:tblGrid>
      <w:tr w:rsidR="006E7D43" w14:paraId="0AD5CFB7" w14:textId="77777777" w:rsidTr="00CB42BE">
        <w:trPr>
          <w:trHeight w:val="578"/>
          <w:jc w:val="right"/>
        </w:trPr>
        <w:tc>
          <w:tcPr>
            <w:tcW w:w="2405" w:type="dxa"/>
            <w:tcBorders>
              <w:right w:val="single" w:sz="8" w:space="0" w:color="FFFFFF"/>
            </w:tcBorders>
            <w:shd w:val="clear" w:color="auto" w:fill="005981"/>
          </w:tcPr>
          <w:p w14:paraId="6A239227" w14:textId="77777777" w:rsidR="006E7D43" w:rsidRPr="00E14BAF" w:rsidRDefault="006E7D43" w:rsidP="00CB42BE">
            <w:pPr>
              <w:pStyle w:val="TableParagraph"/>
              <w:spacing w:before="44"/>
              <w:ind w:left="164" w:right="354"/>
              <w:rPr>
                <w:rFonts w:ascii="Franklin Gothic Demi Cond" w:hAnsi="Franklin Gothic Demi Cond"/>
              </w:rPr>
            </w:pPr>
            <w:r w:rsidRPr="00E14BAF">
              <w:rPr>
                <w:rFonts w:ascii="Franklin Gothic Demi Cond" w:hAnsi="Franklin Gothic Demi Cond"/>
                <w:color w:val="FFFFFF"/>
              </w:rPr>
              <w:t>PUBLIC POLICY INITIATIVE</w:t>
            </w:r>
          </w:p>
        </w:tc>
        <w:tc>
          <w:tcPr>
            <w:tcW w:w="2497" w:type="dxa"/>
            <w:tcBorders>
              <w:left w:val="single" w:sz="8" w:space="0" w:color="FFFFFF"/>
              <w:right w:val="single" w:sz="8" w:space="0" w:color="FFFFFF"/>
            </w:tcBorders>
            <w:shd w:val="clear" w:color="auto" w:fill="005981"/>
          </w:tcPr>
          <w:p w14:paraId="71AAC4FF" w14:textId="77777777" w:rsidR="006E7D43" w:rsidRPr="00E14BAF" w:rsidRDefault="006E7D43" w:rsidP="00CB42BE">
            <w:pPr>
              <w:pStyle w:val="TableParagraph"/>
              <w:spacing w:before="49"/>
              <w:ind w:left="148" w:right="968"/>
              <w:rPr>
                <w:rFonts w:ascii="Franklin Gothic Demi Cond" w:hAnsi="Franklin Gothic Demi Cond"/>
              </w:rPr>
            </w:pPr>
            <w:r w:rsidRPr="00E14BAF">
              <w:rPr>
                <w:rFonts w:ascii="Franklin Gothic Demi Cond" w:hAnsi="Franklin Gothic Demi Cond"/>
                <w:color w:val="FFFFFF"/>
              </w:rPr>
              <w:t>POLICYMAKING ENTITIES</w:t>
            </w:r>
          </w:p>
        </w:tc>
        <w:tc>
          <w:tcPr>
            <w:tcW w:w="2696" w:type="dxa"/>
            <w:tcBorders>
              <w:left w:val="single" w:sz="8" w:space="0" w:color="FFFFFF"/>
              <w:right w:val="single" w:sz="8" w:space="0" w:color="FFFFFF"/>
            </w:tcBorders>
            <w:shd w:val="clear" w:color="auto" w:fill="005981"/>
          </w:tcPr>
          <w:p w14:paraId="3F545AE1" w14:textId="77777777" w:rsidR="006E7D43" w:rsidRPr="00E14BAF" w:rsidRDefault="006E7D43" w:rsidP="00CB42BE">
            <w:pPr>
              <w:pStyle w:val="TableParagraph"/>
              <w:spacing w:before="44"/>
              <w:ind w:left="206" w:right="686"/>
              <w:rPr>
                <w:rFonts w:ascii="Franklin Gothic Demi Cond" w:hAnsi="Franklin Gothic Demi Cond"/>
              </w:rPr>
            </w:pPr>
            <w:r w:rsidRPr="00E14BAF">
              <w:rPr>
                <w:rFonts w:ascii="Franklin Gothic Demi Cond" w:hAnsi="Franklin Gothic Demi Cond"/>
                <w:color w:val="FFFFFF"/>
              </w:rPr>
              <w:t>PUBLIC POLICY GOALS</w:t>
            </w:r>
          </w:p>
        </w:tc>
        <w:tc>
          <w:tcPr>
            <w:tcW w:w="2516" w:type="dxa"/>
            <w:tcBorders>
              <w:left w:val="single" w:sz="8" w:space="0" w:color="FFFFFF"/>
            </w:tcBorders>
            <w:shd w:val="clear" w:color="auto" w:fill="005981"/>
          </w:tcPr>
          <w:p w14:paraId="222F477A" w14:textId="77777777" w:rsidR="006E7D43" w:rsidRPr="00E14BAF" w:rsidRDefault="006E7D43" w:rsidP="00CB42BE">
            <w:pPr>
              <w:pStyle w:val="TableParagraph"/>
              <w:spacing w:before="44"/>
              <w:ind w:left="174" w:right="152"/>
              <w:rPr>
                <w:rFonts w:ascii="Franklin Gothic Demi Cond" w:hAnsi="Franklin Gothic Demi Cond"/>
              </w:rPr>
            </w:pPr>
            <w:r w:rsidRPr="00E14BAF">
              <w:rPr>
                <w:rFonts w:ascii="Franklin Gothic Demi Cond" w:hAnsi="Franklin Gothic Demi Cond"/>
                <w:color w:val="FFFFFF"/>
              </w:rPr>
              <w:t>PUBLIC POLICY IMPLICATIONS</w:t>
            </w:r>
          </w:p>
        </w:tc>
      </w:tr>
      <w:tr w:rsidR="006E7D43" w14:paraId="2F8E4A5D" w14:textId="77777777" w:rsidTr="00CB42BE">
        <w:trPr>
          <w:trHeight w:val="2744"/>
          <w:jc w:val="right"/>
        </w:trPr>
        <w:tc>
          <w:tcPr>
            <w:tcW w:w="2405" w:type="dxa"/>
            <w:tcBorders>
              <w:right w:val="single" w:sz="8" w:space="0" w:color="B8CCDC"/>
            </w:tcBorders>
          </w:tcPr>
          <w:p w14:paraId="478E6264" w14:textId="77777777" w:rsidR="006E7D43" w:rsidRPr="00E14BAF" w:rsidRDefault="006E7D43" w:rsidP="00CB42BE">
            <w:pPr>
              <w:pStyle w:val="TableParagraph"/>
              <w:spacing w:before="67" w:line="235" w:lineRule="auto"/>
              <w:ind w:right="354"/>
              <w:rPr>
                <w:rFonts w:ascii="Franklin Gothic Demi Cond" w:hAnsi="Franklin Gothic Demi Cond"/>
              </w:rPr>
            </w:pPr>
            <w:r w:rsidRPr="00E14BAF">
              <w:rPr>
                <w:rFonts w:ascii="Franklin Gothic Demi Cond" w:hAnsi="Franklin Gothic Demi Cond"/>
                <w:color w:val="45AFD3"/>
              </w:rPr>
              <w:t>Climate Leadership and Community Protection Act</w:t>
            </w:r>
          </w:p>
        </w:tc>
        <w:tc>
          <w:tcPr>
            <w:tcW w:w="2497" w:type="dxa"/>
            <w:tcBorders>
              <w:left w:val="single" w:sz="8" w:space="0" w:color="B8CCDC"/>
              <w:right w:val="single" w:sz="8" w:space="0" w:color="B8CCDC"/>
            </w:tcBorders>
          </w:tcPr>
          <w:p w14:paraId="3C617809" w14:textId="77777777" w:rsidR="006E7D43" w:rsidRPr="00E14BAF" w:rsidRDefault="006E7D43" w:rsidP="00CB42BE">
            <w:pPr>
              <w:pStyle w:val="TableParagraph"/>
              <w:spacing w:before="58" w:line="259" w:lineRule="auto"/>
              <w:ind w:left="124" w:right="319"/>
              <w:rPr>
                <w:rFonts w:ascii="Franklin Gothic Medium Cond" w:hAnsi="Franklin Gothic Medium Cond"/>
                <w:sz w:val="17"/>
              </w:rPr>
            </w:pPr>
            <w:r w:rsidRPr="00E14BAF">
              <w:rPr>
                <w:rFonts w:ascii="Franklin Gothic Medium Cond" w:hAnsi="Franklin Gothic Medium Cond"/>
                <w:color w:val="231F20"/>
                <w:w w:val="105"/>
                <w:sz w:val="17"/>
              </w:rPr>
              <w:t>New</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spacing w:val="-3"/>
                <w:w w:val="105"/>
                <w:sz w:val="17"/>
              </w:rPr>
              <w:t>York</w:t>
            </w:r>
            <w:r w:rsidRPr="00E14BAF">
              <w:rPr>
                <w:rFonts w:ascii="Franklin Gothic Medium Cond" w:hAnsi="Franklin Gothic Medium Cond"/>
                <w:color w:val="231F20"/>
                <w:spacing w:val="-12"/>
                <w:w w:val="105"/>
                <w:sz w:val="17"/>
              </w:rPr>
              <w:t xml:space="preserve"> </w:t>
            </w:r>
            <w:r w:rsidRPr="00E14BAF">
              <w:rPr>
                <w:rFonts w:ascii="Franklin Gothic Medium Cond" w:hAnsi="Franklin Gothic Medium Cond"/>
                <w:color w:val="231F20"/>
                <w:w w:val="105"/>
                <w:sz w:val="17"/>
              </w:rPr>
              <w:t>State</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w w:val="105"/>
                <w:sz w:val="17"/>
              </w:rPr>
              <w:t>Public</w:t>
            </w:r>
            <w:r w:rsidRPr="00E14BAF">
              <w:rPr>
                <w:rFonts w:ascii="Franklin Gothic Medium Cond" w:hAnsi="Franklin Gothic Medium Cond"/>
                <w:color w:val="231F20"/>
                <w:spacing w:val="-12"/>
                <w:w w:val="105"/>
                <w:sz w:val="17"/>
              </w:rPr>
              <w:t xml:space="preserve"> </w:t>
            </w:r>
            <w:r w:rsidRPr="00E14BAF">
              <w:rPr>
                <w:rFonts w:ascii="Franklin Gothic Medium Cond" w:hAnsi="Franklin Gothic Medium Cond"/>
                <w:color w:val="231F20"/>
                <w:spacing w:val="-3"/>
                <w:w w:val="105"/>
                <w:sz w:val="17"/>
              </w:rPr>
              <w:t xml:space="preserve">Service </w:t>
            </w:r>
            <w:r w:rsidRPr="00E14BAF">
              <w:rPr>
                <w:rFonts w:ascii="Franklin Gothic Medium Cond" w:hAnsi="Franklin Gothic Medium Cond"/>
                <w:color w:val="231F20"/>
                <w:w w:val="105"/>
                <w:sz w:val="17"/>
              </w:rPr>
              <w:t xml:space="preserve">Commission,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State Energy Research and Development</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Authority,</w:t>
            </w:r>
          </w:p>
          <w:p w14:paraId="0246C5B8" w14:textId="77777777" w:rsidR="006E7D43" w:rsidRPr="00E14BAF" w:rsidRDefault="006E7D43" w:rsidP="00CB42BE">
            <w:pPr>
              <w:pStyle w:val="TableParagraph"/>
              <w:spacing w:line="259" w:lineRule="auto"/>
              <w:ind w:left="124" w:right="291"/>
              <w:rPr>
                <w:rFonts w:ascii="Franklin Gothic Medium Cond" w:hAnsi="Franklin Gothic Medium Cond"/>
                <w:sz w:val="17"/>
              </w:rPr>
            </w:pPr>
            <w:r w:rsidRPr="00E14BAF">
              <w:rPr>
                <w:rFonts w:ascii="Franklin Gothic Medium Cond" w:hAnsi="Franklin Gothic Medium Cond"/>
                <w:color w:val="231F20"/>
                <w:w w:val="105"/>
                <w:sz w:val="17"/>
              </w:rPr>
              <w:t>New</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spacing w:val="-3"/>
                <w:w w:val="105"/>
                <w:sz w:val="17"/>
              </w:rPr>
              <w:t>York</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State</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Department</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color w:val="231F20"/>
                <w:w w:val="105"/>
                <w:sz w:val="17"/>
              </w:rPr>
              <w:t>of Environmental Conservation, Climate Action</w:t>
            </w:r>
            <w:r w:rsidRPr="00E14BAF">
              <w:rPr>
                <w:rFonts w:ascii="Franklin Gothic Medium Cond" w:hAnsi="Franklin Gothic Medium Cond"/>
                <w:color w:val="231F20"/>
                <w:spacing w:val="-13"/>
                <w:w w:val="105"/>
                <w:sz w:val="17"/>
              </w:rPr>
              <w:t xml:space="preserve"> </w:t>
            </w:r>
            <w:r w:rsidRPr="00E14BAF">
              <w:rPr>
                <w:rFonts w:ascii="Franklin Gothic Medium Cond" w:hAnsi="Franklin Gothic Medium Cond"/>
                <w:color w:val="231F20"/>
                <w:w w:val="105"/>
                <w:sz w:val="17"/>
              </w:rPr>
              <w:t>Council</w:t>
            </w:r>
          </w:p>
        </w:tc>
        <w:tc>
          <w:tcPr>
            <w:tcW w:w="2696" w:type="dxa"/>
            <w:tcBorders>
              <w:left w:val="single" w:sz="8" w:space="0" w:color="B8CCDC"/>
              <w:right w:val="single" w:sz="8" w:space="0" w:color="B8CCDC"/>
            </w:tcBorders>
          </w:tcPr>
          <w:p w14:paraId="701BCC27" w14:textId="77777777" w:rsidR="006E7D43" w:rsidRPr="00E14BAF" w:rsidRDefault="006E7D43" w:rsidP="00CB42BE">
            <w:pPr>
              <w:pStyle w:val="TableParagraph"/>
              <w:spacing w:before="58" w:line="259" w:lineRule="auto"/>
              <w:ind w:right="497"/>
              <w:rPr>
                <w:rFonts w:ascii="Franklin Gothic Medium Cond" w:hAnsi="Franklin Gothic Medium Cond"/>
                <w:sz w:val="17"/>
              </w:rPr>
            </w:pPr>
            <w:r w:rsidRPr="00E14BAF">
              <w:rPr>
                <w:rFonts w:ascii="Franklin Gothic Medium Cond" w:hAnsi="Franklin Gothic Medium Cond"/>
                <w:b/>
                <w:color w:val="005981"/>
                <w:w w:val="105"/>
                <w:sz w:val="17"/>
              </w:rPr>
              <w:t xml:space="preserve">6,000 MW </w:t>
            </w:r>
            <w:r w:rsidRPr="00E14BAF">
              <w:rPr>
                <w:rFonts w:ascii="Franklin Gothic Medium Cond" w:hAnsi="Franklin Gothic Medium Cond"/>
                <w:color w:val="231F20"/>
                <w:w w:val="105"/>
                <w:sz w:val="17"/>
              </w:rPr>
              <w:t xml:space="preserve">of distributed solar installed by 2025, </w:t>
            </w:r>
            <w:r w:rsidRPr="00E14BAF">
              <w:rPr>
                <w:rFonts w:ascii="Franklin Gothic Medium Cond" w:hAnsi="Franklin Gothic Medium Cond"/>
                <w:b/>
                <w:color w:val="005981"/>
                <w:w w:val="105"/>
                <w:sz w:val="17"/>
              </w:rPr>
              <w:t>185 trillion</w:t>
            </w:r>
            <w:r w:rsidRPr="00E14BAF">
              <w:rPr>
                <w:rFonts w:ascii="Franklin Gothic Medium Cond" w:hAnsi="Franklin Gothic Medium Cond"/>
                <w:b/>
                <w:color w:val="005981"/>
                <w:spacing w:val="-17"/>
                <w:w w:val="105"/>
                <w:sz w:val="17"/>
              </w:rPr>
              <w:t xml:space="preserve"> </w:t>
            </w:r>
            <w:r w:rsidRPr="00E14BAF">
              <w:rPr>
                <w:rFonts w:ascii="Franklin Gothic Medium Cond" w:hAnsi="Franklin Gothic Medium Cond"/>
                <w:color w:val="231F20"/>
                <w:w w:val="105"/>
                <w:sz w:val="17"/>
              </w:rPr>
              <w:t>BTU</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w w:val="105"/>
                <w:sz w:val="17"/>
              </w:rPr>
              <w:t>reduction</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w w:val="105"/>
                <w:sz w:val="17"/>
              </w:rPr>
              <w:t>in</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spacing w:val="-5"/>
                <w:w w:val="105"/>
                <w:sz w:val="17"/>
              </w:rPr>
              <w:t>total</w:t>
            </w:r>
          </w:p>
          <w:p w14:paraId="7573E9BB" w14:textId="77777777" w:rsidR="006E7D43" w:rsidRPr="00E14BAF" w:rsidRDefault="006E7D43" w:rsidP="00CB42BE">
            <w:pPr>
              <w:pStyle w:val="TableParagraph"/>
              <w:spacing w:line="259" w:lineRule="auto"/>
              <w:ind w:right="164"/>
              <w:rPr>
                <w:rFonts w:ascii="Franklin Gothic Medium Cond" w:hAnsi="Franklin Gothic Medium Cond"/>
                <w:sz w:val="17"/>
              </w:rPr>
            </w:pPr>
            <w:r w:rsidRPr="00E14BAF">
              <w:rPr>
                <w:rFonts w:ascii="Franklin Gothic Medium Cond" w:hAnsi="Franklin Gothic Medium Cond"/>
                <w:color w:val="231F20"/>
                <w:w w:val="105"/>
                <w:sz w:val="17"/>
              </w:rPr>
              <w:t>energy consumption, including electrification</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to</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reduce</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fossil</w:t>
            </w:r>
            <w:r w:rsidRPr="00E14BAF">
              <w:rPr>
                <w:rFonts w:ascii="Franklin Gothic Medium Cond" w:hAnsi="Franklin Gothic Medium Cond"/>
                <w:color w:val="231F20"/>
                <w:spacing w:val="-21"/>
                <w:w w:val="105"/>
                <w:sz w:val="17"/>
              </w:rPr>
              <w:t xml:space="preserve"> </w:t>
            </w:r>
            <w:r w:rsidRPr="00E14BAF">
              <w:rPr>
                <w:rFonts w:ascii="Franklin Gothic Medium Cond" w:hAnsi="Franklin Gothic Medium Cond"/>
                <w:color w:val="231F20"/>
                <w:w w:val="105"/>
                <w:sz w:val="17"/>
              </w:rPr>
              <w:t xml:space="preserve">fuel use in buildings by 2025, </w:t>
            </w:r>
            <w:r w:rsidRPr="00E14BAF">
              <w:rPr>
                <w:rFonts w:ascii="Franklin Gothic Medium Cond" w:hAnsi="Franklin Gothic Medium Cond"/>
                <w:b/>
                <w:color w:val="005981"/>
                <w:w w:val="105"/>
                <w:sz w:val="17"/>
              </w:rPr>
              <w:t xml:space="preserve">3,000 MW </w:t>
            </w:r>
            <w:r w:rsidRPr="00E14BAF">
              <w:rPr>
                <w:rFonts w:ascii="Franklin Gothic Medium Cond" w:hAnsi="Franklin Gothic Medium Cond"/>
                <w:color w:val="231F20"/>
                <w:w w:val="105"/>
                <w:sz w:val="17"/>
              </w:rPr>
              <w:t xml:space="preserve">of storage installed by 2030, </w:t>
            </w:r>
            <w:r w:rsidRPr="00E14BAF">
              <w:rPr>
                <w:rFonts w:ascii="Franklin Gothic Medium Cond" w:hAnsi="Franklin Gothic Medium Cond"/>
                <w:b/>
                <w:color w:val="005981"/>
                <w:w w:val="105"/>
                <w:sz w:val="17"/>
              </w:rPr>
              <w:t>70%</w:t>
            </w:r>
            <w:r w:rsidRPr="00E14BAF">
              <w:rPr>
                <w:rFonts w:ascii="Franklin Gothic Medium Cond" w:hAnsi="Franklin Gothic Medium Cond"/>
                <w:b/>
                <w:color w:val="005981"/>
                <w:spacing w:val="-18"/>
                <w:w w:val="105"/>
                <w:sz w:val="17"/>
              </w:rPr>
              <w:t xml:space="preserve"> </w:t>
            </w:r>
            <w:r w:rsidRPr="00E14BAF">
              <w:rPr>
                <w:rFonts w:ascii="Franklin Gothic Medium Cond" w:hAnsi="Franklin Gothic Medium Cond"/>
                <w:color w:val="231F20"/>
                <w:w w:val="105"/>
                <w:sz w:val="17"/>
              </w:rPr>
              <w:t>of</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load</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supplied</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by</w:t>
            </w:r>
            <w:r w:rsidRPr="00E14BAF">
              <w:rPr>
                <w:rFonts w:ascii="Franklin Gothic Medium Cond" w:hAnsi="Franklin Gothic Medium Cond"/>
                <w:color w:val="231F20"/>
                <w:spacing w:val="-17"/>
                <w:w w:val="105"/>
                <w:sz w:val="17"/>
              </w:rPr>
              <w:t xml:space="preserve"> </w:t>
            </w:r>
            <w:r w:rsidRPr="00E14BAF">
              <w:rPr>
                <w:rFonts w:ascii="Franklin Gothic Medium Cond" w:hAnsi="Franklin Gothic Medium Cond"/>
                <w:color w:val="231F20"/>
                <w:w w:val="105"/>
                <w:sz w:val="17"/>
              </w:rPr>
              <w:t xml:space="preserve">renewable resources by 2030, </w:t>
            </w:r>
            <w:r w:rsidRPr="00E14BAF">
              <w:rPr>
                <w:rFonts w:ascii="Franklin Gothic Medium Cond" w:hAnsi="Franklin Gothic Medium Cond"/>
                <w:b/>
                <w:color w:val="005981"/>
                <w:w w:val="105"/>
                <w:sz w:val="17"/>
              </w:rPr>
              <w:t xml:space="preserve">9,000 MW </w:t>
            </w:r>
            <w:r w:rsidRPr="00E14BAF">
              <w:rPr>
                <w:rFonts w:ascii="Franklin Gothic Medium Cond" w:hAnsi="Franklin Gothic Medium Cond"/>
                <w:color w:val="231F20"/>
                <w:w w:val="105"/>
                <w:sz w:val="17"/>
              </w:rPr>
              <w:t xml:space="preserve">of Offshore Wind Installed by 2035, </w:t>
            </w:r>
            <w:r w:rsidRPr="00E14BAF">
              <w:rPr>
                <w:rFonts w:ascii="Franklin Gothic Medium Cond" w:hAnsi="Franklin Gothic Medium Cond"/>
                <w:b/>
                <w:color w:val="005981"/>
                <w:w w:val="105"/>
                <w:sz w:val="17"/>
              </w:rPr>
              <w:t xml:space="preserve">100% </w:t>
            </w:r>
            <w:r w:rsidRPr="00E14BAF">
              <w:rPr>
                <w:rFonts w:ascii="Franklin Gothic Medium Cond" w:hAnsi="Franklin Gothic Medium Cond"/>
                <w:color w:val="231F20"/>
                <w:w w:val="105"/>
                <w:sz w:val="17"/>
              </w:rPr>
              <w:t>of load supplied by zero- emissions resources by</w:t>
            </w:r>
            <w:r w:rsidRPr="00E14BAF">
              <w:rPr>
                <w:rFonts w:ascii="Franklin Gothic Medium Cond" w:hAnsi="Franklin Gothic Medium Cond"/>
                <w:color w:val="231F20"/>
                <w:spacing w:val="-24"/>
                <w:w w:val="105"/>
                <w:sz w:val="17"/>
              </w:rPr>
              <w:t xml:space="preserve"> </w:t>
            </w:r>
            <w:r w:rsidRPr="00E14BAF">
              <w:rPr>
                <w:rFonts w:ascii="Franklin Gothic Medium Cond" w:hAnsi="Franklin Gothic Medium Cond"/>
                <w:color w:val="231F20"/>
                <w:w w:val="105"/>
                <w:sz w:val="17"/>
              </w:rPr>
              <w:t>2040</w:t>
            </w:r>
          </w:p>
        </w:tc>
        <w:tc>
          <w:tcPr>
            <w:tcW w:w="2516" w:type="dxa"/>
            <w:tcBorders>
              <w:left w:val="single" w:sz="8" w:space="0" w:color="B8CCDC"/>
            </w:tcBorders>
          </w:tcPr>
          <w:p w14:paraId="7ADA9B8C" w14:textId="77777777" w:rsidR="006E7D43" w:rsidRPr="00E14BAF" w:rsidRDefault="006E7D43" w:rsidP="00CB42BE">
            <w:pPr>
              <w:pStyle w:val="TableParagraph"/>
              <w:spacing w:before="58" w:line="259" w:lineRule="auto"/>
              <w:ind w:left="129" w:right="152"/>
              <w:rPr>
                <w:rFonts w:ascii="Franklin Gothic Medium Cond" w:hAnsi="Franklin Gothic Medium Cond"/>
                <w:sz w:val="17"/>
              </w:rPr>
            </w:pPr>
            <w:r w:rsidRPr="00E14BAF">
              <w:rPr>
                <w:rFonts w:ascii="Franklin Gothic Medium Cond" w:hAnsi="Franklin Gothic Medium Cond"/>
                <w:b/>
                <w:color w:val="005981"/>
                <w:w w:val="105"/>
                <w:sz w:val="17"/>
              </w:rPr>
              <w:t xml:space="preserve">Transformation of the power grid, </w:t>
            </w:r>
            <w:r w:rsidRPr="00E14BAF">
              <w:rPr>
                <w:rFonts w:ascii="Franklin Gothic Medium Cond" w:hAnsi="Franklin Gothic Medium Cond"/>
                <w:color w:val="231F20"/>
                <w:w w:val="105"/>
                <w:sz w:val="17"/>
              </w:rPr>
              <w:t>necessitating examination of market structures, planning processes, flexible load, and investment in bulk power system infrastructure</w:t>
            </w:r>
          </w:p>
        </w:tc>
      </w:tr>
      <w:tr w:rsidR="006E7D43" w14:paraId="262AC2DD" w14:textId="77777777" w:rsidTr="00CB42BE">
        <w:trPr>
          <w:trHeight w:val="2100"/>
          <w:jc w:val="right"/>
        </w:trPr>
        <w:tc>
          <w:tcPr>
            <w:tcW w:w="2405" w:type="dxa"/>
            <w:tcBorders>
              <w:right w:val="single" w:sz="8" w:space="0" w:color="B8CCDC"/>
            </w:tcBorders>
            <w:shd w:val="clear" w:color="auto" w:fill="D9EBF1"/>
          </w:tcPr>
          <w:p w14:paraId="00C7990C" w14:textId="77777777" w:rsidR="006E7D43" w:rsidRPr="00E14BAF" w:rsidRDefault="006E7D43" w:rsidP="00CB42BE">
            <w:pPr>
              <w:pStyle w:val="TableParagraph"/>
              <w:spacing w:before="82" w:line="235" w:lineRule="auto"/>
              <w:ind w:left="109" w:right="354"/>
              <w:rPr>
                <w:rFonts w:ascii="Franklin Gothic Demi Cond" w:hAnsi="Franklin Gothic Demi Cond"/>
              </w:rPr>
            </w:pPr>
            <w:r w:rsidRPr="00E14BAF">
              <w:rPr>
                <w:rFonts w:ascii="Franklin Gothic Demi Cond" w:hAnsi="Franklin Gothic Demi Cond"/>
                <w:color w:val="005981"/>
              </w:rPr>
              <w:t>Indian Point Deactivation</w:t>
            </w:r>
          </w:p>
        </w:tc>
        <w:tc>
          <w:tcPr>
            <w:tcW w:w="2497" w:type="dxa"/>
            <w:tcBorders>
              <w:left w:val="single" w:sz="8" w:space="0" w:color="B8CCDC"/>
              <w:right w:val="single" w:sz="8" w:space="0" w:color="B8CCDC"/>
            </w:tcBorders>
            <w:shd w:val="clear" w:color="auto" w:fill="D9EBF1"/>
          </w:tcPr>
          <w:p w14:paraId="04470AE0" w14:textId="77777777" w:rsidR="006E7D43" w:rsidRPr="00E14BAF" w:rsidRDefault="006E7D43" w:rsidP="00CB42BE">
            <w:pPr>
              <w:pStyle w:val="TableParagraph"/>
              <w:spacing w:before="67"/>
              <w:ind w:left="124"/>
              <w:rPr>
                <w:rFonts w:ascii="Franklin Gothic Medium Cond" w:hAnsi="Franklin Gothic Medium Cond"/>
                <w:sz w:val="17"/>
              </w:rPr>
            </w:pPr>
            <w:r w:rsidRPr="00E14BAF">
              <w:rPr>
                <w:rFonts w:ascii="Franklin Gothic Medium Cond" w:hAnsi="Franklin Gothic Medium Cond"/>
                <w:color w:val="231F20"/>
                <w:w w:val="105"/>
                <w:sz w:val="17"/>
              </w:rPr>
              <w:t>Agreement between</w:t>
            </w:r>
          </w:p>
          <w:p w14:paraId="3478D89E" w14:textId="77777777" w:rsidR="006E7D43" w:rsidRPr="00E14BAF" w:rsidRDefault="006E7D43" w:rsidP="00CB42BE">
            <w:pPr>
              <w:pStyle w:val="TableParagraph"/>
              <w:spacing w:before="16"/>
              <w:ind w:left="124"/>
              <w:rPr>
                <w:rFonts w:ascii="Franklin Gothic Medium Cond" w:hAnsi="Franklin Gothic Medium Cond"/>
                <w:sz w:val="17"/>
              </w:rPr>
            </w:pPr>
            <w:r w:rsidRPr="00E14BAF">
              <w:rPr>
                <w:rFonts w:ascii="Franklin Gothic Medium Cond" w:hAnsi="Franklin Gothic Medium Cond"/>
                <w:color w:val="231F20"/>
                <w:w w:val="105"/>
                <w:sz w:val="17"/>
              </w:rPr>
              <w:t>New York State and Entergy</w:t>
            </w:r>
          </w:p>
        </w:tc>
        <w:tc>
          <w:tcPr>
            <w:tcW w:w="2696" w:type="dxa"/>
            <w:tcBorders>
              <w:left w:val="single" w:sz="8" w:space="0" w:color="B8CCDC"/>
              <w:right w:val="single" w:sz="8" w:space="0" w:color="B8CCDC"/>
            </w:tcBorders>
            <w:shd w:val="clear" w:color="auto" w:fill="D9EBF1"/>
          </w:tcPr>
          <w:p w14:paraId="1B1AEEF0" w14:textId="77777777" w:rsidR="006E7D43" w:rsidRPr="00E14BAF" w:rsidRDefault="006E7D43" w:rsidP="00CB42BE">
            <w:pPr>
              <w:pStyle w:val="TableParagraph"/>
              <w:spacing w:before="67" w:line="259" w:lineRule="auto"/>
              <w:ind w:right="493"/>
              <w:rPr>
                <w:rFonts w:ascii="Franklin Gothic Medium Cond" w:hAnsi="Franklin Gothic Medium Cond"/>
                <w:sz w:val="17"/>
              </w:rPr>
            </w:pPr>
            <w:r w:rsidRPr="00E14BAF">
              <w:rPr>
                <w:rFonts w:ascii="Franklin Gothic Medium Cond" w:hAnsi="Franklin Gothic Medium Cond"/>
                <w:color w:val="231F20"/>
                <w:w w:val="105"/>
                <w:sz w:val="17"/>
              </w:rPr>
              <w:t xml:space="preserve">Deactivate Indian Point units 2 and 3 by </w:t>
            </w:r>
            <w:r w:rsidRPr="00E14BAF">
              <w:rPr>
                <w:rFonts w:ascii="Franklin Gothic Medium Cond" w:hAnsi="Franklin Gothic Medium Cond"/>
                <w:b/>
                <w:color w:val="005981"/>
                <w:w w:val="105"/>
                <w:sz w:val="17"/>
              </w:rPr>
              <w:t xml:space="preserve">2020 </w:t>
            </w:r>
            <w:r w:rsidRPr="00E14BAF">
              <w:rPr>
                <w:rFonts w:ascii="Franklin Gothic Medium Cond" w:hAnsi="Franklin Gothic Medium Cond"/>
                <w:color w:val="231F20"/>
                <w:w w:val="105"/>
                <w:sz w:val="17"/>
              </w:rPr>
              <w:t xml:space="preserve">and </w:t>
            </w:r>
            <w:r w:rsidRPr="00E14BAF">
              <w:rPr>
                <w:rFonts w:ascii="Franklin Gothic Medium Cond" w:hAnsi="Franklin Gothic Medium Cond"/>
                <w:b/>
                <w:color w:val="005981"/>
                <w:w w:val="105"/>
                <w:sz w:val="17"/>
              </w:rPr>
              <w:t>2021</w:t>
            </w:r>
            <w:r w:rsidRPr="00E14BAF">
              <w:rPr>
                <w:rFonts w:ascii="Franklin Gothic Medium Cond" w:hAnsi="Franklin Gothic Medium Cond"/>
                <w:color w:val="231F20"/>
                <w:w w:val="105"/>
                <w:sz w:val="17"/>
              </w:rPr>
              <w:t>, respectively</w:t>
            </w:r>
          </w:p>
        </w:tc>
        <w:tc>
          <w:tcPr>
            <w:tcW w:w="2516" w:type="dxa"/>
            <w:tcBorders>
              <w:left w:val="single" w:sz="8" w:space="0" w:color="B8CCDC"/>
            </w:tcBorders>
            <w:shd w:val="clear" w:color="auto" w:fill="D9EBF1"/>
          </w:tcPr>
          <w:p w14:paraId="734D36F4" w14:textId="77777777" w:rsidR="006E7D43" w:rsidRPr="00E14BAF" w:rsidRDefault="006E7D43" w:rsidP="00CB42BE">
            <w:pPr>
              <w:pStyle w:val="TableParagraph"/>
              <w:spacing w:before="67" w:line="259" w:lineRule="auto"/>
              <w:ind w:left="129" w:right="37"/>
              <w:rPr>
                <w:rFonts w:ascii="Franklin Gothic Medium Cond" w:hAnsi="Franklin Gothic Medium Cond"/>
                <w:sz w:val="17"/>
              </w:rPr>
            </w:pPr>
            <w:r w:rsidRPr="00E14BAF">
              <w:rPr>
                <w:rFonts w:ascii="Franklin Gothic Medium Cond" w:hAnsi="Franklin Gothic Medium Cond"/>
                <w:color w:val="231F20"/>
                <w:w w:val="105"/>
                <w:sz w:val="17"/>
              </w:rPr>
              <w:t>The NYISO issued a deactivation assessment finding no reliability need associated with loss of Indian</w:t>
            </w:r>
            <w:r w:rsidRPr="00E14BAF">
              <w:rPr>
                <w:rFonts w:ascii="Franklin Gothic Medium Cond" w:hAnsi="Franklin Gothic Medium Cond"/>
                <w:color w:val="231F20"/>
                <w:spacing w:val="-16"/>
                <w:w w:val="105"/>
                <w:sz w:val="17"/>
              </w:rPr>
              <w:t xml:space="preserve"> </w:t>
            </w:r>
            <w:r w:rsidRPr="00E14BAF">
              <w:rPr>
                <w:rFonts w:ascii="Franklin Gothic Medium Cond" w:hAnsi="Franklin Gothic Medium Cond"/>
                <w:color w:val="231F20"/>
                <w:spacing w:val="-3"/>
                <w:w w:val="105"/>
                <w:sz w:val="17"/>
              </w:rPr>
              <w:t>Point’s</w:t>
            </w:r>
            <w:r w:rsidRPr="00E14BAF">
              <w:rPr>
                <w:rFonts w:ascii="Franklin Gothic Medium Cond" w:hAnsi="Franklin Gothic Medium Cond"/>
                <w:color w:val="231F20"/>
                <w:spacing w:val="-15"/>
                <w:w w:val="105"/>
                <w:sz w:val="17"/>
              </w:rPr>
              <w:t xml:space="preserve"> </w:t>
            </w:r>
            <w:r w:rsidRPr="00E14BAF">
              <w:rPr>
                <w:rFonts w:ascii="Franklin Gothic Medium Cond" w:hAnsi="Franklin Gothic Medium Cond"/>
                <w:b/>
                <w:color w:val="005981"/>
                <w:w w:val="105"/>
                <w:sz w:val="17"/>
              </w:rPr>
              <w:t>2,311</w:t>
            </w:r>
            <w:r w:rsidRPr="00E14BAF">
              <w:rPr>
                <w:rFonts w:ascii="Franklin Gothic Medium Cond" w:hAnsi="Franklin Gothic Medium Cond"/>
                <w:b/>
                <w:color w:val="005981"/>
                <w:spacing w:val="-15"/>
                <w:w w:val="105"/>
                <w:sz w:val="17"/>
              </w:rPr>
              <w:t xml:space="preserve"> </w:t>
            </w:r>
            <w:r w:rsidRPr="00E14BAF">
              <w:rPr>
                <w:rFonts w:ascii="Franklin Gothic Medium Cond" w:hAnsi="Franklin Gothic Medium Cond"/>
                <w:b/>
                <w:color w:val="005981"/>
                <w:w w:val="105"/>
                <w:sz w:val="17"/>
              </w:rPr>
              <w:t>MW</w:t>
            </w:r>
            <w:r w:rsidRPr="00E14BAF">
              <w:rPr>
                <w:rFonts w:ascii="Franklin Gothic Medium Cond" w:hAnsi="Franklin Gothic Medium Cond"/>
                <w:b/>
                <w:color w:val="005981"/>
                <w:spacing w:val="-15"/>
                <w:w w:val="105"/>
                <w:sz w:val="17"/>
              </w:rPr>
              <w:t xml:space="preserve"> </w:t>
            </w:r>
            <w:r w:rsidRPr="00E14BAF">
              <w:rPr>
                <w:rFonts w:ascii="Franklin Gothic Medium Cond" w:hAnsi="Franklin Gothic Medium Cond"/>
                <w:color w:val="231F20"/>
                <w:spacing w:val="-3"/>
                <w:w w:val="105"/>
                <w:sz w:val="17"/>
              </w:rPr>
              <w:t xml:space="preserve">assuming </w:t>
            </w:r>
            <w:r w:rsidRPr="00E14BAF">
              <w:rPr>
                <w:rFonts w:ascii="Franklin Gothic Medium Cond" w:hAnsi="Franklin Gothic Medium Cond"/>
                <w:color w:val="231F20"/>
                <w:w w:val="105"/>
                <w:sz w:val="17"/>
              </w:rPr>
              <w:t>the addition of certain expected resources. Subsequently, unit 2 deactivated</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on</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April</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30,</w:t>
            </w:r>
            <w:r w:rsidRPr="00E14BAF">
              <w:rPr>
                <w:rFonts w:ascii="Franklin Gothic Medium Cond" w:hAnsi="Franklin Gothic Medium Cond"/>
                <w:color w:val="231F20"/>
                <w:spacing w:val="-8"/>
                <w:w w:val="105"/>
                <w:sz w:val="17"/>
              </w:rPr>
              <w:t xml:space="preserve"> </w:t>
            </w:r>
            <w:r w:rsidRPr="00E14BAF">
              <w:rPr>
                <w:rFonts w:ascii="Franklin Gothic Medium Cond" w:hAnsi="Franklin Gothic Medium Cond"/>
                <w:color w:val="231F20"/>
                <w:w w:val="105"/>
                <w:sz w:val="17"/>
              </w:rPr>
              <w:t>2020.</w:t>
            </w:r>
          </w:p>
          <w:p w14:paraId="744214F4" w14:textId="77777777" w:rsidR="006E7D43" w:rsidRPr="00E14BAF" w:rsidRDefault="006E7D43" w:rsidP="00CB42BE">
            <w:pPr>
              <w:pStyle w:val="TableParagraph"/>
              <w:spacing w:line="259" w:lineRule="auto"/>
              <w:ind w:left="129" w:right="79"/>
              <w:rPr>
                <w:rFonts w:ascii="Franklin Gothic Medium Cond" w:hAnsi="Franklin Gothic Medium Cond"/>
                <w:b/>
                <w:sz w:val="17"/>
              </w:rPr>
            </w:pPr>
            <w:r w:rsidRPr="00E14BAF">
              <w:rPr>
                <w:rFonts w:ascii="Franklin Gothic Medium Cond" w:hAnsi="Franklin Gothic Medium Cond"/>
                <w:color w:val="231F20"/>
                <w:w w:val="105"/>
                <w:sz w:val="17"/>
              </w:rPr>
              <w:t xml:space="preserve">Unit 3 is scheduled to deactivate in </w:t>
            </w:r>
            <w:r w:rsidRPr="00E14BAF">
              <w:rPr>
                <w:rFonts w:ascii="Franklin Gothic Medium Cond" w:hAnsi="Franklin Gothic Medium Cond"/>
                <w:b/>
                <w:color w:val="005981"/>
                <w:w w:val="105"/>
                <w:sz w:val="17"/>
              </w:rPr>
              <w:t>April 2021</w:t>
            </w:r>
          </w:p>
        </w:tc>
      </w:tr>
      <w:tr w:rsidR="006E7D43" w14:paraId="50E3BECC" w14:textId="77777777" w:rsidTr="00CB42BE">
        <w:trPr>
          <w:trHeight w:val="989"/>
          <w:jc w:val="right"/>
        </w:trPr>
        <w:tc>
          <w:tcPr>
            <w:tcW w:w="2405" w:type="dxa"/>
            <w:tcBorders>
              <w:right w:val="single" w:sz="8" w:space="0" w:color="B8CCDC"/>
            </w:tcBorders>
          </w:tcPr>
          <w:p w14:paraId="51825341" w14:textId="77777777" w:rsidR="006E7D43" w:rsidRPr="00E14BAF" w:rsidRDefault="006E7D43" w:rsidP="00CB42BE">
            <w:pPr>
              <w:pStyle w:val="TableParagraph"/>
              <w:spacing w:before="88" w:line="235" w:lineRule="auto"/>
              <w:ind w:right="354"/>
              <w:rPr>
                <w:rFonts w:ascii="Franklin Gothic Demi Cond" w:hAnsi="Franklin Gothic Demi Cond"/>
              </w:rPr>
            </w:pPr>
            <w:r w:rsidRPr="00E14BAF">
              <w:rPr>
                <w:rFonts w:ascii="Franklin Gothic Demi Cond" w:hAnsi="Franklin Gothic Demi Cond"/>
                <w:color w:val="45AFD3"/>
              </w:rPr>
              <w:t>New York City Residual Oil Elimination</w:t>
            </w:r>
          </w:p>
        </w:tc>
        <w:tc>
          <w:tcPr>
            <w:tcW w:w="2497" w:type="dxa"/>
            <w:tcBorders>
              <w:left w:val="single" w:sz="8" w:space="0" w:color="B8CCDC"/>
              <w:right w:val="single" w:sz="8" w:space="0" w:color="B8CCDC"/>
            </w:tcBorders>
          </w:tcPr>
          <w:p w14:paraId="0FC0BC95" w14:textId="77777777" w:rsidR="006E7D43" w:rsidRPr="00E14BAF" w:rsidRDefault="006E7D43" w:rsidP="00CB42BE">
            <w:pPr>
              <w:pStyle w:val="TableParagraph"/>
              <w:spacing w:before="99"/>
              <w:ind w:left="124"/>
              <w:rPr>
                <w:rFonts w:ascii="Franklin Gothic Medium Cond" w:hAnsi="Franklin Gothic Medium Cond"/>
                <w:sz w:val="17"/>
              </w:rPr>
            </w:pPr>
            <w:r w:rsidRPr="00E14BAF">
              <w:rPr>
                <w:rFonts w:ascii="Franklin Gothic Medium Cond" w:hAnsi="Franklin Gothic Medium Cond"/>
                <w:color w:val="231F20"/>
                <w:w w:val="105"/>
                <w:sz w:val="17"/>
              </w:rPr>
              <w:t>City of New York</w:t>
            </w:r>
          </w:p>
        </w:tc>
        <w:tc>
          <w:tcPr>
            <w:tcW w:w="2696" w:type="dxa"/>
            <w:tcBorders>
              <w:left w:val="single" w:sz="8" w:space="0" w:color="B8CCDC"/>
              <w:right w:val="single" w:sz="8" w:space="0" w:color="B8CCDC"/>
            </w:tcBorders>
          </w:tcPr>
          <w:p w14:paraId="700F5D0B" w14:textId="77777777" w:rsidR="006E7D43" w:rsidRPr="00E14BAF" w:rsidRDefault="006E7D43" w:rsidP="00CB42BE">
            <w:pPr>
              <w:pStyle w:val="TableParagraph"/>
              <w:spacing w:before="99" w:line="259" w:lineRule="auto"/>
              <w:ind w:right="148"/>
              <w:rPr>
                <w:rFonts w:ascii="Franklin Gothic Medium Cond" w:hAnsi="Franklin Gothic Medium Cond"/>
                <w:sz w:val="17"/>
              </w:rPr>
            </w:pPr>
            <w:r w:rsidRPr="00E14BAF">
              <w:rPr>
                <w:rFonts w:ascii="Franklin Gothic Medium Cond" w:hAnsi="Franklin Gothic Medium Cond"/>
                <w:color w:val="231F20"/>
                <w:w w:val="105"/>
                <w:sz w:val="17"/>
              </w:rPr>
              <w:t xml:space="preserve">Eliminate combustion of fuel oil numbers 6 and 4 in New York City by </w:t>
            </w:r>
            <w:r w:rsidRPr="00E14BAF">
              <w:rPr>
                <w:rFonts w:ascii="Franklin Gothic Medium Cond" w:hAnsi="Franklin Gothic Medium Cond"/>
                <w:b/>
                <w:color w:val="005981"/>
                <w:w w:val="105"/>
                <w:sz w:val="17"/>
              </w:rPr>
              <w:t xml:space="preserve">2020 </w:t>
            </w:r>
            <w:r w:rsidRPr="00E14BAF">
              <w:rPr>
                <w:rFonts w:ascii="Franklin Gothic Medium Cond" w:hAnsi="Franklin Gothic Medium Cond"/>
                <w:color w:val="231F20"/>
                <w:w w:val="105"/>
                <w:sz w:val="17"/>
              </w:rPr>
              <w:t xml:space="preserve">and </w:t>
            </w:r>
            <w:r w:rsidRPr="00E14BAF">
              <w:rPr>
                <w:rFonts w:ascii="Franklin Gothic Medium Cond" w:hAnsi="Franklin Gothic Medium Cond"/>
                <w:b/>
                <w:color w:val="005981"/>
                <w:w w:val="105"/>
                <w:sz w:val="17"/>
              </w:rPr>
              <w:t xml:space="preserve">2025, </w:t>
            </w:r>
            <w:r w:rsidRPr="00E14BAF">
              <w:rPr>
                <w:rFonts w:ascii="Franklin Gothic Medium Cond" w:hAnsi="Franklin Gothic Medium Cond"/>
                <w:color w:val="231F20"/>
                <w:w w:val="105"/>
                <w:sz w:val="17"/>
              </w:rPr>
              <w:t>respectively</w:t>
            </w:r>
          </w:p>
        </w:tc>
        <w:tc>
          <w:tcPr>
            <w:tcW w:w="2516" w:type="dxa"/>
            <w:tcBorders>
              <w:left w:val="single" w:sz="8" w:space="0" w:color="B8CCDC"/>
            </w:tcBorders>
          </w:tcPr>
          <w:p w14:paraId="187162B0" w14:textId="77777777" w:rsidR="006E7D43" w:rsidRPr="00E14BAF" w:rsidRDefault="006E7D43" w:rsidP="00CB42BE">
            <w:pPr>
              <w:pStyle w:val="TableParagraph"/>
              <w:spacing w:before="99" w:line="259" w:lineRule="auto"/>
              <w:ind w:left="129" w:right="638"/>
              <w:rPr>
                <w:rFonts w:ascii="Franklin Gothic Medium Cond" w:hAnsi="Franklin Gothic Medium Cond"/>
                <w:sz w:val="17"/>
              </w:rPr>
            </w:pPr>
            <w:r w:rsidRPr="00E14BAF">
              <w:rPr>
                <w:rFonts w:ascii="Franklin Gothic Medium Cond" w:hAnsi="Franklin Gothic Medium Cond"/>
                <w:b/>
                <w:color w:val="005981"/>
                <w:w w:val="105"/>
                <w:sz w:val="17"/>
              </w:rPr>
              <w:t xml:space="preserve">2,946 MW </w:t>
            </w:r>
            <w:r w:rsidRPr="00E14BAF">
              <w:rPr>
                <w:rFonts w:ascii="Franklin Gothic Medium Cond" w:hAnsi="Franklin Gothic Medium Cond"/>
                <w:color w:val="231F20"/>
                <w:w w:val="105"/>
                <w:sz w:val="17"/>
              </w:rPr>
              <w:t>of installed capacity affected by rule</w:t>
            </w:r>
          </w:p>
        </w:tc>
      </w:tr>
      <w:tr w:rsidR="006E7D43" w14:paraId="29D53B6F" w14:textId="77777777" w:rsidTr="00CB42BE">
        <w:trPr>
          <w:trHeight w:val="1648"/>
          <w:jc w:val="right"/>
        </w:trPr>
        <w:tc>
          <w:tcPr>
            <w:tcW w:w="2405" w:type="dxa"/>
            <w:tcBorders>
              <w:right w:val="single" w:sz="8" w:space="0" w:color="B8CCDC"/>
            </w:tcBorders>
            <w:shd w:val="clear" w:color="auto" w:fill="D9EBF1"/>
          </w:tcPr>
          <w:p w14:paraId="4C1B6F2D" w14:textId="77777777" w:rsidR="006E7D43" w:rsidRPr="00E14BAF" w:rsidRDefault="006E7D43" w:rsidP="00CB42BE">
            <w:pPr>
              <w:pStyle w:val="TableParagraph"/>
              <w:spacing w:before="78" w:line="208" w:lineRule="auto"/>
              <w:ind w:right="354"/>
              <w:rPr>
                <w:rFonts w:ascii="Franklin Gothic Demi Cond" w:hAnsi="Franklin Gothic Demi Cond"/>
              </w:rPr>
            </w:pPr>
            <w:r w:rsidRPr="00E14BAF">
              <w:rPr>
                <w:rFonts w:ascii="Franklin Gothic Demi Cond" w:hAnsi="Franklin Gothic Demi Cond"/>
                <w:color w:val="005981"/>
              </w:rPr>
              <w:t>CO</w:t>
            </w:r>
            <w:r w:rsidRPr="00E14BAF">
              <w:rPr>
                <w:rFonts w:ascii="Franklin Gothic Demi Cond" w:hAnsi="Franklin Gothic Demi Cond"/>
                <w:color w:val="005981"/>
                <w:position w:val="-3"/>
                <w:sz w:val="20"/>
              </w:rPr>
              <w:t xml:space="preserve">2 </w:t>
            </w:r>
            <w:r w:rsidRPr="00E14BAF">
              <w:rPr>
                <w:rFonts w:ascii="Franklin Gothic Demi Cond" w:hAnsi="Franklin Gothic Demi Cond"/>
                <w:color w:val="005981"/>
              </w:rPr>
              <w:t>Performance Standards</w:t>
            </w:r>
          </w:p>
          <w:p w14:paraId="5384EDBC" w14:textId="77777777" w:rsidR="006E7D43" w:rsidRPr="00E14BAF" w:rsidRDefault="006E7D43" w:rsidP="00CB42BE">
            <w:pPr>
              <w:pStyle w:val="TableParagraph"/>
              <w:spacing w:before="33" w:line="223" w:lineRule="auto"/>
              <w:ind w:right="143"/>
              <w:rPr>
                <w:rFonts w:ascii="Franklin Gothic Demi Cond" w:hAnsi="Franklin Gothic Demi Cond"/>
                <w:sz w:val="18"/>
              </w:rPr>
            </w:pPr>
            <w:r w:rsidRPr="00E14BAF">
              <w:rPr>
                <w:rFonts w:ascii="Franklin Gothic Demi Cond" w:hAnsi="Franklin Gothic Demi Cond"/>
                <w:color w:val="005981"/>
                <w:sz w:val="18"/>
              </w:rPr>
              <w:t>for Major Electric Generating Facilities</w:t>
            </w:r>
          </w:p>
        </w:tc>
        <w:tc>
          <w:tcPr>
            <w:tcW w:w="2497" w:type="dxa"/>
            <w:tcBorders>
              <w:left w:val="single" w:sz="8" w:space="0" w:color="B8CCDC"/>
              <w:right w:val="single" w:sz="8" w:space="0" w:color="B8CCDC"/>
            </w:tcBorders>
            <w:shd w:val="clear" w:color="auto" w:fill="D9EBF1"/>
          </w:tcPr>
          <w:p w14:paraId="2DA11DB7" w14:textId="77777777" w:rsidR="006E7D43" w:rsidRPr="00E14BAF" w:rsidRDefault="006E7D43" w:rsidP="00CB42BE">
            <w:pPr>
              <w:pStyle w:val="TableParagraph"/>
              <w:spacing w:before="44"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State Department of Environmental Conservation (DEC)</w:t>
            </w:r>
          </w:p>
        </w:tc>
        <w:tc>
          <w:tcPr>
            <w:tcW w:w="2696" w:type="dxa"/>
            <w:tcBorders>
              <w:left w:val="single" w:sz="8" w:space="0" w:color="B8CCDC"/>
              <w:right w:val="single" w:sz="8" w:space="0" w:color="B8CCDC"/>
            </w:tcBorders>
            <w:shd w:val="clear" w:color="auto" w:fill="D9EBF1"/>
          </w:tcPr>
          <w:p w14:paraId="18FDB5D9" w14:textId="77777777" w:rsidR="006E7D43" w:rsidRPr="00E14BAF" w:rsidRDefault="006E7D43" w:rsidP="00CB42BE">
            <w:pPr>
              <w:pStyle w:val="TableParagraph"/>
              <w:spacing w:before="44" w:line="259" w:lineRule="auto"/>
              <w:ind w:right="214"/>
              <w:rPr>
                <w:rFonts w:ascii="Franklin Gothic Medium Cond" w:hAnsi="Franklin Gothic Medium Cond"/>
                <w:b/>
                <w:sz w:val="17"/>
              </w:rPr>
            </w:pPr>
            <w:r w:rsidRPr="00E14BAF">
              <w:rPr>
                <w:rFonts w:ascii="Franklin Gothic Medium Cond" w:hAnsi="Franklin Gothic Medium Cond"/>
                <w:color w:val="231F20"/>
                <w:w w:val="105"/>
                <w:sz w:val="17"/>
              </w:rPr>
              <w:t xml:space="preserve">Establish restrictions on carbon dioxide emissions for fossil fuel- fired facilities in New York by </w:t>
            </w:r>
            <w:r w:rsidRPr="00E14BAF">
              <w:rPr>
                <w:rFonts w:ascii="Franklin Gothic Medium Cond" w:hAnsi="Franklin Gothic Medium Cond"/>
                <w:b/>
                <w:color w:val="005981"/>
                <w:w w:val="105"/>
                <w:sz w:val="17"/>
              </w:rPr>
              <w:t>2020</w:t>
            </w:r>
          </w:p>
        </w:tc>
        <w:tc>
          <w:tcPr>
            <w:tcW w:w="2516" w:type="dxa"/>
            <w:tcBorders>
              <w:left w:val="single" w:sz="8" w:space="0" w:color="B8CCDC"/>
            </w:tcBorders>
            <w:shd w:val="clear" w:color="auto" w:fill="D9EBF1"/>
          </w:tcPr>
          <w:p w14:paraId="5835FA6E" w14:textId="77777777" w:rsidR="006E7D43" w:rsidRPr="00E14BAF" w:rsidRDefault="006E7D43" w:rsidP="00CB42BE">
            <w:pPr>
              <w:pStyle w:val="TableParagraph"/>
              <w:spacing w:before="44" w:line="259" w:lineRule="auto"/>
              <w:ind w:left="129" w:right="-6"/>
              <w:rPr>
                <w:rFonts w:ascii="Franklin Gothic Medium Cond" w:hAnsi="Franklin Gothic Medium Cond"/>
                <w:sz w:val="17"/>
              </w:rPr>
            </w:pPr>
            <w:r w:rsidRPr="00E14BAF">
              <w:rPr>
                <w:rFonts w:ascii="Franklin Gothic Medium Cond" w:hAnsi="Franklin Gothic Medium Cond"/>
                <w:color w:val="231F20"/>
                <w:w w:val="105"/>
                <w:sz w:val="17"/>
              </w:rPr>
              <w:t xml:space="preserve">As of </w:t>
            </w:r>
            <w:r w:rsidRPr="00E14BAF">
              <w:rPr>
                <w:rFonts w:ascii="Franklin Gothic Medium Cond" w:hAnsi="Franklin Gothic Medium Cond"/>
                <w:b/>
                <w:color w:val="005981"/>
                <w:w w:val="105"/>
                <w:sz w:val="17"/>
              </w:rPr>
              <w:t xml:space="preserve">April 2020, </w:t>
            </w:r>
            <w:r w:rsidRPr="00E14BAF">
              <w:rPr>
                <w:rFonts w:ascii="Franklin Gothic Medium Cond" w:hAnsi="Franklin Gothic Medium Cond"/>
                <w:color w:val="231F20"/>
                <w:w w:val="105"/>
                <w:sz w:val="17"/>
              </w:rPr>
              <w:t>all coal-fired generation facilities supplying the bulk power system deactivated. NYISO generator deactivation assessments found no reliability needs associated with these deactivations</w:t>
            </w:r>
          </w:p>
        </w:tc>
      </w:tr>
      <w:tr w:rsidR="006E7D43" w14:paraId="42313D51" w14:textId="77777777" w:rsidTr="00CB42BE">
        <w:trPr>
          <w:trHeight w:val="1482"/>
          <w:jc w:val="right"/>
        </w:trPr>
        <w:tc>
          <w:tcPr>
            <w:tcW w:w="2405" w:type="dxa"/>
            <w:tcBorders>
              <w:right w:val="single" w:sz="8" w:space="0" w:color="B8CCDC"/>
            </w:tcBorders>
          </w:tcPr>
          <w:p w14:paraId="7455D342" w14:textId="77777777" w:rsidR="006E7D43" w:rsidRPr="00E14BAF" w:rsidRDefault="006E7D43" w:rsidP="00CB42BE">
            <w:pPr>
              <w:pStyle w:val="TableParagraph"/>
              <w:spacing w:before="107" w:line="235" w:lineRule="auto"/>
              <w:ind w:right="354"/>
              <w:rPr>
                <w:rFonts w:ascii="Franklin Gothic Demi Cond" w:hAnsi="Franklin Gothic Demi Cond"/>
              </w:rPr>
            </w:pPr>
            <w:r w:rsidRPr="00E14BAF">
              <w:rPr>
                <w:rFonts w:ascii="Franklin Gothic Demi Cond" w:hAnsi="Franklin Gothic Demi Cond"/>
                <w:color w:val="45AFD3"/>
              </w:rPr>
              <w:t>Regional Greenhouse Gas Initiative (RGGI)</w:t>
            </w:r>
          </w:p>
        </w:tc>
        <w:tc>
          <w:tcPr>
            <w:tcW w:w="2497" w:type="dxa"/>
            <w:tcBorders>
              <w:left w:val="single" w:sz="8" w:space="0" w:color="B8CCDC"/>
              <w:right w:val="single" w:sz="8" w:space="0" w:color="B8CCDC"/>
            </w:tcBorders>
          </w:tcPr>
          <w:p w14:paraId="1B968530" w14:textId="77777777" w:rsidR="006E7D43" w:rsidRPr="00E14BAF" w:rsidRDefault="006E7D43" w:rsidP="00CB42BE">
            <w:pPr>
              <w:pStyle w:val="TableParagraph"/>
              <w:spacing w:before="94"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and other RGGI states</w:t>
            </w:r>
          </w:p>
        </w:tc>
        <w:tc>
          <w:tcPr>
            <w:tcW w:w="2696" w:type="dxa"/>
            <w:tcBorders>
              <w:left w:val="single" w:sz="8" w:space="0" w:color="B8CCDC"/>
              <w:right w:val="single" w:sz="8" w:space="0" w:color="B8CCDC"/>
            </w:tcBorders>
          </w:tcPr>
          <w:p w14:paraId="78803FCD" w14:textId="77777777" w:rsidR="006E7D43" w:rsidRPr="00E14BAF" w:rsidRDefault="006E7D43" w:rsidP="00CB42BE">
            <w:pPr>
              <w:pStyle w:val="TableParagraph"/>
              <w:spacing w:before="94" w:line="259" w:lineRule="auto"/>
              <w:ind w:right="151"/>
              <w:rPr>
                <w:rFonts w:ascii="Franklin Gothic Medium Cond" w:hAnsi="Franklin Gothic Medium Cond"/>
                <w:sz w:val="17"/>
              </w:rPr>
            </w:pPr>
            <w:r w:rsidRPr="00E14BAF">
              <w:rPr>
                <w:rFonts w:ascii="Franklin Gothic Medium Cond" w:hAnsi="Franklin Gothic Medium Cond"/>
                <w:color w:val="231F20"/>
                <w:w w:val="105"/>
                <w:sz w:val="17"/>
              </w:rPr>
              <w:t>Reduce carbon dioxide emissions cap by 30% from 2020 to 2030 and expand applicability to currently exempt “peaking units” below current 25 MW threshold</w:t>
            </w:r>
          </w:p>
        </w:tc>
        <w:tc>
          <w:tcPr>
            <w:tcW w:w="2516" w:type="dxa"/>
            <w:tcBorders>
              <w:left w:val="single" w:sz="8" w:space="0" w:color="B8CCDC"/>
            </w:tcBorders>
          </w:tcPr>
          <w:p w14:paraId="6B1C929B" w14:textId="77777777" w:rsidR="006E7D43" w:rsidRPr="00E14BAF" w:rsidRDefault="006E7D43" w:rsidP="00CB42BE">
            <w:pPr>
              <w:pStyle w:val="TableParagraph"/>
              <w:spacing w:before="94" w:line="259" w:lineRule="auto"/>
              <w:ind w:left="129" w:right="-2"/>
              <w:rPr>
                <w:rFonts w:ascii="Franklin Gothic Medium Cond" w:hAnsi="Franklin Gothic Medium Cond"/>
                <w:b/>
                <w:sz w:val="17"/>
              </w:rPr>
            </w:pPr>
            <w:r w:rsidRPr="00E14BAF">
              <w:rPr>
                <w:rFonts w:ascii="Franklin Gothic Medium Cond" w:hAnsi="Franklin Gothic Medium Cond"/>
                <w:color w:val="231F20"/>
                <w:w w:val="105"/>
                <w:sz w:val="17"/>
              </w:rPr>
              <w:t xml:space="preserve">The NYS DEC proposed to expand applicability in NYS to generators of </w:t>
            </w:r>
            <w:r w:rsidRPr="00E14BAF">
              <w:rPr>
                <w:rFonts w:ascii="Franklin Gothic Medium Cond" w:hAnsi="Franklin Gothic Medium Cond"/>
                <w:b/>
                <w:color w:val="005981"/>
                <w:w w:val="105"/>
                <w:sz w:val="17"/>
              </w:rPr>
              <w:t xml:space="preserve">15 MW </w:t>
            </w:r>
            <w:r w:rsidRPr="00E14BAF">
              <w:rPr>
                <w:rFonts w:ascii="Franklin Gothic Medium Cond" w:hAnsi="Franklin Gothic Medium Cond"/>
                <w:color w:val="231F20"/>
                <w:w w:val="105"/>
                <w:sz w:val="17"/>
              </w:rPr>
              <w:t xml:space="preserve">or greater, whereas current rules do not apply to generators </w:t>
            </w:r>
            <w:r w:rsidRPr="00E14BAF">
              <w:rPr>
                <w:rFonts w:ascii="Franklin Gothic Medium Cond" w:hAnsi="Franklin Gothic Medium Cond"/>
                <w:b/>
                <w:color w:val="005981"/>
                <w:w w:val="105"/>
                <w:sz w:val="17"/>
              </w:rPr>
              <w:t>less than</w:t>
            </w:r>
            <w:r>
              <w:rPr>
                <w:rFonts w:ascii="Franklin Gothic Medium Cond" w:hAnsi="Franklin Gothic Medium Cond"/>
                <w:b/>
                <w:color w:val="005981"/>
                <w:w w:val="105"/>
                <w:sz w:val="17"/>
              </w:rPr>
              <w:t xml:space="preserve"> </w:t>
            </w:r>
            <w:r w:rsidRPr="00E14BAF">
              <w:rPr>
                <w:rFonts w:ascii="Franklin Gothic Medium Cond" w:hAnsi="Franklin Gothic Medium Cond"/>
                <w:b/>
                <w:color w:val="005981"/>
                <w:w w:val="105"/>
                <w:sz w:val="17"/>
              </w:rPr>
              <w:t>25 MW</w:t>
            </w:r>
          </w:p>
        </w:tc>
      </w:tr>
      <w:tr w:rsidR="006E7D43" w14:paraId="4F4DA99B" w14:textId="77777777" w:rsidTr="00CB42BE">
        <w:trPr>
          <w:trHeight w:val="1870"/>
          <w:jc w:val="right"/>
        </w:trPr>
        <w:tc>
          <w:tcPr>
            <w:tcW w:w="2405" w:type="dxa"/>
            <w:tcBorders>
              <w:right w:val="single" w:sz="8" w:space="0" w:color="B8CCDC"/>
            </w:tcBorders>
            <w:shd w:val="clear" w:color="auto" w:fill="D9EBF1"/>
          </w:tcPr>
          <w:p w14:paraId="760A33C0" w14:textId="77777777" w:rsidR="006E7D43" w:rsidRPr="00E14BAF" w:rsidRDefault="006E7D43" w:rsidP="00CB42BE">
            <w:pPr>
              <w:pStyle w:val="TableParagraph"/>
              <w:spacing w:before="56"/>
              <w:rPr>
                <w:rFonts w:ascii="Franklin Gothic Demi Cond" w:hAnsi="Franklin Gothic Demi Cond"/>
              </w:rPr>
            </w:pPr>
            <w:r w:rsidRPr="00E14BAF">
              <w:rPr>
                <w:rFonts w:ascii="Franklin Gothic Demi Cond" w:hAnsi="Franklin Gothic Demi Cond"/>
                <w:color w:val="005981"/>
              </w:rPr>
              <w:t>“Peaker Rule”</w:t>
            </w:r>
          </w:p>
          <w:p w14:paraId="0070391A" w14:textId="77777777" w:rsidR="006E7D43" w:rsidRPr="00E14BAF" w:rsidRDefault="006E7D43" w:rsidP="00CB42BE">
            <w:pPr>
              <w:pStyle w:val="TableParagraph"/>
              <w:spacing w:before="34"/>
              <w:ind w:right="68"/>
              <w:rPr>
                <w:rFonts w:ascii="Franklin Gothic Demi Cond" w:hAnsi="Franklin Gothic Demi Cond"/>
                <w:sz w:val="20"/>
              </w:rPr>
            </w:pPr>
            <w:r w:rsidRPr="00E14BAF">
              <w:rPr>
                <w:rFonts w:ascii="Franklin Gothic Demi Cond" w:hAnsi="Franklin Gothic Demi Cond"/>
                <w:color w:val="005981"/>
                <w:sz w:val="20"/>
              </w:rPr>
              <w:t>Ozone Season Oxides of Nitrogen (NOx) Emissions Limits for simple cycle and regenerative combustion turbines</w:t>
            </w:r>
          </w:p>
        </w:tc>
        <w:tc>
          <w:tcPr>
            <w:tcW w:w="2497" w:type="dxa"/>
            <w:tcBorders>
              <w:left w:val="single" w:sz="8" w:space="0" w:color="B8CCDC"/>
              <w:right w:val="single" w:sz="8" w:space="0" w:color="B8CCDC"/>
            </w:tcBorders>
            <w:shd w:val="clear" w:color="auto" w:fill="D9EBF1"/>
          </w:tcPr>
          <w:p w14:paraId="6C4B40BB" w14:textId="77777777" w:rsidR="006E7D43" w:rsidRPr="00E14BAF" w:rsidRDefault="006E7D43" w:rsidP="00CB42BE">
            <w:pPr>
              <w:pStyle w:val="TableParagraph"/>
              <w:spacing w:before="62" w:line="259" w:lineRule="auto"/>
              <w:ind w:left="124" w:right="968"/>
              <w:rPr>
                <w:rFonts w:ascii="Franklin Gothic Medium Cond" w:hAnsi="Franklin Gothic Medium Cond"/>
                <w:sz w:val="17"/>
              </w:rPr>
            </w:pPr>
            <w:r w:rsidRPr="00E14BAF">
              <w:rPr>
                <w:rFonts w:ascii="Franklin Gothic Medium Cond" w:hAnsi="Franklin Gothic Medium Cond"/>
                <w:color w:val="231F20"/>
                <w:w w:val="105"/>
                <w:sz w:val="17"/>
              </w:rPr>
              <w:t>New York State Department of Environmental Conservation (DEC)</w:t>
            </w:r>
          </w:p>
        </w:tc>
        <w:tc>
          <w:tcPr>
            <w:tcW w:w="2696" w:type="dxa"/>
            <w:tcBorders>
              <w:left w:val="single" w:sz="8" w:space="0" w:color="B8CCDC"/>
              <w:right w:val="single" w:sz="8" w:space="0" w:color="B8CCDC"/>
            </w:tcBorders>
            <w:shd w:val="clear" w:color="auto" w:fill="D9EBF1"/>
          </w:tcPr>
          <w:p w14:paraId="1DFF3F2C" w14:textId="77777777" w:rsidR="006E7D43" w:rsidRPr="00E14BAF" w:rsidRDefault="006E7D43" w:rsidP="00CB42BE">
            <w:pPr>
              <w:pStyle w:val="TableParagraph"/>
              <w:spacing w:before="62" w:line="259" w:lineRule="auto"/>
              <w:ind w:right="368"/>
              <w:rPr>
                <w:rFonts w:ascii="Franklin Gothic Medium Cond" w:hAnsi="Franklin Gothic Medium Cond"/>
                <w:b/>
                <w:sz w:val="17"/>
              </w:rPr>
            </w:pPr>
            <w:r w:rsidRPr="00E14BAF">
              <w:rPr>
                <w:rFonts w:ascii="Franklin Gothic Medium Cond" w:hAnsi="Franklin Gothic Medium Cond"/>
                <w:color w:val="231F20"/>
                <w:w w:val="105"/>
                <w:sz w:val="17"/>
              </w:rPr>
              <w:t xml:space="preserve">Reduce ozone-contributing pollutants associated with New York State-based peaking unit generation. Compliance obligations phased in between </w:t>
            </w:r>
            <w:r w:rsidRPr="00E14BAF">
              <w:rPr>
                <w:rFonts w:ascii="Franklin Gothic Medium Cond" w:hAnsi="Franklin Gothic Medium Cond"/>
                <w:b/>
                <w:color w:val="005981"/>
                <w:w w:val="105"/>
                <w:sz w:val="17"/>
              </w:rPr>
              <w:t xml:space="preserve">2023 </w:t>
            </w:r>
            <w:r w:rsidRPr="00E14BAF">
              <w:rPr>
                <w:rFonts w:ascii="Franklin Gothic Medium Cond" w:hAnsi="Franklin Gothic Medium Cond"/>
                <w:color w:val="231F20"/>
                <w:w w:val="105"/>
                <w:sz w:val="17"/>
              </w:rPr>
              <w:t xml:space="preserve">and </w:t>
            </w:r>
            <w:r w:rsidRPr="00E14BAF">
              <w:rPr>
                <w:rFonts w:ascii="Franklin Gothic Medium Cond" w:hAnsi="Franklin Gothic Medium Cond"/>
                <w:b/>
                <w:color w:val="005981"/>
                <w:w w:val="105"/>
                <w:sz w:val="17"/>
              </w:rPr>
              <w:t>2025</w:t>
            </w:r>
          </w:p>
        </w:tc>
        <w:tc>
          <w:tcPr>
            <w:tcW w:w="2516" w:type="dxa"/>
            <w:tcBorders>
              <w:left w:val="single" w:sz="8" w:space="0" w:color="B8CCDC"/>
            </w:tcBorders>
            <w:shd w:val="clear" w:color="auto" w:fill="D9EBF1"/>
          </w:tcPr>
          <w:p w14:paraId="642735F3" w14:textId="77777777" w:rsidR="006E7D43" w:rsidRPr="00E14BAF" w:rsidRDefault="006E7D43" w:rsidP="00CB42BE">
            <w:pPr>
              <w:pStyle w:val="TableParagraph"/>
              <w:spacing w:before="62" w:line="259" w:lineRule="auto"/>
              <w:ind w:left="129" w:right="-5"/>
              <w:rPr>
                <w:rFonts w:ascii="Franklin Gothic Medium Cond" w:hAnsi="Franklin Gothic Medium Cond"/>
                <w:sz w:val="17"/>
              </w:rPr>
            </w:pPr>
            <w:r w:rsidRPr="00E14BAF">
              <w:rPr>
                <w:rFonts w:ascii="Franklin Gothic Medium Cond" w:hAnsi="Franklin Gothic Medium Cond"/>
                <w:color w:val="231F20"/>
                <w:w w:val="105"/>
                <w:sz w:val="17"/>
              </w:rPr>
              <w:t xml:space="preserve">DEC rule impacts approximately </w:t>
            </w:r>
            <w:r w:rsidRPr="00E14BAF">
              <w:rPr>
                <w:rFonts w:ascii="Franklin Gothic Medium Cond" w:hAnsi="Franklin Gothic Medium Cond"/>
                <w:b/>
                <w:color w:val="005981"/>
                <w:w w:val="105"/>
                <w:sz w:val="17"/>
              </w:rPr>
              <w:t xml:space="preserve">3,300 MWs </w:t>
            </w:r>
            <w:r w:rsidRPr="00E14BAF">
              <w:rPr>
                <w:rFonts w:ascii="Franklin Gothic Medium Cond" w:hAnsi="Franklin Gothic Medium Cond"/>
                <w:color w:val="231F20"/>
                <w:w w:val="105"/>
                <w:sz w:val="17"/>
              </w:rPr>
              <w:t xml:space="preserve">of peaking unit capacity in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 xml:space="preserve">State. The NYISO is analyzing compliance plans through its Reliability </w:t>
            </w:r>
            <w:r w:rsidRPr="00E14BAF">
              <w:rPr>
                <w:rFonts w:ascii="Franklin Gothic Medium Cond" w:hAnsi="Franklin Gothic Medium Cond"/>
                <w:color w:val="231F20"/>
                <w:spacing w:val="-4"/>
                <w:w w:val="105"/>
                <w:sz w:val="17"/>
              </w:rPr>
              <w:t xml:space="preserve">Needs </w:t>
            </w:r>
            <w:r w:rsidRPr="00E14BAF">
              <w:rPr>
                <w:rFonts w:ascii="Franklin Gothic Medium Cond" w:hAnsi="Franklin Gothic Medium Cond"/>
                <w:color w:val="231F20"/>
                <w:w w:val="105"/>
                <w:sz w:val="17"/>
              </w:rPr>
              <w:t xml:space="preserve">Assessment (RNA) to determine whether they </w:t>
            </w:r>
            <w:r>
              <w:rPr>
                <w:rFonts w:ascii="Franklin Gothic Medium Cond" w:hAnsi="Franklin Gothic Medium Cond"/>
                <w:color w:val="231F20"/>
                <w:w w:val="105"/>
                <w:sz w:val="17"/>
              </w:rPr>
              <w:t>give rise to</w:t>
            </w:r>
            <w:r w:rsidRPr="00E14BAF">
              <w:rPr>
                <w:rFonts w:ascii="Franklin Gothic Medium Cond" w:hAnsi="Franklin Gothic Medium Cond"/>
                <w:color w:val="231F20"/>
                <w:w w:val="105"/>
                <w:sz w:val="17"/>
              </w:rPr>
              <w:t xml:space="preserve"> reliability needs</w:t>
            </w:r>
          </w:p>
        </w:tc>
      </w:tr>
      <w:tr w:rsidR="006E7D43" w14:paraId="7843F3D5" w14:textId="77777777" w:rsidTr="00CB42BE">
        <w:trPr>
          <w:trHeight w:val="2484"/>
          <w:jc w:val="right"/>
        </w:trPr>
        <w:tc>
          <w:tcPr>
            <w:tcW w:w="2405" w:type="dxa"/>
            <w:tcBorders>
              <w:right w:val="single" w:sz="8" w:space="0" w:color="B8CCDC"/>
            </w:tcBorders>
          </w:tcPr>
          <w:p w14:paraId="71708296" w14:textId="77777777" w:rsidR="006E7D43" w:rsidRPr="00E14BAF" w:rsidRDefault="006E7D43" w:rsidP="00CB42BE">
            <w:pPr>
              <w:pStyle w:val="TableParagraph"/>
              <w:spacing w:before="83" w:line="235" w:lineRule="auto"/>
              <w:ind w:right="179"/>
              <w:rPr>
                <w:rFonts w:ascii="Franklin Gothic Demi Cond" w:hAnsi="Franklin Gothic Demi Cond"/>
              </w:rPr>
            </w:pPr>
            <w:r w:rsidRPr="00E14BAF">
              <w:rPr>
                <w:rFonts w:ascii="Franklin Gothic Demi Cond" w:hAnsi="Franklin Gothic Demi Cond"/>
                <w:color w:val="45AFD3"/>
              </w:rPr>
              <w:lastRenderedPageBreak/>
              <w:t>NYS Accelerated Renewable Energy Growth and Community Benefit Act</w:t>
            </w:r>
          </w:p>
        </w:tc>
        <w:tc>
          <w:tcPr>
            <w:tcW w:w="2497" w:type="dxa"/>
            <w:tcBorders>
              <w:left w:val="single" w:sz="8" w:space="0" w:color="B8CCDC"/>
              <w:right w:val="single" w:sz="8" w:space="0" w:color="B8CCDC"/>
            </w:tcBorders>
          </w:tcPr>
          <w:p w14:paraId="044EA82F" w14:textId="77777777" w:rsidR="006E7D43" w:rsidRPr="00E14BAF" w:rsidRDefault="006E7D43" w:rsidP="00CB42BE">
            <w:pPr>
              <w:pStyle w:val="TableParagraph"/>
              <w:spacing w:before="79" w:line="259" w:lineRule="auto"/>
              <w:ind w:left="124" w:right="31"/>
              <w:rPr>
                <w:rFonts w:ascii="Franklin Gothic Medium Cond" w:hAnsi="Franklin Gothic Medium Cond"/>
                <w:sz w:val="17"/>
              </w:rPr>
            </w:pPr>
            <w:r w:rsidRPr="00E14BAF">
              <w:rPr>
                <w:rFonts w:ascii="Franklin Gothic Medium Cond" w:hAnsi="Franklin Gothic Medium Cond"/>
                <w:color w:val="231F20"/>
                <w:w w:val="105"/>
                <w:sz w:val="17"/>
              </w:rPr>
              <w:t xml:space="preserve">Office of Renewable Energy Siting (ORES) within the </w:t>
            </w:r>
            <w:r w:rsidRPr="00E14BAF">
              <w:rPr>
                <w:rFonts w:ascii="Franklin Gothic Medium Cond" w:hAnsi="Franklin Gothic Medium Cond"/>
                <w:color w:val="231F20"/>
                <w:spacing w:val="-3"/>
                <w:w w:val="105"/>
                <w:sz w:val="17"/>
              </w:rPr>
              <w:t xml:space="preserve">NYS </w:t>
            </w:r>
            <w:r w:rsidRPr="00E14BAF">
              <w:rPr>
                <w:rFonts w:ascii="Franklin Gothic Medium Cond" w:hAnsi="Franklin Gothic Medium Cond"/>
                <w:color w:val="231F20"/>
                <w:w w:val="105"/>
                <w:sz w:val="17"/>
              </w:rPr>
              <w:t xml:space="preserve">Department of State, 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 xml:space="preserve">State Public Service </w:t>
            </w:r>
            <w:r w:rsidRPr="00E14BAF">
              <w:rPr>
                <w:rFonts w:ascii="Franklin Gothic Medium Cond" w:hAnsi="Franklin Gothic Medium Cond"/>
                <w:color w:val="231F20"/>
                <w:spacing w:val="-3"/>
                <w:w w:val="105"/>
                <w:sz w:val="17"/>
              </w:rPr>
              <w:t xml:space="preserve">Commission, </w:t>
            </w:r>
            <w:r w:rsidRPr="00E14BAF">
              <w:rPr>
                <w:rFonts w:ascii="Franklin Gothic Medium Cond" w:hAnsi="Franklin Gothic Medium Cond"/>
                <w:color w:val="231F20"/>
                <w:w w:val="105"/>
                <w:sz w:val="17"/>
              </w:rPr>
              <w:t xml:space="preserve">New </w:t>
            </w:r>
            <w:r w:rsidRPr="00E14BAF">
              <w:rPr>
                <w:rFonts w:ascii="Franklin Gothic Medium Cond" w:hAnsi="Franklin Gothic Medium Cond"/>
                <w:color w:val="231F20"/>
                <w:spacing w:val="-3"/>
                <w:w w:val="105"/>
                <w:sz w:val="17"/>
              </w:rPr>
              <w:t xml:space="preserve">York </w:t>
            </w:r>
            <w:r w:rsidRPr="00E14BAF">
              <w:rPr>
                <w:rFonts w:ascii="Franklin Gothic Medium Cond" w:hAnsi="Franklin Gothic Medium Cond"/>
                <w:color w:val="231F20"/>
                <w:w w:val="105"/>
                <w:sz w:val="17"/>
              </w:rPr>
              <w:t>State Energy Research and Development Authority (NYSERDA)</w:t>
            </w:r>
          </w:p>
        </w:tc>
        <w:tc>
          <w:tcPr>
            <w:tcW w:w="2696" w:type="dxa"/>
            <w:tcBorders>
              <w:left w:val="single" w:sz="8" w:space="0" w:color="B8CCDC"/>
              <w:right w:val="single" w:sz="8" w:space="0" w:color="B8CCDC"/>
            </w:tcBorders>
          </w:tcPr>
          <w:p w14:paraId="5896D7EF" w14:textId="77777777" w:rsidR="006E7D43" w:rsidRPr="00E14BAF" w:rsidRDefault="006E7D43" w:rsidP="00CB42BE">
            <w:pPr>
              <w:pStyle w:val="TableParagraph"/>
              <w:spacing w:before="79" w:line="259" w:lineRule="auto"/>
              <w:ind w:right="169"/>
              <w:rPr>
                <w:rFonts w:ascii="Franklin Gothic Medium Cond" w:hAnsi="Franklin Gothic Medium Cond"/>
                <w:sz w:val="17"/>
              </w:rPr>
            </w:pPr>
            <w:r w:rsidRPr="00E14BAF">
              <w:rPr>
                <w:rFonts w:ascii="Franklin Gothic Medium Cond" w:hAnsi="Franklin Gothic Medium Cond"/>
                <w:color w:val="231F20"/>
                <w:spacing w:val="-3"/>
                <w:w w:val="105"/>
                <w:sz w:val="17"/>
              </w:rPr>
              <w:t xml:space="preserve">Provides </w:t>
            </w:r>
            <w:r w:rsidRPr="00E14BAF">
              <w:rPr>
                <w:rFonts w:ascii="Franklin Gothic Medium Cond" w:hAnsi="Franklin Gothic Medium Cond"/>
                <w:color w:val="231F20"/>
                <w:w w:val="105"/>
                <w:sz w:val="17"/>
              </w:rPr>
              <w:t xml:space="preserve">for an </w:t>
            </w:r>
            <w:r w:rsidRPr="00E14BAF">
              <w:rPr>
                <w:rFonts w:ascii="Franklin Gothic Medium Cond" w:hAnsi="Franklin Gothic Medium Cond"/>
                <w:color w:val="231F20"/>
                <w:spacing w:val="-3"/>
                <w:w w:val="105"/>
                <w:sz w:val="17"/>
              </w:rPr>
              <w:t xml:space="preserve">accelerated </w:t>
            </w:r>
            <w:r w:rsidRPr="00E14BAF">
              <w:rPr>
                <w:rFonts w:ascii="Franklin Gothic Medium Cond" w:hAnsi="Franklin Gothic Medium Cond"/>
                <w:color w:val="231F20"/>
                <w:w w:val="105"/>
                <w:sz w:val="17"/>
              </w:rPr>
              <w:t>path for</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w w:val="105"/>
                <w:sz w:val="17"/>
              </w:rPr>
              <w:t>the</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permitting</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and</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spacing w:val="-2"/>
                <w:w w:val="105"/>
                <w:sz w:val="17"/>
              </w:rPr>
              <w:t xml:space="preserve">construction </w:t>
            </w:r>
            <w:r w:rsidRPr="00E14BAF">
              <w:rPr>
                <w:rFonts w:ascii="Franklin Gothic Medium Cond" w:hAnsi="Franklin Gothic Medium Cond"/>
                <w:color w:val="231F20"/>
                <w:w w:val="105"/>
                <w:sz w:val="17"/>
              </w:rPr>
              <w:t>of</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spacing w:val="-2"/>
                <w:w w:val="105"/>
                <w:sz w:val="17"/>
              </w:rPr>
              <w:t>renewable</w:t>
            </w:r>
            <w:r w:rsidRPr="00E14BAF">
              <w:rPr>
                <w:rFonts w:ascii="Franklin Gothic Medium Cond" w:hAnsi="Franklin Gothic Medium Cond"/>
                <w:color w:val="231F20"/>
                <w:spacing w:val="-22"/>
                <w:w w:val="105"/>
                <w:sz w:val="17"/>
              </w:rPr>
              <w:t xml:space="preserve"> </w:t>
            </w:r>
            <w:r w:rsidRPr="00E14BAF">
              <w:rPr>
                <w:rFonts w:ascii="Franklin Gothic Medium Cond" w:hAnsi="Franklin Gothic Medium Cond"/>
                <w:color w:val="231F20"/>
                <w:w w:val="105"/>
                <w:sz w:val="17"/>
              </w:rPr>
              <w:t>energy</w:t>
            </w:r>
            <w:r w:rsidRPr="00E14BAF">
              <w:rPr>
                <w:rFonts w:ascii="Franklin Gothic Medium Cond" w:hAnsi="Franklin Gothic Medium Cond"/>
                <w:color w:val="231F20"/>
                <w:spacing w:val="-23"/>
                <w:w w:val="105"/>
                <w:sz w:val="17"/>
              </w:rPr>
              <w:t xml:space="preserve"> </w:t>
            </w:r>
            <w:r w:rsidRPr="00E14BAF">
              <w:rPr>
                <w:rFonts w:ascii="Franklin Gothic Medium Cond" w:hAnsi="Franklin Gothic Medium Cond"/>
                <w:color w:val="231F20"/>
                <w:w w:val="105"/>
                <w:sz w:val="17"/>
              </w:rPr>
              <w:t>projects</w:t>
            </w:r>
            <w:r w:rsidRPr="00E14BAF">
              <w:rPr>
                <w:rFonts w:ascii="Franklin Gothic Medium Cond" w:hAnsi="Franklin Gothic Medium Cond"/>
                <w:color w:val="231F20"/>
                <w:spacing w:val="-22"/>
                <w:w w:val="105"/>
                <w:sz w:val="17"/>
              </w:rPr>
              <w:t xml:space="preserve"> </w:t>
            </w:r>
            <w:r>
              <w:rPr>
                <w:rFonts w:ascii="Franklin Gothic Medium Cond" w:hAnsi="Franklin Gothic Medium Cond"/>
                <w:color w:val="231F20"/>
                <w:w w:val="105"/>
                <w:sz w:val="17"/>
              </w:rPr>
              <w:t>instead of through</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the</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Article</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10</w:t>
            </w:r>
            <w:r w:rsidRPr="00E14BAF">
              <w:rPr>
                <w:rFonts w:ascii="Franklin Gothic Medium Cond" w:hAnsi="Franklin Gothic Medium Cond"/>
                <w:color w:val="231F20"/>
                <w:spacing w:val="-11"/>
                <w:w w:val="105"/>
                <w:sz w:val="17"/>
              </w:rPr>
              <w:t xml:space="preserve"> </w:t>
            </w:r>
            <w:r w:rsidRPr="00E14BAF">
              <w:rPr>
                <w:rFonts w:ascii="Franklin Gothic Medium Cond" w:hAnsi="Franklin Gothic Medium Cond"/>
                <w:color w:val="231F20"/>
                <w:w w:val="105"/>
                <w:sz w:val="17"/>
              </w:rPr>
              <w:t>power</w:t>
            </w:r>
            <w:r w:rsidRPr="00E14BAF">
              <w:rPr>
                <w:rFonts w:ascii="Franklin Gothic Medium Cond" w:hAnsi="Franklin Gothic Medium Cond"/>
                <w:color w:val="231F20"/>
                <w:spacing w:val="-10"/>
                <w:w w:val="105"/>
                <w:sz w:val="17"/>
              </w:rPr>
              <w:t xml:space="preserve"> </w:t>
            </w:r>
            <w:r w:rsidRPr="00E14BAF">
              <w:rPr>
                <w:rFonts w:ascii="Franklin Gothic Medium Cond" w:hAnsi="Franklin Gothic Medium Cond"/>
                <w:color w:val="231F20"/>
                <w:w w:val="105"/>
                <w:sz w:val="17"/>
              </w:rPr>
              <w:t>plant</w:t>
            </w:r>
            <w:r>
              <w:rPr>
                <w:rFonts w:ascii="Franklin Gothic Medium Cond" w:hAnsi="Franklin Gothic Medium Cond"/>
                <w:color w:val="231F20"/>
                <w:w w:val="105"/>
                <w:sz w:val="17"/>
              </w:rPr>
              <w:t xml:space="preserve"> </w:t>
            </w:r>
          </w:p>
          <w:p w14:paraId="2DE6C2E4" w14:textId="77777777" w:rsidR="006E7D43" w:rsidRPr="00E14BAF" w:rsidRDefault="006E7D43" w:rsidP="00CB42BE">
            <w:pPr>
              <w:pStyle w:val="TableParagraph"/>
              <w:spacing w:line="259" w:lineRule="auto"/>
              <w:ind w:right="14"/>
              <w:rPr>
                <w:rFonts w:ascii="Franklin Gothic Medium Cond" w:hAnsi="Franklin Gothic Medium Cond"/>
                <w:sz w:val="17"/>
              </w:rPr>
            </w:pPr>
            <w:r w:rsidRPr="00E14BAF">
              <w:rPr>
                <w:rFonts w:ascii="Franklin Gothic Medium Cond" w:hAnsi="Franklin Gothic Medium Cond"/>
                <w:color w:val="231F20"/>
                <w:w w:val="105"/>
                <w:sz w:val="17"/>
              </w:rPr>
              <w:t xml:space="preserve">siting </w:t>
            </w:r>
            <w:r w:rsidRPr="00E14BAF">
              <w:rPr>
                <w:rFonts w:ascii="Franklin Gothic Medium Cond" w:hAnsi="Franklin Gothic Medium Cond"/>
                <w:color w:val="231F20"/>
                <w:spacing w:val="-5"/>
                <w:w w:val="105"/>
                <w:sz w:val="17"/>
              </w:rPr>
              <w:t>law</w:t>
            </w:r>
            <w:r>
              <w:rPr>
                <w:rFonts w:ascii="Franklin Gothic Medium Cond" w:hAnsi="Franklin Gothic Medium Cond"/>
                <w:color w:val="231F20"/>
                <w:spacing w:val="-5"/>
                <w:w w:val="105"/>
                <w:sz w:val="17"/>
              </w:rPr>
              <w:t>.  Requires</w:t>
            </w:r>
            <w:r w:rsidRPr="00E14BAF">
              <w:rPr>
                <w:rFonts w:ascii="Franklin Gothic Medium Cond" w:hAnsi="Franklin Gothic Medium Cond"/>
                <w:color w:val="231F20"/>
                <w:w w:val="105"/>
                <w:sz w:val="17"/>
              </w:rPr>
              <w:t xml:space="preserve"> a </w:t>
            </w:r>
            <w:r w:rsidRPr="00E14BAF">
              <w:rPr>
                <w:rFonts w:ascii="Franklin Gothic Medium Cond" w:hAnsi="Franklin Gothic Medium Cond"/>
                <w:color w:val="231F20"/>
                <w:spacing w:val="-3"/>
                <w:w w:val="105"/>
                <w:sz w:val="17"/>
              </w:rPr>
              <w:t xml:space="preserve">comprehensive </w:t>
            </w:r>
            <w:r w:rsidRPr="00E14BAF">
              <w:rPr>
                <w:rFonts w:ascii="Franklin Gothic Medium Cond" w:hAnsi="Franklin Gothic Medium Cond"/>
                <w:color w:val="231F20"/>
                <w:w w:val="105"/>
                <w:sz w:val="17"/>
              </w:rPr>
              <w:t xml:space="preserve">study to identify </w:t>
            </w:r>
            <w:r w:rsidRPr="00E14BAF">
              <w:rPr>
                <w:rFonts w:ascii="Franklin Gothic Medium Cond" w:hAnsi="Franklin Gothic Medium Cond"/>
                <w:color w:val="231F20"/>
                <w:spacing w:val="-3"/>
                <w:w w:val="105"/>
                <w:sz w:val="17"/>
              </w:rPr>
              <w:t xml:space="preserve">cost-effective </w:t>
            </w:r>
            <w:r w:rsidRPr="00E14BAF">
              <w:rPr>
                <w:rFonts w:ascii="Franklin Gothic Medium Cond" w:hAnsi="Franklin Gothic Medium Cond"/>
                <w:color w:val="231F20"/>
                <w:w w:val="105"/>
                <w:sz w:val="17"/>
              </w:rPr>
              <w:t xml:space="preserve">distribution, local and bulk electric system </w:t>
            </w:r>
            <w:r w:rsidRPr="00E14BAF">
              <w:rPr>
                <w:rFonts w:ascii="Franklin Gothic Medium Cond" w:hAnsi="Franklin Gothic Medium Cond"/>
                <w:color w:val="231F20"/>
                <w:spacing w:val="-3"/>
                <w:w w:val="105"/>
                <w:sz w:val="17"/>
              </w:rPr>
              <w:t xml:space="preserve">upgrades </w:t>
            </w:r>
            <w:r w:rsidRPr="00E14BAF">
              <w:rPr>
                <w:rFonts w:ascii="Franklin Gothic Medium Cond" w:hAnsi="Franklin Gothic Medium Cond"/>
                <w:color w:val="231F20"/>
                <w:w w:val="105"/>
                <w:sz w:val="17"/>
              </w:rPr>
              <w:t xml:space="preserve">to support </w:t>
            </w:r>
            <w:r w:rsidRPr="00E14BAF">
              <w:rPr>
                <w:rFonts w:ascii="Franklin Gothic Medium Cond" w:hAnsi="Franklin Gothic Medium Cond"/>
                <w:color w:val="231F20"/>
                <w:spacing w:val="-2"/>
                <w:w w:val="105"/>
                <w:sz w:val="17"/>
              </w:rPr>
              <w:t xml:space="preserve">the </w:t>
            </w:r>
            <w:r w:rsidRPr="00E14BAF">
              <w:rPr>
                <w:rFonts w:ascii="Franklin Gothic Medium Cond" w:hAnsi="Franklin Gothic Medium Cond"/>
                <w:color w:val="231F20"/>
                <w:spacing w:val="-3"/>
                <w:w w:val="105"/>
                <w:sz w:val="17"/>
              </w:rPr>
              <w:t xml:space="preserve">state's </w:t>
            </w:r>
            <w:r w:rsidRPr="00E14BAF">
              <w:rPr>
                <w:rFonts w:ascii="Franklin Gothic Medium Cond" w:hAnsi="Franklin Gothic Medium Cond"/>
                <w:color w:val="231F20"/>
                <w:w w:val="105"/>
                <w:sz w:val="17"/>
              </w:rPr>
              <w:t xml:space="preserve">climate goals, and </w:t>
            </w:r>
            <w:r>
              <w:rPr>
                <w:rFonts w:ascii="Franklin Gothic Medium Cond" w:hAnsi="Franklin Gothic Medium Cond"/>
                <w:color w:val="231F20"/>
                <w:w w:val="105"/>
                <w:sz w:val="17"/>
              </w:rPr>
              <w:t>filing of</w:t>
            </w:r>
          </w:p>
          <w:p w14:paraId="08CF8138" w14:textId="77777777" w:rsidR="006E7D43" w:rsidRPr="00E14BAF" w:rsidRDefault="006E7D43" w:rsidP="00CB42BE">
            <w:pPr>
              <w:pStyle w:val="TableParagraph"/>
              <w:spacing w:line="202" w:lineRule="exact"/>
              <w:rPr>
                <w:rFonts w:ascii="Franklin Gothic Medium Cond" w:hAnsi="Franklin Gothic Medium Cond"/>
                <w:sz w:val="17"/>
              </w:rPr>
            </w:pPr>
            <w:r w:rsidRPr="00E14BAF">
              <w:rPr>
                <w:rFonts w:ascii="Franklin Gothic Medium Cond" w:hAnsi="Franklin Gothic Medium Cond"/>
                <w:color w:val="231F20"/>
                <w:w w:val="105"/>
                <w:sz w:val="17"/>
              </w:rPr>
              <w:t>the study with the New York State</w:t>
            </w:r>
          </w:p>
          <w:p w14:paraId="1B9CF366" w14:textId="77777777" w:rsidR="006E7D43" w:rsidRPr="00E14BAF" w:rsidRDefault="006E7D43" w:rsidP="00CB42BE">
            <w:pPr>
              <w:pStyle w:val="TableParagraph"/>
              <w:spacing w:before="15"/>
              <w:rPr>
                <w:rFonts w:ascii="Franklin Gothic Medium Cond" w:hAnsi="Franklin Gothic Medium Cond"/>
                <w:sz w:val="17"/>
              </w:rPr>
            </w:pPr>
            <w:r w:rsidRPr="00E14BAF">
              <w:rPr>
                <w:rFonts w:ascii="Franklin Gothic Medium Cond" w:hAnsi="Franklin Gothic Medium Cond"/>
                <w:color w:val="231F20"/>
                <w:w w:val="105"/>
                <w:sz w:val="17"/>
              </w:rPr>
              <w:t>Public Service Commission</w:t>
            </w:r>
            <w:r>
              <w:rPr>
                <w:rFonts w:ascii="Franklin Gothic Medium Cond" w:hAnsi="Franklin Gothic Medium Cond"/>
                <w:color w:val="231F20"/>
                <w:w w:val="105"/>
                <w:sz w:val="17"/>
              </w:rPr>
              <w:t>.</w:t>
            </w:r>
          </w:p>
        </w:tc>
        <w:tc>
          <w:tcPr>
            <w:tcW w:w="2516" w:type="dxa"/>
            <w:tcBorders>
              <w:left w:val="single" w:sz="8" w:space="0" w:color="B8CCDC"/>
            </w:tcBorders>
          </w:tcPr>
          <w:p w14:paraId="6F32506A" w14:textId="77777777" w:rsidR="006E7D43" w:rsidRPr="00E14BAF" w:rsidRDefault="006E7D43" w:rsidP="00CB42BE">
            <w:pPr>
              <w:pStyle w:val="TableParagraph"/>
              <w:spacing w:before="79" w:line="259" w:lineRule="auto"/>
              <w:ind w:left="129" w:right="55"/>
              <w:rPr>
                <w:rFonts w:ascii="Franklin Gothic Medium Cond" w:hAnsi="Franklin Gothic Medium Cond"/>
                <w:sz w:val="17"/>
              </w:rPr>
            </w:pPr>
            <w:r w:rsidRPr="00E14BAF">
              <w:rPr>
                <w:rFonts w:ascii="Franklin Gothic Medium Cond" w:hAnsi="Franklin Gothic Medium Cond"/>
                <w:color w:val="231F20"/>
                <w:w w:val="105"/>
                <w:sz w:val="17"/>
              </w:rPr>
              <w:t>Intended</w:t>
            </w:r>
            <w:r w:rsidRPr="00E14BAF">
              <w:rPr>
                <w:rFonts w:ascii="Franklin Gothic Medium Cond" w:hAnsi="Franklin Gothic Medium Cond"/>
                <w:color w:val="231F20"/>
                <w:spacing w:val="-18"/>
                <w:w w:val="105"/>
                <w:sz w:val="17"/>
              </w:rPr>
              <w:t xml:space="preserve"> </w:t>
            </w:r>
            <w:r w:rsidRPr="00E14BAF">
              <w:rPr>
                <w:rFonts w:ascii="Franklin Gothic Medium Cond" w:hAnsi="Franklin Gothic Medium Cond"/>
                <w:color w:val="231F20"/>
                <w:w w:val="105"/>
                <w:sz w:val="17"/>
              </w:rPr>
              <w:t>to</w:t>
            </w:r>
            <w:r w:rsidRPr="00E14BAF">
              <w:rPr>
                <w:rFonts w:ascii="Franklin Gothic Medium Cond" w:hAnsi="Franklin Gothic Medium Cond"/>
                <w:color w:val="231F20"/>
                <w:spacing w:val="-18"/>
                <w:w w:val="105"/>
                <w:sz w:val="17"/>
              </w:rPr>
              <w:t xml:space="preserve"> </w:t>
            </w:r>
            <w:r w:rsidRPr="00E14BAF">
              <w:rPr>
                <w:rFonts w:ascii="Franklin Gothic Medium Cond" w:hAnsi="Franklin Gothic Medium Cond"/>
                <w:color w:val="231F20"/>
                <w:w w:val="105"/>
                <w:sz w:val="17"/>
              </w:rPr>
              <w:t>help</w:t>
            </w:r>
            <w:r w:rsidRPr="00E14BAF">
              <w:rPr>
                <w:rFonts w:ascii="Franklin Gothic Medium Cond" w:hAnsi="Franklin Gothic Medium Cond"/>
                <w:color w:val="231F20"/>
                <w:spacing w:val="-18"/>
                <w:w w:val="105"/>
                <w:sz w:val="17"/>
              </w:rPr>
              <w:t xml:space="preserve"> </w:t>
            </w:r>
            <w:r w:rsidRPr="00E14BAF">
              <w:rPr>
                <w:rFonts w:ascii="Franklin Gothic Medium Cond" w:hAnsi="Franklin Gothic Medium Cond"/>
                <w:b/>
                <w:color w:val="005981"/>
                <w:w w:val="105"/>
                <w:sz w:val="17"/>
              </w:rPr>
              <w:t>accelerate</w:t>
            </w:r>
            <w:r w:rsidRPr="00E14BAF">
              <w:rPr>
                <w:rFonts w:ascii="Franklin Gothic Medium Cond" w:hAnsi="Franklin Gothic Medium Cond"/>
                <w:b/>
                <w:color w:val="005981"/>
                <w:spacing w:val="-18"/>
                <w:w w:val="105"/>
                <w:sz w:val="17"/>
              </w:rPr>
              <w:t xml:space="preserve"> </w:t>
            </w:r>
            <w:r w:rsidRPr="00E14BAF">
              <w:rPr>
                <w:rFonts w:ascii="Franklin Gothic Medium Cond" w:hAnsi="Franklin Gothic Medium Cond"/>
                <w:b/>
                <w:color w:val="005981"/>
                <w:w w:val="105"/>
                <w:sz w:val="17"/>
              </w:rPr>
              <w:t>siting of eligible renewable resources</w:t>
            </w:r>
            <w:r w:rsidRPr="00E14BAF">
              <w:rPr>
                <w:rFonts w:ascii="Franklin Gothic Medium Cond" w:hAnsi="Franklin Gothic Medium Cond"/>
                <w:b/>
                <w:color w:val="231F20"/>
                <w:w w:val="105"/>
                <w:sz w:val="17"/>
              </w:rPr>
              <w:t xml:space="preserve"> </w:t>
            </w:r>
            <w:r w:rsidRPr="00E14BAF">
              <w:rPr>
                <w:rFonts w:ascii="Franklin Gothic Medium Cond" w:hAnsi="Franklin Gothic Medium Cond"/>
                <w:color w:val="231F20"/>
                <w:w w:val="105"/>
                <w:sz w:val="17"/>
              </w:rPr>
              <w:t>in support of state policy goals. Intended to establish new transmission</w:t>
            </w:r>
            <w:r w:rsidRPr="00E14BAF">
              <w:rPr>
                <w:rFonts w:ascii="Franklin Gothic Medium Cond" w:hAnsi="Franklin Gothic Medium Cond"/>
                <w:color w:val="231F20"/>
                <w:spacing w:val="-29"/>
                <w:w w:val="105"/>
                <w:sz w:val="17"/>
              </w:rPr>
              <w:t xml:space="preserve"> </w:t>
            </w:r>
            <w:r w:rsidRPr="00E14BAF">
              <w:rPr>
                <w:rFonts w:ascii="Franklin Gothic Medium Cond" w:hAnsi="Franklin Gothic Medium Cond"/>
                <w:color w:val="231F20"/>
                <w:w w:val="105"/>
                <w:sz w:val="17"/>
              </w:rPr>
              <w:t>investment</w:t>
            </w:r>
            <w:r w:rsidRPr="00E14BAF">
              <w:rPr>
                <w:rFonts w:ascii="Franklin Gothic Medium Cond" w:hAnsi="Franklin Gothic Medium Cond"/>
                <w:color w:val="231F20"/>
                <w:spacing w:val="-28"/>
                <w:w w:val="105"/>
                <w:sz w:val="17"/>
              </w:rPr>
              <w:t xml:space="preserve"> </w:t>
            </w:r>
            <w:r w:rsidRPr="00E14BAF">
              <w:rPr>
                <w:rFonts w:ascii="Franklin Gothic Medium Cond" w:hAnsi="Franklin Gothic Medium Cond"/>
                <w:color w:val="231F20"/>
                <w:spacing w:val="-3"/>
                <w:w w:val="105"/>
                <w:sz w:val="17"/>
              </w:rPr>
              <w:t xml:space="preserve">priorities </w:t>
            </w:r>
            <w:r w:rsidRPr="00E14BAF">
              <w:rPr>
                <w:rFonts w:ascii="Franklin Gothic Medium Cond" w:hAnsi="Franklin Gothic Medium Cond"/>
                <w:color w:val="231F20"/>
                <w:w w:val="105"/>
                <w:sz w:val="17"/>
              </w:rPr>
              <w:t>to facilitate the achievement of state</w:t>
            </w:r>
            <w:r w:rsidRPr="00E14BAF">
              <w:rPr>
                <w:rFonts w:ascii="Franklin Gothic Medium Cond" w:hAnsi="Franklin Gothic Medium Cond"/>
                <w:color w:val="231F20"/>
                <w:spacing w:val="-4"/>
                <w:w w:val="105"/>
                <w:sz w:val="17"/>
              </w:rPr>
              <w:t xml:space="preserve"> </w:t>
            </w:r>
            <w:r w:rsidRPr="00E14BAF">
              <w:rPr>
                <w:rFonts w:ascii="Franklin Gothic Medium Cond" w:hAnsi="Franklin Gothic Medium Cond"/>
                <w:color w:val="231F20"/>
                <w:w w:val="105"/>
                <w:sz w:val="17"/>
              </w:rPr>
              <w:t>policies</w:t>
            </w:r>
          </w:p>
        </w:tc>
      </w:tr>
    </w:tbl>
    <w:p w14:paraId="4080581D" w14:textId="77777777" w:rsidR="006E7D43" w:rsidRPr="00833BEC" w:rsidRDefault="006E7D43" w:rsidP="006E7D43"/>
    <w:p w14:paraId="16C13A09" w14:textId="77777777" w:rsidR="006E7D43" w:rsidRPr="0087391A" w:rsidRDefault="006E7D43" w:rsidP="006E7D43">
      <w:pPr>
        <w:pStyle w:val="Heading2"/>
      </w:pPr>
      <w:bookmarkStart w:id="17" w:name="_Toc48252275"/>
      <w:r w:rsidRPr="0087391A">
        <w:t>Climate Leadership and Community Protection Act (CLCPA)</w:t>
      </w:r>
      <w:bookmarkEnd w:id="17"/>
    </w:p>
    <w:p w14:paraId="0DDC3B85" w14:textId="77777777" w:rsidR="006E7D43" w:rsidRPr="00B00EAE" w:rsidRDefault="006E7D43" w:rsidP="006E7D43">
      <w:pPr>
        <w:pStyle w:val="BodyText"/>
      </w:pPr>
      <w:r>
        <w:t>On July 18, 2019, the Climate Leadership and Community Protection Act (CLCPA)</w:t>
      </w:r>
      <w:r w:rsidRPr="009F0F7E">
        <w:t xml:space="preserve"> </w:t>
      </w:r>
      <w:r>
        <w:t>was signed into law, codifying the following measures:</w:t>
      </w:r>
    </w:p>
    <w:p w14:paraId="54E42565" w14:textId="77777777" w:rsidR="006E7D43" w:rsidRPr="00B00EAE" w:rsidRDefault="006E7D43" w:rsidP="006E7D43">
      <w:pPr>
        <w:pStyle w:val="BodyText"/>
        <w:numPr>
          <w:ilvl w:val="0"/>
          <w:numId w:val="43"/>
        </w:numPr>
        <w:spacing w:line="276" w:lineRule="auto"/>
      </w:pPr>
      <w:r w:rsidRPr="00B00EAE">
        <w:t xml:space="preserve">70% of electricity </w:t>
      </w:r>
      <w:r w:rsidRPr="009F0F7E">
        <w:t>delivered</w:t>
      </w:r>
      <w:r w:rsidRPr="00B00EAE">
        <w:t xml:space="preserve"> in New York State must be derived from renewable resources by 2030</w:t>
      </w:r>
      <w:r>
        <w:t>;</w:t>
      </w:r>
    </w:p>
    <w:p w14:paraId="4F7B89DA" w14:textId="77777777" w:rsidR="006E7D43" w:rsidRPr="00B00EAE" w:rsidRDefault="006E7D43" w:rsidP="006E7D43">
      <w:pPr>
        <w:pStyle w:val="BodyText"/>
        <w:numPr>
          <w:ilvl w:val="0"/>
          <w:numId w:val="43"/>
        </w:numPr>
        <w:spacing w:line="276" w:lineRule="auto"/>
      </w:pPr>
      <w:r w:rsidRPr="00B00EAE">
        <w:t xml:space="preserve">100% of the electricity </w:t>
      </w:r>
      <w:r w:rsidRPr="009F0F7E">
        <w:t>consumed</w:t>
      </w:r>
      <w:r w:rsidRPr="00B00EAE">
        <w:t xml:space="preserve"> in New York State must be derived from zero-emissions resources by 2040</w:t>
      </w:r>
      <w:r>
        <w:t>;</w:t>
      </w:r>
    </w:p>
    <w:p w14:paraId="51645B31" w14:textId="77777777" w:rsidR="006E7D43" w:rsidRPr="00B00EAE" w:rsidRDefault="006E7D43" w:rsidP="006E7D43">
      <w:pPr>
        <w:pStyle w:val="BodyText"/>
        <w:numPr>
          <w:ilvl w:val="0"/>
          <w:numId w:val="43"/>
        </w:numPr>
        <w:spacing w:line="276" w:lineRule="auto"/>
      </w:pPr>
      <w:r w:rsidRPr="00B00EAE">
        <w:t>9,000 MW of offshore wind installed by 2035</w:t>
      </w:r>
      <w:r>
        <w:t>;</w:t>
      </w:r>
    </w:p>
    <w:p w14:paraId="120B4F54" w14:textId="77777777" w:rsidR="006E7D43" w:rsidRPr="00B00EAE" w:rsidRDefault="006E7D43" w:rsidP="006E7D43">
      <w:pPr>
        <w:pStyle w:val="BodyText"/>
        <w:numPr>
          <w:ilvl w:val="0"/>
          <w:numId w:val="43"/>
        </w:numPr>
        <w:spacing w:line="276" w:lineRule="auto"/>
      </w:pPr>
      <w:r w:rsidRPr="00B00EAE">
        <w:t xml:space="preserve">6,000 MW of distributed solar </w:t>
      </w:r>
      <w:r w:rsidRPr="00B00EAE" w:rsidDel="005806D4">
        <w:t xml:space="preserve">energy resources </w:t>
      </w:r>
      <w:r w:rsidRPr="00B00EAE">
        <w:t>installed by 2025</w:t>
      </w:r>
      <w:r>
        <w:t>; and</w:t>
      </w:r>
    </w:p>
    <w:p w14:paraId="56EF0BE7" w14:textId="77777777" w:rsidR="006E7D43" w:rsidRPr="00B00EAE" w:rsidRDefault="006E7D43" w:rsidP="006E7D43">
      <w:pPr>
        <w:pStyle w:val="BodyText"/>
        <w:numPr>
          <w:ilvl w:val="0"/>
          <w:numId w:val="43"/>
        </w:numPr>
        <w:spacing w:line="276" w:lineRule="auto"/>
      </w:pPr>
      <w:r w:rsidRPr="00B00EAE">
        <w:t>3,000 MW of energy storage installed by 2030</w:t>
      </w:r>
      <w:r>
        <w:t>.</w:t>
      </w:r>
    </w:p>
    <w:p w14:paraId="2BA87436" w14:textId="77777777" w:rsidR="006E7D43" w:rsidRPr="00B00EAE" w:rsidRDefault="006E7D43" w:rsidP="006E7D43">
      <w:pPr>
        <w:pStyle w:val="BodyText"/>
        <w:ind w:firstLine="720"/>
      </w:pPr>
      <w:r>
        <w:t>The CLCPA created a 22-member Climate Action Council (CAC) to establish a roadmap for how the state will work towards these goals. The CAC will develop many of the implementation details of the CLCPA.  The CLCPA establishes that the CAC should develop a draft scoping plan by the end of 2022 and deliver a final plan to the Governor and the Legislature by the end of 2023.</w:t>
      </w:r>
    </w:p>
    <w:p w14:paraId="787F068B" w14:textId="77777777" w:rsidR="006E7D43" w:rsidRPr="0087391A" w:rsidRDefault="006E7D43" w:rsidP="006E7D43">
      <w:pPr>
        <w:pStyle w:val="Heading2"/>
      </w:pPr>
      <w:bookmarkStart w:id="18" w:name="_Toc48252276"/>
      <w:r w:rsidRPr="0087391A">
        <w:t>Indian Point Deactivation</w:t>
      </w:r>
      <w:bookmarkEnd w:id="18"/>
    </w:p>
    <w:p w14:paraId="3C2AF4EA" w14:textId="77777777" w:rsidR="006E7D43" w:rsidRDefault="006E7D43" w:rsidP="006E7D43">
      <w:pPr>
        <w:pStyle w:val="BodyText"/>
        <w:spacing w:after="200"/>
        <w:rPr>
          <w:rStyle w:val="EndnoteReference"/>
          <w:rFonts w:ascii="Calibri" w:hAnsi="Calibri" w:cs="Calibri"/>
        </w:rPr>
      </w:pPr>
      <w:r>
        <w:t>On January 9, 2017, Entergy and New York State announced an agreement to close Indian Point units 2 and 3 in 2020 and 2021, respectively. Following receipt of a deactivation notice from Entergy on November 13, 2017, the NYISO evaluated the proposed deactivation as part of the required generator deactivation assessments it performs for proposed generator retirements. In its analysis, the NYISO assumed that certain power plants then under construction would enter into service. Based on the study’s assumptions, the NYISO concluded that the proposed Indian Point deactivation did not result in a Reliability Need. Subsequent reliability planning studies have not altered this outlook. Additional resources identified in the assessment have entered into service and, on April 30, 2020, Indian Point unit 2 deactivated. The NYISO anticipates that Indian Point unit 3 will deactivate by April 30, 2021 without causing a Reliability Need.</w:t>
      </w:r>
    </w:p>
    <w:p w14:paraId="57027692" w14:textId="77777777" w:rsidR="006E7D43" w:rsidRPr="00535DEB" w:rsidRDefault="006E7D43" w:rsidP="006E7D43">
      <w:pPr>
        <w:pStyle w:val="Heading2"/>
      </w:pPr>
      <w:bookmarkStart w:id="19" w:name="_Toc48252277"/>
      <w:r w:rsidRPr="00535DEB">
        <w:lastRenderedPageBreak/>
        <w:t>Peaker Rule: Ozone Season Oxides of Nitrogen (NO</w:t>
      </w:r>
      <w:r w:rsidRPr="00E22BC6">
        <w:rPr>
          <w:vertAlign w:val="subscript"/>
        </w:rPr>
        <w:t>x</w:t>
      </w:r>
      <w:r w:rsidRPr="00535DEB">
        <w:t>) Emission Limits for Simple Cycle and Regenerative Combustion Turbines</w:t>
      </w:r>
      <w:bookmarkEnd w:id="19"/>
      <w:r w:rsidRPr="00535DEB">
        <w:t xml:space="preserve"> </w:t>
      </w:r>
    </w:p>
    <w:p w14:paraId="148B9669" w14:textId="77777777" w:rsidR="006E7D43" w:rsidRPr="00D21287" w:rsidRDefault="006E7D43" w:rsidP="006E7D43">
      <w:pPr>
        <w:pStyle w:val="BodyText"/>
      </w:pPr>
      <w:r w:rsidRPr="00D21287">
        <w:t xml:space="preserve">In </w:t>
      </w:r>
      <w:r>
        <w:t>December</w:t>
      </w:r>
      <w:r w:rsidRPr="00D21287">
        <w:t xml:space="preserve"> 2019, the DEC </w:t>
      </w:r>
      <w:r>
        <w:t xml:space="preserve">issued </w:t>
      </w:r>
      <w:r w:rsidRPr="00D21287">
        <w:t xml:space="preserve">requirements to reduce emissions of smog-forming pollutants from peaking </w:t>
      </w:r>
      <w:r>
        <w:t xml:space="preserve">generation </w:t>
      </w:r>
      <w:r w:rsidRPr="00D21287">
        <w:t xml:space="preserve">units. </w:t>
      </w:r>
    </w:p>
    <w:p w14:paraId="4A15E5AD" w14:textId="77777777" w:rsidR="006E7D43" w:rsidRDefault="006E7D43" w:rsidP="006E7D43">
      <w:pPr>
        <w:pStyle w:val="BodyText"/>
        <w:rPr>
          <w:rFonts w:ascii="Calibri" w:hAnsi="Calibri" w:cs="Calibri"/>
        </w:rPr>
      </w:pPr>
      <w:r>
        <w:t xml:space="preserve">Combustion turbines known as </w:t>
      </w:r>
      <w:r w:rsidRPr="00D21287">
        <w:t>“</w:t>
      </w:r>
      <w:r>
        <w:t>p</w:t>
      </w:r>
      <w:r w:rsidRPr="00D21287">
        <w:t xml:space="preserve">eakers” typically operate to maintain bulk power system reliability during the most stressful </w:t>
      </w:r>
      <w:r>
        <w:t xml:space="preserve">operating </w:t>
      </w:r>
      <w:r w:rsidRPr="00D21287">
        <w:t xml:space="preserve">conditions, such as periods of </w:t>
      </w:r>
      <w:r>
        <w:t xml:space="preserve">peak electricity </w:t>
      </w:r>
      <w:r w:rsidRPr="00D21287">
        <w:t>demand. Many of these units also maintain transmission security</w:t>
      </w:r>
      <w:r>
        <w:t xml:space="preserve"> by supplying energy with</w:t>
      </w:r>
      <w:r w:rsidRPr="00D21287">
        <w:t xml:space="preserve">in certain </w:t>
      </w:r>
      <w:r>
        <w:t>areas</w:t>
      </w:r>
      <w:r w:rsidRPr="00D21287">
        <w:t xml:space="preserve"> of New York City and Long Island — known as load pockets. Load pockets represent transmission-constrained geographic areas where </w:t>
      </w:r>
      <w:r>
        <w:t>electrical demand</w:t>
      </w:r>
      <w:r w:rsidRPr="00D21287">
        <w:t xml:space="preserve"> can only be served by local generators due to transmission limitations during certain </w:t>
      </w:r>
      <w:r>
        <w:t xml:space="preserve">operational </w:t>
      </w:r>
      <w:r w:rsidRPr="00D21287">
        <w:t xml:space="preserve">conditions. </w:t>
      </w:r>
    </w:p>
    <w:p w14:paraId="45190C24" w14:textId="77777777" w:rsidR="006E7D43" w:rsidRDefault="006E7D43" w:rsidP="006E7D43">
      <w:pPr>
        <w:pStyle w:val="BodyText"/>
        <w:spacing w:after="200"/>
      </w:pPr>
      <w:r>
        <w:t>The Peaker Rule</w:t>
      </w:r>
      <w:r>
        <w:rPr>
          <w:rStyle w:val="FootnoteReference"/>
        </w:rPr>
        <w:footnoteReference w:id="4"/>
      </w:r>
      <w:r>
        <w:t xml:space="preserve">, which phases in compliance obligations between 2023 and 2025, will impact approximately 3,300 MW of simple-cycle turbines located mainly in the lower Hudson Valley, New York City and Long Island. The rule required peaking unit owners to submit compliance plans to the DEC in March 2020. These generator compliance plans informed the </w:t>
      </w:r>
      <w:r w:rsidRPr="009B724F">
        <w:rPr>
          <w:iCs/>
        </w:rPr>
        <w:t>NYISO’s</w:t>
      </w:r>
      <w:r>
        <w:rPr>
          <w:iCs/>
        </w:rPr>
        <w:t xml:space="preserve"> </w:t>
      </w:r>
      <w:r>
        <w:rPr>
          <w:i/>
          <w:iCs/>
        </w:rPr>
        <w:t xml:space="preserve">2020 Reliability Needs Assessment </w:t>
      </w:r>
      <w:r>
        <w:t>(RNA) base case assumptions for years 2024-2030.  The proposed plans are also being examined in the NYISO Short-Term Reliability Process for the years 2021-2025.  The rule provides a phased reduction in emission limits, in 2023 and 2025, during the ozone season (May 1-September 30) and allows several options for achieving compliance with the new lower limits applicable during the ozone season.  Compliance plans submitted to the NYSDEC were provided to the NYISO for assessment and inclusion in the base case.  Review of the plans indicated approximately 1,800 MW had proposed to modify their availability to comply with the emissions standards through various approaches over a phased timeline.  Remaining units stated either that they comply with the emission limits as currently operated, or proposed equipment upgrades to achieve the emissions limits.  The figure below shows the resulting availability pattern modeled in the RNA Base Case incorporating the information contained within the submitted compliance plans for the units that submitted compliance plans resulting in a change in their availability to operate.</w:t>
      </w:r>
    </w:p>
    <w:p w14:paraId="6CF3A94D" w14:textId="77777777" w:rsidR="006E7D43" w:rsidRDefault="006E7D43" w:rsidP="006E7D43">
      <w:pPr>
        <w:pStyle w:val="BodyText"/>
        <w:spacing w:after="200"/>
      </w:pPr>
      <w:r>
        <w:t xml:space="preserve">The regulations include a provision to allow an affected generator to continue to operate up to two years, with a possible further two-year extension, after the compliance deadline if the generator is designated by the NYISO or the local transmission owner as needed to resolve a reliability need until a permanent solution is in place.  </w:t>
      </w:r>
    </w:p>
    <w:p w14:paraId="5AB2E236" w14:textId="77777777" w:rsidR="006E7D43" w:rsidRPr="0087391A" w:rsidRDefault="006E7D43" w:rsidP="006E7D43">
      <w:pPr>
        <w:pStyle w:val="Heading2"/>
      </w:pPr>
      <w:bookmarkStart w:id="20" w:name="_Toc48252278"/>
      <w:r w:rsidRPr="0087391A">
        <w:lastRenderedPageBreak/>
        <w:t>New York City Residual Oil Elimination</w:t>
      </w:r>
      <w:bookmarkEnd w:id="20"/>
    </w:p>
    <w:p w14:paraId="1B9D198C" w14:textId="77777777" w:rsidR="006E7D43" w:rsidRDefault="006E7D43" w:rsidP="006E7D43">
      <w:pPr>
        <w:pStyle w:val="BodyText"/>
        <w:spacing w:after="200"/>
      </w:pPr>
      <w:r w:rsidRPr="00F1724F">
        <w:t>New York City passed legislation in December 2017 t</w:t>
      </w:r>
      <w:r>
        <w:t>o</w:t>
      </w:r>
      <w:r w:rsidRPr="00F1724F">
        <w:t xml:space="preserve"> prohibit the combustion of fuel oil Numbers 6 and 4 within utility boilers in New York City by 2020 and 2025, respectively.</w:t>
      </w:r>
      <w:r w:rsidRPr="00D21287">
        <w:rPr>
          <w:b/>
        </w:rPr>
        <w:t xml:space="preserve"> </w:t>
      </w:r>
      <w:r>
        <w:t xml:space="preserve">The rule is expected to impact 2,946 MW Nameplate of generation in New York City. Many Generators in New York City that are connected to the local gas distribution network are required to maintain alternative fuel combustion capabilities and storage capacity. </w:t>
      </w:r>
    </w:p>
    <w:p w14:paraId="74E9C0DC" w14:textId="77777777" w:rsidR="006E7D43" w:rsidRDefault="006E7D43" w:rsidP="006E7D43">
      <w:pPr>
        <w:pStyle w:val="BodyText"/>
        <w:spacing w:after="200"/>
      </w:pPr>
      <w:r>
        <w:t xml:space="preserve">In addition, the New York State Reliability Council (NYSRC) has a minimum oil-burn requirement rule that is intended to maintain electric system reliability in the event of gas supply interruptions. </w:t>
      </w:r>
    </w:p>
    <w:p w14:paraId="4698B02F" w14:textId="77777777" w:rsidR="006E7D43" w:rsidRDefault="006E7D43" w:rsidP="006E7D43">
      <w:pPr>
        <w:pStyle w:val="BodyText"/>
        <w:spacing w:before="240" w:after="0"/>
      </w:pPr>
      <w:r>
        <w:t>Generators have taken steps to convert their facilities to comply with the law. While oil accounts for a relatively small percentage of the total energy production in New York State, it is often called upon to fuel generation during critical periods, such as when severe cold weather limits access to or increases the price of natural gas.</w:t>
      </w:r>
      <w:r w:rsidRPr="00CE70FC">
        <w:t xml:space="preserve"> Dual-fuel capability serves as both an important tool in meeting reliability and an effective economic hedge against high natural gas prices during periods of high demand for natural gas. </w:t>
      </w:r>
    </w:p>
    <w:p w14:paraId="6AABC314" w14:textId="77777777" w:rsidR="006E7D43" w:rsidRPr="0087391A" w:rsidRDefault="006E7D43" w:rsidP="006E7D43">
      <w:pPr>
        <w:pStyle w:val="Heading2"/>
      </w:pPr>
      <w:bookmarkStart w:id="21" w:name="_Toc48252279"/>
      <w:r w:rsidRPr="0087391A">
        <w:t>Carbon Dioxide Performance Standards for Major Electric Generating Facilities</w:t>
      </w:r>
      <w:bookmarkEnd w:id="21"/>
    </w:p>
    <w:p w14:paraId="5A67C575" w14:textId="77777777" w:rsidR="006E7D43" w:rsidRDefault="006E7D43" w:rsidP="006E7D43">
      <w:pPr>
        <w:pStyle w:val="BodyText"/>
        <w:spacing w:after="0"/>
      </w:pPr>
      <w:r w:rsidRPr="00F1724F">
        <w:t>The DEC</w:t>
      </w:r>
      <w:r>
        <w:t xml:space="preserve"> adopted regulations </w:t>
      </w:r>
      <w:r w:rsidRPr="00F1724F">
        <w:t xml:space="preserve">that limit carbon dioxide emissions from </w:t>
      </w:r>
      <w:r>
        <w:t xml:space="preserve">existing </w:t>
      </w:r>
      <w:r w:rsidRPr="00F1724F">
        <w:t>fossil fuel-fired generators</w:t>
      </w:r>
      <w:r>
        <w:t xml:space="preserve"> beginning in 2021</w:t>
      </w:r>
      <w:r w:rsidRPr="00D21287">
        <w:rPr>
          <w:b/>
        </w:rPr>
        <w:t>.</w:t>
      </w:r>
      <w:r>
        <w:rPr>
          <w:color w:val="404041"/>
        </w:rPr>
        <w:t xml:space="preserve"> </w:t>
      </w:r>
      <w:r w:rsidRPr="005B0220">
        <w:t xml:space="preserve">As a result, </w:t>
      </w:r>
      <w:r>
        <w:t xml:space="preserve">approximately 860 MW of coal-fired generation exited the market by April 2020, eliminating coal-fired generation as a supply resource on the bulk power system in the state. New York’s coal-fired generation accounted for less than </w:t>
      </w:r>
      <w:r w:rsidRPr="001C59D0">
        <w:t>1%</w:t>
      </w:r>
      <w:r>
        <w:t xml:space="preserve"> of the total energy produced in the state in 2019. The NYISO assessed these deactivations and concluded</w:t>
      </w:r>
      <w:r>
        <w:rPr>
          <w:rStyle w:val="FootnoteReference"/>
        </w:rPr>
        <w:footnoteReference w:id="5"/>
      </w:r>
      <w:r>
        <w:t xml:space="preserve"> that they would not result in reliability needs. </w:t>
      </w:r>
    </w:p>
    <w:p w14:paraId="5A0F089F" w14:textId="77777777" w:rsidR="006E7D43" w:rsidRPr="0087391A" w:rsidRDefault="006E7D43" w:rsidP="006E7D43">
      <w:pPr>
        <w:pStyle w:val="Heading2"/>
      </w:pPr>
      <w:bookmarkStart w:id="22" w:name="_Toc48252280"/>
      <w:r w:rsidRPr="0087391A">
        <w:t>Regional Greenhouse Gas Initiative (RGGI)</w:t>
      </w:r>
      <w:bookmarkEnd w:id="22"/>
    </w:p>
    <w:p w14:paraId="0DCAA3EA" w14:textId="77777777" w:rsidR="006E7D43" w:rsidRPr="00D21287" w:rsidRDefault="006E7D43" w:rsidP="006E7D43">
      <w:pPr>
        <w:pStyle w:val="BodyText"/>
      </w:pPr>
      <w:r w:rsidRPr="009C4A29">
        <w:t xml:space="preserve">RGGI is a multi-state carbon dioxide emissions cap-and-trade initiative requiring affected fossil fuel generators to procure carbon dioxide emissions allowances. </w:t>
      </w:r>
      <w:r>
        <w:t xml:space="preserve">The costs for these allowances are factored into the costs of operating fossil fuel-fired generators.  Suppliers seek to recover these costs through competitive offers in the wholesale electricity markets. Through this initiative, each participating state determines a set number of allowances, the majority of which are collectively auctioned to generators or other stakeholders. The level of available allowances is established in advance and lowered over time to </w:t>
      </w:r>
      <w:r>
        <w:lastRenderedPageBreak/>
        <w:t xml:space="preserve">encourage generators to invest in emissions reduction strategies. </w:t>
      </w:r>
    </w:p>
    <w:p w14:paraId="31FF0DEB" w14:textId="77777777" w:rsidR="006E7D43" w:rsidRDefault="006E7D43" w:rsidP="006E7D43">
      <w:pPr>
        <w:pStyle w:val="BodyText"/>
      </w:pPr>
      <w:r w:rsidRPr="00A903D3">
        <w:t>The New York State DEC issued proposed RGGI regulations that would cap New York’s carbon dioxide emissions at approximately 21 million tons by 2030.</w:t>
      </w:r>
      <w:r>
        <w:rPr>
          <w:rStyle w:val="FootnoteReference"/>
        </w:rPr>
        <w:footnoteReference w:id="6"/>
      </w:r>
      <w:r w:rsidRPr="00A903D3">
        <w:t xml:space="preserve"> In 2019, New York generators emitted approximately 24.6 million tons of carbon dioxide. The proposed rule seeks to expand applicability to </w:t>
      </w:r>
      <w:r>
        <w:t xml:space="preserve">certain </w:t>
      </w:r>
      <w:r w:rsidRPr="00A903D3">
        <w:t>generators of 15 MW or greater, whereas currently RGGI rules do not apply to generators less than 25 MW</w:t>
      </w:r>
      <w:r>
        <w:t xml:space="preserve"> nameplate</w:t>
      </w:r>
      <w:r w:rsidRPr="00A903D3">
        <w:t xml:space="preserve">. </w:t>
      </w:r>
      <w:r>
        <w:t>New Jersey re-joined the initiative in 2020,Virginia will be joining in 2021, and Pennsylvania has pending legislation to join RGGI .</w:t>
      </w:r>
      <w:r w:rsidDel="007841E8">
        <w:t xml:space="preserve"> </w:t>
      </w:r>
      <w:r>
        <w:t>The expansion of the RGGI region and anticipated changes to program design features may affect the dynamics of CO</w:t>
      </w:r>
      <w:r w:rsidRPr="00DD64EF">
        <w:rPr>
          <w:vertAlign w:val="subscript"/>
        </w:rPr>
        <w:t>2</w:t>
      </w:r>
      <w:r>
        <w:t xml:space="preserve"> emission allowance costs and availability going forward.  Tighter requirements through RGGI, however, are not likely to trigger reliability concerns because of program design features such as the Cost Containment Reserve and multi-year compliance periods.</w:t>
      </w:r>
    </w:p>
    <w:p w14:paraId="20C5B5E8" w14:textId="77777777" w:rsidR="006E7D43" w:rsidRPr="00050202" w:rsidRDefault="006E7D43" w:rsidP="006E7D43">
      <w:pPr>
        <w:pStyle w:val="Heading2"/>
      </w:pPr>
      <w:bookmarkStart w:id="23" w:name="_Toc48252281"/>
      <w:r w:rsidRPr="00050202">
        <w:t>NYS Accelerated Renewable Energy Growth and Community Benefit Act</w:t>
      </w:r>
      <w:bookmarkEnd w:id="23"/>
      <w:r w:rsidRPr="00050202">
        <w:t xml:space="preserve"> </w:t>
      </w:r>
    </w:p>
    <w:p w14:paraId="5BE04E56" w14:textId="77777777" w:rsidR="006E7D43" w:rsidRPr="00A922F4" w:rsidDel="00A922F4" w:rsidRDefault="006E7D43" w:rsidP="006E7D43">
      <w:pPr>
        <w:pStyle w:val="BodyText"/>
      </w:pPr>
      <w:r>
        <w:t xml:space="preserve">In an effort to speed up the siting and construction of large-scale clean energy projects, the state approved the Accelerated Renewable Energy Growth and Community Benefit Act in April 2020.  </w:t>
      </w:r>
      <w:r w:rsidRPr="003F0B54">
        <w:t xml:space="preserve">The </w:t>
      </w:r>
      <w:r>
        <w:t>a</w:t>
      </w:r>
      <w:r w:rsidRPr="003F0B54">
        <w:t>ct provide</w:t>
      </w:r>
      <w:r>
        <w:t>s</w:t>
      </w:r>
      <w:r w:rsidRPr="003F0B54">
        <w:t xml:space="preserve"> an accelerated path for permitting and construct</w:t>
      </w:r>
      <w:r>
        <w:t>ing</w:t>
      </w:r>
      <w:r w:rsidRPr="003F0B54">
        <w:t xml:space="preserve"> renewable energy projects </w:t>
      </w:r>
      <w:r>
        <w:t>by establishing</w:t>
      </w:r>
      <w:r w:rsidRPr="003F0B54">
        <w:t xml:space="preserve"> a new Office of Renewable Energy Siting (ORES) </w:t>
      </w:r>
      <w:r>
        <w:t xml:space="preserve">within the New York State </w:t>
      </w:r>
      <w:r w:rsidRPr="003F0B54">
        <w:t>Department of State</w:t>
      </w:r>
      <w:r>
        <w:t>.</w:t>
      </w:r>
    </w:p>
    <w:p w14:paraId="776AFD59" w14:textId="53B07690" w:rsidR="006E7D43" w:rsidRDefault="006E7D43" w:rsidP="00504886">
      <w:pPr>
        <w:pStyle w:val="BodyText"/>
      </w:pPr>
      <w:r w:rsidRPr="00ED0A0C">
        <w:t xml:space="preserve">The act also directs </w:t>
      </w:r>
      <w:r>
        <w:t>the New York State Department of Public Service</w:t>
      </w:r>
      <w:r w:rsidRPr="003F0B54">
        <w:t xml:space="preserve">, in consultation with </w:t>
      </w:r>
      <w:r>
        <w:t xml:space="preserve">NYSERDA, </w:t>
      </w:r>
      <w:r w:rsidRPr="003F0B54">
        <w:t>the New York Power Authority</w:t>
      </w:r>
      <w:r>
        <w:t xml:space="preserve"> (NYPA)</w:t>
      </w:r>
      <w:r w:rsidRPr="003F0B54">
        <w:t>, the Long Island Power Authority,</w:t>
      </w:r>
      <w:r>
        <w:t xml:space="preserve"> the investor-owned utilities, </w:t>
      </w:r>
      <w:r w:rsidRPr="003F0B54">
        <w:t>and the NYISO, to conduct a comprehensive study to identify cost-effective distribution, local and bulk electric system upgrades</w:t>
      </w:r>
      <w:r>
        <w:t xml:space="preserve"> to support the state’s climate and clean energy policies.  This study is targeted to be completed by end of 2020. The PSC has commenced a proceeding leading to a transmission investment plan utilizing the NYISO’s Public Policy Process to select projects, while enabling the PSC to designate NYPA, either on its own or with others, to carry out projects needed expeditiously to achieve CLCPA goals.</w:t>
      </w:r>
      <w:r>
        <w:rPr>
          <w:rStyle w:val="FootnoteReference"/>
        </w:rPr>
        <w:footnoteReference w:id="7"/>
      </w:r>
      <w:r>
        <w:t xml:space="preserve">  NYPA and DPS Staff have petitioned the PSC proposing criteria for ranking transmission needs to qualify as Priority Projects and proposing the “Northern NY Project” and the “Western NY Energy Link” as meeting these criteria.</w:t>
      </w:r>
      <w:r>
        <w:rPr>
          <w:rStyle w:val="FootnoteReference"/>
        </w:rPr>
        <w:footnoteReference w:id="8"/>
      </w:r>
      <w:r>
        <w:t xml:space="preserve">  It is not expected that the new Renewable Energy Law will have an imp</w:t>
      </w:r>
      <w:r w:rsidR="00504886">
        <w:t>act for the next several years.</w:t>
      </w:r>
    </w:p>
    <w:p w14:paraId="5E863DA9" w14:textId="77777777" w:rsidR="006E7D43" w:rsidRPr="00CC1CC8" w:rsidRDefault="006E7D43" w:rsidP="006E7D43">
      <w:pPr>
        <w:jc w:val="both"/>
        <w:rPr>
          <w:rFonts w:ascii="Franklin Gothic Demi Cond" w:hAnsi="Franklin Gothic Demi Cond" w:cs="Calibri"/>
          <w:color w:val="000000" w:themeColor="text1"/>
          <w:szCs w:val="20"/>
        </w:rPr>
      </w:pPr>
      <w:r>
        <w:br w:type="page"/>
      </w:r>
    </w:p>
    <w:p w14:paraId="085E4CD2" w14:textId="2F794DF5" w:rsidR="0084324A" w:rsidRDefault="0084324A" w:rsidP="00A8579E">
      <w:pPr>
        <w:pStyle w:val="Heading1"/>
        <w:numPr>
          <w:ilvl w:val="0"/>
          <w:numId w:val="36"/>
        </w:numPr>
      </w:pPr>
      <w:bookmarkStart w:id="24" w:name="_Toc48252282"/>
      <w:r>
        <w:lastRenderedPageBreak/>
        <w:t xml:space="preserve">Base </w:t>
      </w:r>
      <w:r w:rsidRPr="003571BA">
        <w:t>Case</w:t>
      </w:r>
      <w:r>
        <w:t xml:space="preserve"> Assumptions</w:t>
      </w:r>
      <w:bookmarkEnd w:id="15"/>
      <w:bookmarkEnd w:id="24"/>
      <w:r>
        <w:t xml:space="preserve"> </w:t>
      </w:r>
    </w:p>
    <w:p w14:paraId="24B5C3B8" w14:textId="5A3C7B4F" w:rsidR="0084324A" w:rsidRPr="00F4154B" w:rsidRDefault="0084324A" w:rsidP="009E71FC">
      <w:pPr>
        <w:pStyle w:val="BodyText"/>
      </w:pPr>
      <w:r w:rsidRPr="00F4154B">
        <w:t xml:space="preserve">The NYISO has established procedures and a schedule for the collection and submission of data and for the preparation </w:t>
      </w:r>
      <w:r w:rsidR="00CC4248" w:rsidRPr="00F4154B">
        <w:t xml:space="preserve">of the models used in the RNA. </w:t>
      </w:r>
      <w:r w:rsidRPr="00F4154B">
        <w:t xml:space="preserve">The </w:t>
      </w:r>
      <w:r w:rsidR="005F373B">
        <w:t>RPP</w:t>
      </w:r>
      <w:r w:rsidRPr="00F4154B">
        <w:t xml:space="preserve"> procedures are designed to allow planning activities to be performed in an open and transparent manner</w:t>
      </w:r>
      <w:r w:rsidR="00292C5E">
        <w:t>.</w:t>
      </w:r>
      <w:r w:rsidR="007F5E45">
        <w:t xml:space="preserve">  The RPP is conducted</w:t>
      </w:r>
      <w:r w:rsidRPr="00F4154B">
        <w:t xml:space="preserve"> under a defined set of rules </w:t>
      </w:r>
      <w:r w:rsidR="00C5072B">
        <w:t>that are</w:t>
      </w:r>
      <w:r w:rsidRPr="00F4154B">
        <w:t xml:space="preserve"> aligned and coordinated with the related </w:t>
      </w:r>
      <w:r w:rsidR="00C5072B">
        <w:t xml:space="preserve">planning </w:t>
      </w:r>
      <w:r w:rsidRPr="00F4154B">
        <w:t>activities of the North American Electric Reliability Council (NERC), the Northeast Power Coordinating Council (NPCC), and the New York Stat</w:t>
      </w:r>
      <w:r w:rsidR="004560E5" w:rsidRPr="00F4154B">
        <w:t xml:space="preserve">e Reliability Council (NYSRC). </w:t>
      </w:r>
      <w:r w:rsidRPr="00F4154B">
        <w:t>The assumptions underlying the RNA were reviewed at the ESPW</w:t>
      </w:r>
      <w:r w:rsidR="004560E5" w:rsidRPr="00F4154B">
        <w:t xml:space="preserve">G </w:t>
      </w:r>
      <w:r w:rsidR="00B7491F" w:rsidRPr="00F4154B">
        <w:t xml:space="preserve">and TPAS </w:t>
      </w:r>
      <w:r w:rsidR="004560E5" w:rsidRPr="00F4154B">
        <w:t xml:space="preserve">and are shown in </w:t>
      </w:r>
      <w:r w:rsidR="004560E5" w:rsidRPr="00F4154B">
        <w:rPr>
          <w:b/>
        </w:rPr>
        <w:t>Appendix D</w:t>
      </w:r>
      <w:r w:rsidR="007F6A4E" w:rsidRPr="00F4154B">
        <w:t xml:space="preserve"> of this report</w:t>
      </w:r>
      <w:r w:rsidR="004560E5" w:rsidRPr="00F4154B">
        <w:t>.</w:t>
      </w:r>
      <w:r w:rsidR="00BA646F" w:rsidRPr="00F4154B">
        <w:t xml:space="preserve"> </w:t>
      </w:r>
    </w:p>
    <w:p w14:paraId="6C2242DB" w14:textId="29F2273E" w:rsidR="0084324A" w:rsidRPr="00F4154B" w:rsidRDefault="0084324A" w:rsidP="009E71FC">
      <w:pPr>
        <w:pStyle w:val="BodyText"/>
      </w:pPr>
      <w:r w:rsidRPr="00F4154B">
        <w:t>This section highlights the key assumptions and mode</w:t>
      </w:r>
      <w:r w:rsidR="004560E5" w:rsidRPr="00F4154B">
        <w:t xml:space="preserve">ling data updates for the RNA. </w:t>
      </w:r>
      <w:r w:rsidR="00974DFE" w:rsidRPr="00F4154B">
        <w:t xml:space="preserve">These </w:t>
      </w:r>
      <w:r w:rsidR="002573E2" w:rsidRPr="00F4154B">
        <w:t>include</w:t>
      </w:r>
      <w:r w:rsidR="00974DFE" w:rsidRPr="00F4154B">
        <w:t xml:space="preserve"> </w:t>
      </w:r>
      <w:r w:rsidRPr="00F4154B">
        <w:t xml:space="preserve">the load forecast model, </w:t>
      </w:r>
      <w:r w:rsidR="002E00C7" w:rsidRPr="00F4154B">
        <w:t xml:space="preserve">the forecasted </w:t>
      </w:r>
      <w:r w:rsidRPr="00F4154B">
        <w:t xml:space="preserve">level of Special Case Resources, the change in generation resource status, </w:t>
      </w:r>
      <w:r w:rsidR="00777DC0" w:rsidRPr="00F4154B">
        <w:t>LTPs</w:t>
      </w:r>
      <w:r w:rsidRPr="00F4154B">
        <w:t xml:space="preserve">, and Bulk </w:t>
      </w:r>
      <w:r w:rsidR="00FF5AF0" w:rsidRPr="00F4154B">
        <w:t xml:space="preserve">Power </w:t>
      </w:r>
      <w:r w:rsidRPr="00F4154B">
        <w:t>Transmission Projects.</w:t>
      </w:r>
      <w:r w:rsidR="00C5072B" w:rsidRPr="00C5072B">
        <w:t xml:space="preserve"> </w:t>
      </w:r>
      <w:r w:rsidR="00C5072B">
        <w:t>As described above, t</w:t>
      </w:r>
      <w:r w:rsidR="00C5072B" w:rsidRPr="00F4154B">
        <w:t xml:space="preserve">he </w:t>
      </w:r>
      <w:r w:rsidR="00C5072B">
        <w:t xml:space="preserve">newly defined RNA </w:t>
      </w:r>
      <w:r w:rsidR="00C5072B" w:rsidRPr="00F4154B">
        <w:t xml:space="preserve">Study Period is from year </w:t>
      </w:r>
      <w:r w:rsidR="00C5072B" w:rsidRPr="00957DC6">
        <w:t xml:space="preserve">2024 </w:t>
      </w:r>
      <w:r w:rsidR="00C5072B" w:rsidRPr="00F4154B">
        <w:t xml:space="preserve">(year </w:t>
      </w:r>
      <w:r w:rsidR="00C5072B" w:rsidRPr="00957DC6">
        <w:t>4</w:t>
      </w:r>
      <w:r w:rsidR="00C5072B" w:rsidRPr="00F4154B">
        <w:t>) through 20</w:t>
      </w:r>
      <w:r w:rsidR="00C5072B">
        <w:t>30</w:t>
      </w:r>
      <w:r w:rsidR="00C5072B" w:rsidRPr="00F4154B">
        <w:t xml:space="preserve"> (year 10).</w:t>
      </w:r>
    </w:p>
    <w:p w14:paraId="3D2FBA19" w14:textId="41194ED3" w:rsidR="004850D3" w:rsidRPr="00560215" w:rsidRDefault="0084324A" w:rsidP="004850D3">
      <w:pPr>
        <w:pStyle w:val="BodyText"/>
      </w:pPr>
      <w:r w:rsidRPr="00F4154B">
        <w:t xml:space="preserve">Both the </w:t>
      </w:r>
      <w:r w:rsidR="00C5072B">
        <w:t xml:space="preserve">transmission </w:t>
      </w:r>
      <w:r w:rsidRPr="00F4154B">
        <w:t xml:space="preserve">security and </w:t>
      </w:r>
      <w:r w:rsidR="00C5072B">
        <w:t xml:space="preserve">resource </w:t>
      </w:r>
      <w:r w:rsidRPr="00F4154B">
        <w:t>adequacy studies in the RNA Base Case use a peak demand and energy forecast originating from the baseline forecast r</w:t>
      </w:r>
      <w:r w:rsidR="00025536" w:rsidRPr="00F4154B">
        <w:t>eported in the 20</w:t>
      </w:r>
      <w:r w:rsidR="00F4154B" w:rsidRPr="00F4154B">
        <w:t>20</w:t>
      </w:r>
      <w:r w:rsidR="00025536" w:rsidRPr="00F4154B">
        <w:t xml:space="preserve"> Gold Book. </w:t>
      </w:r>
      <w:r w:rsidR="004850D3" w:rsidRPr="00560215">
        <w:t xml:space="preserve">The baseline forecast from the 2020 Gold Book </w:t>
      </w:r>
      <w:r w:rsidR="00E7027B">
        <w:t>is</w:t>
      </w:r>
      <w:r w:rsidR="00E7027B" w:rsidRPr="00560215">
        <w:t xml:space="preserve"> </w:t>
      </w:r>
      <w:r w:rsidR="004850D3" w:rsidRPr="00560215">
        <w:t xml:space="preserve">derived from energy and peak models </w:t>
      </w:r>
      <w:r w:rsidR="00E7027B">
        <w:t>that</w:t>
      </w:r>
      <w:r w:rsidR="00E7027B" w:rsidRPr="00560215">
        <w:t xml:space="preserve"> </w:t>
      </w:r>
      <w:r w:rsidR="004850D3" w:rsidRPr="00560215">
        <w:t xml:space="preserve">are built based on projections of end-use intensities and economic variables. End-use intensities modeled include those for lighting, refrigeration, cooking, heating, </w:t>
      </w:r>
      <w:r w:rsidR="00CB5C9E">
        <w:t xml:space="preserve">cooling, and other plug loads. </w:t>
      </w:r>
      <w:r w:rsidR="004850D3" w:rsidRPr="00560215">
        <w:t>The baseline forecast includes the projected impacts of energy efficiency programs, building codes and standards, distributed energy resources, behind-the-meter energy storage, behind-the-meter solar photovoltaic power, electric vehicle usage, and electrification o</w:t>
      </w:r>
      <w:r w:rsidR="00CB5C9E">
        <w:t xml:space="preserve">f heating and other end uses.  </w:t>
      </w:r>
      <w:r w:rsidR="004850D3" w:rsidRPr="00560215">
        <w:t xml:space="preserve">Economic variables considered include </w:t>
      </w:r>
      <w:r w:rsidR="00127CB1">
        <w:t>g</w:t>
      </w:r>
      <w:r w:rsidR="004850D3" w:rsidRPr="00560215">
        <w:t xml:space="preserve">ross </w:t>
      </w:r>
      <w:r w:rsidR="00127CB1">
        <w:t>d</w:t>
      </w:r>
      <w:r w:rsidR="004850D3" w:rsidRPr="00560215">
        <w:t xml:space="preserve">omestic </w:t>
      </w:r>
      <w:r w:rsidR="00127CB1">
        <w:t>p</w:t>
      </w:r>
      <w:r w:rsidR="004850D3" w:rsidRPr="00560215">
        <w:t>roduct (“GDP”), households, population, and commercial and industrial employment.  The baseline forecast also considers the near</w:t>
      </w:r>
      <w:r w:rsidR="00E7027B">
        <w:t>-</w:t>
      </w:r>
      <w:r w:rsidR="004850D3" w:rsidRPr="00560215">
        <w:t>term economic impacts of reduced energy consumption resulting from the s</w:t>
      </w:r>
      <w:r w:rsidR="00CB5C9E">
        <w:t>tate’s response to COVID-19.</w:t>
      </w:r>
      <w:r w:rsidR="00560215" w:rsidRPr="00560215">
        <w:t xml:space="preserve"> </w:t>
      </w:r>
      <w:r w:rsidR="004850D3" w:rsidRPr="00560215">
        <w:t>For the resource adequacy study, the baseline load forecast was modified by removing the behind-the-meter solar PV impacts in order to model the solar PV explicitly as a generation resource to account for the intermittent nature of its availability.</w:t>
      </w:r>
    </w:p>
    <w:p w14:paraId="16C5BCB7" w14:textId="63011FD9" w:rsidR="00E86197" w:rsidRDefault="0084324A" w:rsidP="00E86197">
      <w:pPr>
        <w:pStyle w:val="BodyText"/>
      </w:pPr>
      <w:r w:rsidRPr="00E86197">
        <w:t>The RNA Base Case</w:t>
      </w:r>
      <w:r w:rsidR="00E86197">
        <w:t>s</w:t>
      </w:r>
      <w:r w:rsidRPr="00E86197">
        <w:t xml:space="preserve"> </w:t>
      </w:r>
      <w:r w:rsidR="00E86197">
        <w:t>were</w:t>
      </w:r>
      <w:r w:rsidRPr="00E86197">
        <w:t xml:space="preserve"> developed in accordance with NYISO procedures using projections for the installation and deactivation of generation resources and transmission facilities that were developed in conjunction with Market Partici</w:t>
      </w:r>
      <w:r w:rsidR="00BB0CF3" w:rsidRPr="00E86197">
        <w:t>pants</w:t>
      </w:r>
      <w:r w:rsidR="00B7491F" w:rsidRPr="00E86197">
        <w:t xml:space="preserve"> </w:t>
      </w:r>
      <w:r w:rsidR="00BB0CF3" w:rsidRPr="00E86197">
        <w:t xml:space="preserve">and </w:t>
      </w:r>
      <w:r w:rsidR="00B7491F" w:rsidRPr="00E86197">
        <w:t>TOs</w:t>
      </w:r>
      <w:r w:rsidR="00E86197">
        <w:t>:</w:t>
      </w:r>
    </w:p>
    <w:p w14:paraId="0652BDA0" w14:textId="4B82AAE3" w:rsidR="00E86197" w:rsidRPr="00E86197" w:rsidRDefault="00E86197" w:rsidP="00A8579E">
      <w:pPr>
        <w:pStyle w:val="BodyText"/>
        <w:numPr>
          <w:ilvl w:val="0"/>
          <w:numId w:val="29"/>
        </w:numPr>
      </w:pPr>
      <w:r>
        <w:t>For t</w:t>
      </w:r>
      <w:r w:rsidR="0084324A" w:rsidRPr="00E86197">
        <w:t xml:space="preserve">he </w:t>
      </w:r>
      <w:r w:rsidRPr="00E86197">
        <w:t xml:space="preserve">transmission security evaluations, the power flow </w:t>
      </w:r>
      <w:r w:rsidR="0084324A" w:rsidRPr="00E86197">
        <w:t xml:space="preserve">RNA Base Case </w:t>
      </w:r>
      <w:r w:rsidR="00E7027B">
        <w:t>uses</w:t>
      </w:r>
      <w:r w:rsidR="0084324A" w:rsidRPr="00E86197">
        <w:t xml:space="preserve"> the NYISO 20</w:t>
      </w:r>
      <w:r w:rsidR="00F4154B" w:rsidRPr="00E86197">
        <w:t>20</w:t>
      </w:r>
      <w:r w:rsidR="0084324A" w:rsidRPr="00E86197">
        <w:t xml:space="preserve"> FERC 715 filing as a starting point, adding and removing resources consistent with the base case inclusion screening process provided in </w:t>
      </w:r>
      <w:r w:rsidR="00560215">
        <w:t>Section 3</w:t>
      </w:r>
      <w:r w:rsidR="006C5D7A" w:rsidRPr="00E86197">
        <w:t xml:space="preserve"> of </w:t>
      </w:r>
      <w:r w:rsidR="0084324A" w:rsidRPr="00E86197">
        <w:t>the RPP Manual</w:t>
      </w:r>
      <w:r w:rsidR="00AE1EEE" w:rsidRPr="00E86197">
        <w:t xml:space="preserve">. </w:t>
      </w:r>
      <w:r w:rsidRPr="00E86197">
        <w:t xml:space="preserve">Representations of neighboring systems are derived from interregional transmission planning coordination </w:t>
      </w:r>
      <w:r w:rsidRPr="00E86197">
        <w:lastRenderedPageBreak/>
        <w:t>conducted under the NPCC and ERAG MMWG processes, and pursuant to the Northeast ISO/RTO Planning Coordination Protocol.</w:t>
      </w:r>
    </w:p>
    <w:p w14:paraId="3663640C" w14:textId="6422482E" w:rsidR="00E86197" w:rsidRPr="00E86197" w:rsidRDefault="00E86197" w:rsidP="00A8579E">
      <w:pPr>
        <w:pStyle w:val="BodyText"/>
        <w:numPr>
          <w:ilvl w:val="0"/>
          <w:numId w:val="29"/>
        </w:numPr>
        <w:rPr>
          <w:rFonts w:asciiTheme="majorHAnsi" w:hAnsiTheme="majorHAnsi"/>
        </w:rPr>
      </w:pPr>
      <w:r w:rsidRPr="00E86197">
        <w:rPr>
          <w:rFonts w:asciiTheme="majorHAnsi" w:hAnsiTheme="majorHAnsi"/>
        </w:rPr>
        <w:t xml:space="preserve">For the resource adequacy evaluations, the models are developed starting with prior resource adequacy models, and are updated with information from the 2020 Gold Book and historical data, with the application of the inclusion rules.  Information on modeling of neighboring systems is based on the input received from the NPCC CP-8 working group. </w:t>
      </w:r>
    </w:p>
    <w:p w14:paraId="0C490246" w14:textId="21793B6A" w:rsidR="0084324A" w:rsidRPr="00C43984" w:rsidRDefault="0084324A" w:rsidP="00A5757C">
      <w:pPr>
        <w:pStyle w:val="Heading2"/>
        <w:rPr>
          <w:color w:val="FF0000"/>
        </w:rPr>
      </w:pPr>
      <w:bookmarkStart w:id="25" w:name="_Toc48252283"/>
      <w:r w:rsidRPr="009E71FC">
        <w:t>Annual Energy and Summer Peak Demand Forecasts</w:t>
      </w:r>
      <w:bookmarkEnd w:id="25"/>
      <w:r w:rsidRPr="009E71FC">
        <w:t xml:space="preserve"> </w:t>
      </w:r>
    </w:p>
    <w:p w14:paraId="444F660B" w14:textId="1FC4B032" w:rsidR="00560215" w:rsidRPr="004842A0" w:rsidRDefault="00560215" w:rsidP="004842A0">
      <w:pPr>
        <w:pStyle w:val="BodyText"/>
      </w:pPr>
      <w:r w:rsidRPr="004842A0">
        <w:t>This section reports the baseline forecast, the high load scenario forecast, the behind-the-meter solar PV forecast, and the baseline forecast with projected behind-the-meter solar PV added back. These forecasts are fully detailed in the 2020 Gold Book. The baseline forecast reflects the expected impacts of energy efficiency, distributed energy resources, and behind-the-meter solar PV on annual energy use and peak</w:t>
      </w:r>
      <w:r w:rsidR="00E7027B">
        <w:t xml:space="preserve"> load</w:t>
      </w:r>
      <w:r w:rsidRPr="004842A0">
        <w:t>s. The high load scenario forecast reflects faster adoption of electric vehicles and other electrification, and slower adoption of behind-the-meter solar PV and energy efficiency measures.  The baseline energy forecast reflects a moderate recession due to COVID-19 impacts, and assumes typical economic growth in the year 2022 and beyond. The high load scenario energy forecast reflects a slight recession and assumes somewhat higher than typical economic growth in the year 2022 and beyond.  The baseline and high load scenario peak forecasts do not account for any potential economic impacts associated with COVID-19.  The baseline forecast, which already reflects the solar PV behind-the-meter reductions, was modified to add back those impacts. The modified baseline forecast is used for the resource adequacy study to model behind-the-meter solar PV as a generating resource.</w:t>
      </w:r>
    </w:p>
    <w:p w14:paraId="350A8645" w14:textId="3EE5DB3E" w:rsidR="00560215" w:rsidRPr="00217AA2" w:rsidRDefault="00560215" w:rsidP="004842A0">
      <w:pPr>
        <w:pStyle w:val="BodyText"/>
      </w:pPr>
      <w:r w:rsidRPr="004842A0">
        <w:t xml:space="preserve">The demand-side management impacts included or accounted for in the 2020 Base Case forecast derive from actual and projected spending levels and realization rates for state-sponsored programs such as the Climate Leadership and Community Protection Act (“CLCPA”), Clean Energy Standard (“CES”), the Clean Energy Fund (“CEF”), the NY-SUN initiative, the energy storage initiative, and other programs developed as part of the Reforming the Energy Vision (“REV”) proceedings.  The NYISO reviewed and discussed with Market Participants, during meetings of the ESPWG and TPAS, projections for the potential impact of energy efficiency, solar PV, electric vehicles, and other demand-side management impacts over the Study Period. The factors considered in developing the 2020 RNA </w:t>
      </w:r>
      <w:r w:rsidR="00E66B21">
        <w:t>B</w:t>
      </w:r>
      <w:r w:rsidRPr="004842A0">
        <w:t xml:space="preserve">ase </w:t>
      </w:r>
      <w:r w:rsidR="00E66B21">
        <w:t>C</w:t>
      </w:r>
      <w:r w:rsidRPr="004842A0">
        <w:t>ase forecast are included in</w:t>
      </w:r>
      <w:r w:rsidRPr="00217AA2">
        <w:t xml:space="preserve"> </w:t>
      </w:r>
      <w:r w:rsidRPr="00217AA2">
        <w:rPr>
          <w:b/>
        </w:rPr>
        <w:t xml:space="preserve">Appendix C </w:t>
      </w:r>
      <w:r w:rsidRPr="00217AA2">
        <w:t>of this report.</w:t>
      </w:r>
    </w:p>
    <w:p w14:paraId="6FCDC979" w14:textId="7170BC88" w:rsidR="00560215" w:rsidRPr="004842A0" w:rsidRDefault="00560215" w:rsidP="004842A0">
      <w:pPr>
        <w:pStyle w:val="BodyText"/>
      </w:pPr>
      <w:r w:rsidRPr="004842A0">
        <w:t xml:space="preserve">The assumptions for the 2020 economic growth, energy efficiency program impacts, and behind-the-meter solar PV impacts were also discussed with Market Participants during meetings of the ESPWG and TPAS in March and April of 2020. The ESPWG and TPAS reviewed and discussed the assumptions used in </w:t>
      </w:r>
      <w:r w:rsidRPr="004842A0">
        <w:lastRenderedPageBreak/>
        <w:t xml:space="preserve">the 2020 RNA </w:t>
      </w:r>
      <w:r w:rsidR="00E66B21">
        <w:t>B</w:t>
      </w:r>
      <w:r w:rsidRPr="004842A0">
        <w:t xml:space="preserve">ase </w:t>
      </w:r>
      <w:r w:rsidR="00E66B21">
        <w:t>C</w:t>
      </w:r>
      <w:r w:rsidRPr="004842A0">
        <w:t>ase forecast in accordance with procedures established for the RNA.</w:t>
      </w:r>
    </w:p>
    <w:p w14:paraId="44B720F1" w14:textId="77777777" w:rsidR="00560215" w:rsidRPr="004842A0" w:rsidRDefault="00560215" w:rsidP="004842A0">
      <w:pPr>
        <w:pStyle w:val="BodyText"/>
      </w:pPr>
      <w:r w:rsidRPr="004842A0">
        <w:t xml:space="preserve">The baseline energy forecast for the 2020 RNA is lower than the 2018 RNA baseline forecast, including a 4.2% decline in 2020 and 1.7% decline in 2028.  The baseline peak forecast for the 2020 RNA is also lower than the 2018 RNA baseline forecast, including a 1.4% decline in 2020 and 1.1% decline in 2028. The lower energy forecasts are attributed to both economic factors and the continued impact of energy efficiency and behind-the-meter solar PV. </w:t>
      </w:r>
    </w:p>
    <w:p w14:paraId="40778C4D" w14:textId="6E63CC1A" w:rsidR="00560215" w:rsidRPr="004842A0" w:rsidRDefault="00560215" w:rsidP="0054093D">
      <w:pPr>
        <w:pStyle w:val="BodyText"/>
      </w:pPr>
      <w:r w:rsidRPr="004842A0">
        <w:fldChar w:fldCharType="begin"/>
      </w:r>
      <w:r w:rsidRPr="004842A0">
        <w:instrText xml:space="preserve"> REF _Ref506979412 \h  \* MERGEFORMAT </w:instrText>
      </w:r>
      <w:r w:rsidRPr="004842A0">
        <w:fldChar w:fldCharType="separate"/>
      </w:r>
      <w:r w:rsidR="00A051C2" w:rsidRPr="004842A0">
        <w:t>Figure 6</w:t>
      </w:r>
      <w:r w:rsidRPr="004842A0">
        <w:fldChar w:fldCharType="end"/>
      </w:r>
      <w:r w:rsidRPr="004842A0">
        <w:t xml:space="preserve"> on the next page summarizes the three forecasts used in the 2020 RNA. </w:t>
      </w:r>
      <w:r w:rsidR="00A051C2" w:rsidRPr="004842A0">
        <w:fldChar w:fldCharType="begin"/>
      </w:r>
      <w:r w:rsidR="00A051C2" w:rsidRPr="004842A0">
        <w:instrText xml:space="preserve"> REF _Ref46156017 \h </w:instrText>
      </w:r>
      <w:r w:rsidR="004842A0">
        <w:instrText xml:space="preserve"> \* MERGEFORMAT </w:instrText>
      </w:r>
      <w:r w:rsidR="00A051C2" w:rsidRPr="004842A0">
        <w:fldChar w:fldCharType="separate"/>
      </w:r>
      <w:r w:rsidR="004842A0" w:rsidRPr="004842A0">
        <w:t>Figure 8</w:t>
      </w:r>
      <w:r w:rsidR="00A051C2" w:rsidRPr="004842A0">
        <w:fldChar w:fldCharType="end"/>
      </w:r>
      <w:r w:rsidR="00A051C2" w:rsidRPr="004842A0">
        <w:t xml:space="preserve"> </w:t>
      </w:r>
      <w:r w:rsidRPr="004842A0">
        <w:t xml:space="preserve">shows a comparison of the baseline forecasts and energy efficiency program impacts contained in the 2018 RNA and the 2020 RNA. </w:t>
      </w:r>
      <w:r w:rsidRPr="004842A0">
        <w:fldChar w:fldCharType="begin"/>
      </w:r>
      <w:r w:rsidRPr="004842A0">
        <w:instrText xml:space="preserve"> REF _Ref507069412 \h </w:instrText>
      </w:r>
      <w:r w:rsidR="004842A0">
        <w:instrText xml:space="preserve"> \* MERGEFORMAT </w:instrText>
      </w:r>
      <w:r w:rsidRPr="004842A0">
        <w:fldChar w:fldCharType="separate"/>
      </w:r>
      <w:r w:rsidRPr="004842A0">
        <w:t>Figure 6</w:t>
      </w:r>
      <w:r w:rsidRPr="004842A0">
        <w:fldChar w:fldCharType="end"/>
      </w:r>
      <w:r w:rsidRPr="004842A0">
        <w:t xml:space="preserve"> and </w:t>
      </w:r>
      <w:r w:rsidRPr="004842A0">
        <w:fldChar w:fldCharType="begin"/>
      </w:r>
      <w:r w:rsidRPr="004842A0">
        <w:instrText xml:space="preserve"> REF _Ref506889442 \h </w:instrText>
      </w:r>
      <w:r w:rsidR="004842A0">
        <w:instrText xml:space="preserve"> \* MERGEFORMAT </w:instrText>
      </w:r>
      <w:r w:rsidRPr="004842A0">
        <w:fldChar w:fldCharType="separate"/>
      </w:r>
      <w:r w:rsidRPr="004842A0">
        <w:t>Figure 7</w:t>
      </w:r>
      <w:r w:rsidRPr="004842A0">
        <w:fldChar w:fldCharType="end"/>
      </w:r>
      <w:r w:rsidRPr="004842A0">
        <w:t xml:space="preserve"> present actual, weather-normalized forecasts of annual energy and summer peak demand for the 2020 RNA. </w:t>
      </w:r>
      <w:r w:rsidR="0054093D">
        <w:fldChar w:fldCharType="begin"/>
      </w:r>
      <w:r w:rsidR="0054093D">
        <w:instrText xml:space="preserve"> REF _Ref506889452 \h </w:instrText>
      </w:r>
      <w:r w:rsidR="0054093D">
        <w:fldChar w:fldCharType="separate"/>
      </w:r>
      <w:r w:rsidR="0054093D" w:rsidRPr="00742ACF">
        <w:t xml:space="preserve">Figure </w:t>
      </w:r>
      <w:r w:rsidR="0054093D">
        <w:rPr>
          <w:noProof/>
        </w:rPr>
        <w:t>11</w:t>
      </w:r>
      <w:r w:rsidR="0054093D">
        <w:fldChar w:fldCharType="end"/>
      </w:r>
      <w:r w:rsidRPr="004842A0">
        <w:fldChar w:fldCharType="begin"/>
      </w:r>
      <w:r w:rsidRPr="004842A0">
        <w:instrText xml:space="preserve"> REF _Ref506889452 \h </w:instrText>
      </w:r>
      <w:r w:rsidR="004842A0">
        <w:instrText xml:space="preserve"> \* MERGEFORMAT </w:instrText>
      </w:r>
      <w:r w:rsidRPr="004842A0">
        <w:fldChar w:fldCharType="end"/>
      </w:r>
      <w:r w:rsidRPr="004842A0">
        <w:t xml:space="preserve"> and </w:t>
      </w:r>
      <w:r w:rsidR="0054093D">
        <w:fldChar w:fldCharType="begin"/>
      </w:r>
      <w:r w:rsidR="0054093D">
        <w:instrText xml:space="preserve"> REF _Ref47021559 \h </w:instrText>
      </w:r>
      <w:r w:rsidR="0054093D">
        <w:fldChar w:fldCharType="separate"/>
      </w:r>
      <w:r w:rsidR="0054093D" w:rsidRPr="004842A0">
        <w:t xml:space="preserve">Figure </w:t>
      </w:r>
      <w:r w:rsidR="0054093D">
        <w:rPr>
          <w:noProof/>
        </w:rPr>
        <w:t>12</w:t>
      </w:r>
      <w:r w:rsidR="0054093D">
        <w:fldChar w:fldCharType="end"/>
      </w:r>
      <w:r w:rsidR="0054093D">
        <w:t xml:space="preserve"> </w:t>
      </w:r>
      <w:r w:rsidRPr="004842A0">
        <w:t>present the NYISO’s projections of annual energy and summer peak demand in the 20</w:t>
      </w:r>
      <w:r w:rsidR="00761848">
        <w:t>20</w:t>
      </w:r>
      <w:r w:rsidRPr="004842A0">
        <w:t xml:space="preserve"> RNA for energy efficiency, distributed generation, and behind-the-meter solar PV.</w:t>
      </w:r>
    </w:p>
    <w:p w14:paraId="454E3C24" w14:textId="77777777" w:rsidR="00560215" w:rsidRDefault="00560215" w:rsidP="00560215">
      <w:pPr>
        <w:sectPr w:rsidR="00560215" w:rsidSect="0007199E">
          <w:pgSz w:w="12240" w:h="15840" w:code="1"/>
          <w:pgMar w:top="1440" w:right="1080" w:bottom="1440" w:left="1080" w:header="720" w:footer="58" w:gutter="0"/>
          <w:pgNumType w:start="1"/>
          <w:cols w:space="720"/>
          <w:docGrid w:linePitch="360"/>
        </w:sectPr>
      </w:pPr>
      <w:r w:rsidRPr="00FA1216">
        <w:rPr>
          <w:color w:val="984806" w:themeColor="accent6" w:themeShade="80"/>
        </w:rPr>
        <w:br w:type="page"/>
      </w:r>
    </w:p>
    <w:p w14:paraId="65660692" w14:textId="675860DD" w:rsidR="00560215" w:rsidRPr="00742ACF" w:rsidRDefault="00560215" w:rsidP="00281AA8">
      <w:pPr>
        <w:pStyle w:val="Figure"/>
        <w:keepNext/>
      </w:pPr>
      <w:bookmarkStart w:id="26" w:name="_Ref506979412"/>
      <w:bookmarkStart w:id="27" w:name="_Ref506979420"/>
      <w:bookmarkStart w:id="28" w:name="_Toc48251324"/>
      <w:r w:rsidRPr="00742ACF">
        <w:lastRenderedPageBreak/>
        <w:t xml:space="preserve">Figure </w:t>
      </w:r>
      <w:r w:rsidR="00D517E4">
        <w:fldChar w:fldCharType="begin"/>
      </w:r>
      <w:r w:rsidR="00D517E4">
        <w:instrText xml:space="preserve"> SEQ Figure \* ARABIC </w:instrText>
      </w:r>
      <w:r w:rsidR="00D517E4">
        <w:fldChar w:fldCharType="separate"/>
      </w:r>
      <w:r w:rsidR="00F94268">
        <w:rPr>
          <w:noProof/>
        </w:rPr>
        <w:t>6</w:t>
      </w:r>
      <w:r w:rsidR="00D517E4">
        <w:rPr>
          <w:noProof/>
        </w:rPr>
        <w:fldChar w:fldCharType="end"/>
      </w:r>
      <w:bookmarkEnd w:id="26"/>
      <w:r w:rsidRPr="00742ACF">
        <w:t>: 20</w:t>
      </w:r>
      <w:r w:rsidR="00D30D81" w:rsidRPr="00742ACF">
        <w:t>20</w:t>
      </w:r>
      <w:r w:rsidRPr="00742ACF">
        <w:t xml:space="preserve"> RNA Load and Energy Forecast: Baseline</w:t>
      </w:r>
      <w:r w:rsidR="00D7273B">
        <w:t xml:space="preserve"> Forecast</w:t>
      </w:r>
      <w:r w:rsidRPr="00742ACF">
        <w:t xml:space="preserve">, and Baseline with </w:t>
      </w:r>
      <w:r w:rsidR="00D7273B">
        <w:t>BtM Solar PV</w:t>
      </w:r>
      <w:r w:rsidRPr="00742ACF">
        <w:t xml:space="preserve"> Forecasts Added Back In</w:t>
      </w:r>
      <w:bookmarkEnd w:id="27"/>
      <w:bookmarkEnd w:id="28"/>
    </w:p>
    <w:p w14:paraId="1616F28C" w14:textId="4A5F49A5" w:rsidR="00560215" w:rsidRDefault="00D7273B" w:rsidP="00526201">
      <w:pPr>
        <w:pStyle w:val="BodyText"/>
        <w:jc w:val="center"/>
      </w:pPr>
      <w:r w:rsidRPr="00D7273B">
        <w:rPr>
          <w:noProof/>
        </w:rPr>
        <w:drawing>
          <wp:inline distT="0" distB="0" distL="0" distR="0" wp14:anchorId="708A8B38" wp14:editId="77568386">
            <wp:extent cx="8694420" cy="433116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559" r="49767" b="49068"/>
                    <a:stretch/>
                  </pic:blipFill>
                  <pic:spPr bwMode="auto">
                    <a:xfrm>
                      <a:off x="0" y="0"/>
                      <a:ext cx="8709758" cy="4338810"/>
                    </a:xfrm>
                    <a:prstGeom prst="rect">
                      <a:avLst/>
                    </a:prstGeom>
                    <a:noFill/>
                    <a:ln>
                      <a:noFill/>
                    </a:ln>
                    <a:extLst>
                      <a:ext uri="{53640926-AAD7-44D8-BBD7-CCE9431645EC}">
                        <a14:shadowObscured xmlns:a14="http://schemas.microsoft.com/office/drawing/2010/main"/>
                      </a:ext>
                    </a:extLst>
                  </pic:spPr>
                </pic:pic>
              </a:graphicData>
            </a:graphic>
          </wp:inline>
        </w:drawing>
      </w:r>
    </w:p>
    <w:p w14:paraId="0963A0BB" w14:textId="77777777" w:rsidR="00560215" w:rsidRPr="00526201" w:rsidRDefault="00560215" w:rsidP="00560215">
      <w:pPr>
        <w:pStyle w:val="caption10"/>
        <w:rPr>
          <w:sz w:val="18"/>
          <w:szCs w:val="18"/>
        </w:rPr>
      </w:pPr>
      <w:bookmarkStart w:id="29" w:name="_Ref506979484"/>
      <w:bookmarkStart w:id="30" w:name="_Ref506889377"/>
      <w:bookmarkStart w:id="31" w:name="_Toc506966635"/>
      <w:r w:rsidRPr="00526201">
        <w:rPr>
          <w:b/>
          <w:sz w:val="18"/>
          <w:szCs w:val="18"/>
          <w:vertAlign w:val="superscript"/>
        </w:rPr>
        <w:t>1</w:t>
      </w:r>
      <w:r w:rsidRPr="00526201">
        <w:rPr>
          <w:sz w:val="18"/>
          <w:szCs w:val="18"/>
        </w:rPr>
        <w:t xml:space="preserve"> For the resource adequacy study, the Gold Book baseline load forecast was modified by removing the behind-the-meter solar PV impacts in order to model the solar PV explicitly as a generation resource to account for the intermittent nature of its availability.</w:t>
      </w:r>
    </w:p>
    <w:p w14:paraId="4E19DE6E" w14:textId="77777777" w:rsidR="00560215" w:rsidRPr="00526201" w:rsidRDefault="00560215" w:rsidP="00560215">
      <w:pPr>
        <w:pStyle w:val="caption10"/>
        <w:rPr>
          <w:sz w:val="18"/>
          <w:szCs w:val="18"/>
        </w:rPr>
      </w:pPr>
      <w:r w:rsidRPr="00526201">
        <w:rPr>
          <w:b/>
          <w:sz w:val="18"/>
          <w:szCs w:val="18"/>
          <w:vertAlign w:val="superscript"/>
        </w:rPr>
        <w:t>2</w:t>
      </w:r>
      <w:r w:rsidRPr="00526201">
        <w:rPr>
          <w:b/>
          <w:sz w:val="18"/>
          <w:szCs w:val="18"/>
        </w:rPr>
        <w:t xml:space="preserve"> </w:t>
      </w:r>
      <w:r w:rsidRPr="00526201">
        <w:rPr>
          <w:sz w:val="18"/>
          <w:szCs w:val="18"/>
        </w:rPr>
        <w:t>The transmission security power flow RNA base cases use this Gold Book baseline forecast.</w:t>
      </w:r>
    </w:p>
    <w:p w14:paraId="5176FA27" w14:textId="77777777" w:rsidR="00560215" w:rsidRDefault="00560215" w:rsidP="00560215">
      <w:pPr>
        <w:ind w:left="792" w:firstLine="0"/>
        <w:sectPr w:rsidR="00560215" w:rsidSect="000741FC">
          <w:pgSz w:w="15840" w:h="12240" w:orient="landscape" w:code="1"/>
          <w:pgMar w:top="1080" w:right="1440" w:bottom="1080" w:left="1440" w:header="720" w:footer="58" w:gutter="0"/>
          <w:cols w:space="720"/>
          <w:docGrid w:linePitch="360"/>
        </w:sectPr>
      </w:pPr>
    </w:p>
    <w:p w14:paraId="5C677BFD" w14:textId="77777777" w:rsidR="00560215" w:rsidRDefault="00560215" w:rsidP="00560215">
      <w:pPr>
        <w:rPr>
          <w:rFonts w:ascii="Franklin Gothic Demi" w:eastAsia="Arial Narrow" w:hAnsi="Franklin Gothic Demi"/>
          <w:bCs/>
          <w:szCs w:val="20"/>
          <w:lang w:bidi="ar-SA"/>
        </w:rPr>
      </w:pPr>
    </w:p>
    <w:p w14:paraId="090C803D" w14:textId="517E4C9D" w:rsidR="00560215" w:rsidRPr="00742ACF" w:rsidRDefault="00560215" w:rsidP="00281AA8">
      <w:pPr>
        <w:pStyle w:val="Figure"/>
        <w:keepNext/>
      </w:pPr>
      <w:bookmarkStart w:id="32" w:name="_Ref47379823"/>
      <w:bookmarkStart w:id="33" w:name="_Toc48251325"/>
      <w:bookmarkStart w:id="34" w:name="_Ref507069362"/>
      <w:r w:rsidRPr="00742ACF">
        <w:t xml:space="preserve">Figure </w:t>
      </w:r>
      <w:r w:rsidR="00D517E4">
        <w:fldChar w:fldCharType="begin"/>
      </w:r>
      <w:r w:rsidR="00D517E4">
        <w:instrText xml:space="preserve"> SEQ Figure \* ARABI</w:instrText>
      </w:r>
      <w:r w:rsidR="00D517E4">
        <w:instrText xml:space="preserve">C </w:instrText>
      </w:r>
      <w:r w:rsidR="00D517E4">
        <w:fldChar w:fldCharType="separate"/>
      </w:r>
      <w:r w:rsidR="00F94268">
        <w:rPr>
          <w:noProof/>
        </w:rPr>
        <w:t>7</w:t>
      </w:r>
      <w:r w:rsidR="00D517E4">
        <w:rPr>
          <w:noProof/>
        </w:rPr>
        <w:fldChar w:fldCharType="end"/>
      </w:r>
      <w:bookmarkEnd w:id="32"/>
      <w:r w:rsidRPr="00742ACF">
        <w:t>: 20</w:t>
      </w:r>
      <w:r w:rsidR="00D30D81" w:rsidRPr="00742ACF">
        <w:t>20</w:t>
      </w:r>
      <w:r w:rsidRPr="00742ACF">
        <w:t xml:space="preserve"> RNA Load and Energy </w:t>
      </w:r>
      <w:r w:rsidR="00D7273B">
        <w:t>for High Load Scenario</w:t>
      </w:r>
      <w:r w:rsidRPr="00742ACF">
        <w:t xml:space="preserve">: </w:t>
      </w:r>
      <w:r w:rsidR="004842A0">
        <w:t>High Load</w:t>
      </w:r>
      <w:r w:rsidR="00D7273B">
        <w:t xml:space="preserve"> Scenario Forecast, and High Load</w:t>
      </w:r>
      <w:r w:rsidRPr="00742ACF">
        <w:t xml:space="preserve"> </w:t>
      </w:r>
      <w:r w:rsidR="00D7273B">
        <w:t xml:space="preserve">Scenario Forecast </w:t>
      </w:r>
      <w:r w:rsidRPr="00742ACF">
        <w:t xml:space="preserve">with </w:t>
      </w:r>
      <w:r w:rsidR="00D7273B">
        <w:t xml:space="preserve">BtM Solar PV </w:t>
      </w:r>
      <w:r w:rsidRPr="00742ACF">
        <w:t>Added Back In</w:t>
      </w:r>
      <w:bookmarkEnd w:id="33"/>
    </w:p>
    <w:p w14:paraId="3FA06A25" w14:textId="2BDF6BFA" w:rsidR="00560215" w:rsidRDefault="00D7273B" w:rsidP="00526201">
      <w:pPr>
        <w:pStyle w:val="BodyText"/>
        <w:jc w:val="center"/>
      </w:pPr>
      <w:r w:rsidRPr="00D7273B">
        <w:rPr>
          <w:noProof/>
        </w:rPr>
        <w:drawing>
          <wp:inline distT="0" distB="0" distL="0" distR="0" wp14:anchorId="6BAA4702" wp14:editId="25993C37">
            <wp:extent cx="8244436" cy="4015740"/>
            <wp:effectExtent l="0" t="0" r="444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a:extLst>
                        <a:ext uri="{28A0092B-C50C-407E-A947-70E740481C1C}">
                          <a14:useLocalDpi xmlns:a14="http://schemas.microsoft.com/office/drawing/2010/main" val="0"/>
                        </a:ext>
                      </a:extLst>
                    </a:blip>
                    <a:srcRect t="-192" r="49811" b="49561"/>
                    <a:stretch/>
                  </pic:blipFill>
                  <pic:spPr bwMode="auto">
                    <a:xfrm>
                      <a:off x="0" y="0"/>
                      <a:ext cx="8247234" cy="4017103"/>
                    </a:xfrm>
                    <a:prstGeom prst="rect">
                      <a:avLst/>
                    </a:prstGeom>
                    <a:noFill/>
                    <a:ln>
                      <a:noFill/>
                    </a:ln>
                    <a:extLst>
                      <a:ext uri="{53640926-AAD7-44D8-BBD7-CCE9431645EC}">
                        <a14:shadowObscured xmlns:a14="http://schemas.microsoft.com/office/drawing/2010/main"/>
                      </a:ext>
                    </a:extLst>
                  </pic:spPr>
                </pic:pic>
              </a:graphicData>
            </a:graphic>
          </wp:inline>
        </w:drawing>
      </w:r>
    </w:p>
    <w:p w14:paraId="0814D9F2" w14:textId="77777777" w:rsidR="00560215" w:rsidRPr="00526201" w:rsidRDefault="00560215" w:rsidP="00560215">
      <w:pPr>
        <w:pStyle w:val="caption10"/>
        <w:rPr>
          <w:sz w:val="18"/>
          <w:szCs w:val="18"/>
        </w:rPr>
      </w:pPr>
      <w:r w:rsidRPr="00526201">
        <w:rPr>
          <w:b/>
          <w:sz w:val="18"/>
          <w:szCs w:val="18"/>
          <w:vertAlign w:val="superscript"/>
        </w:rPr>
        <w:t>3</w:t>
      </w:r>
      <w:r w:rsidRPr="00526201">
        <w:rPr>
          <w:sz w:val="18"/>
          <w:szCs w:val="18"/>
        </w:rPr>
        <w:t xml:space="preserve"> The high load scenario forecast will be used for the high load resource adequacy scenario.</w:t>
      </w:r>
    </w:p>
    <w:p w14:paraId="22F9DDDA" w14:textId="77777777" w:rsidR="00560215" w:rsidRDefault="00560215" w:rsidP="00560215">
      <w:pPr>
        <w:pStyle w:val="Figure"/>
        <w:rPr>
          <w:color w:val="984806" w:themeColor="accent6" w:themeShade="80"/>
        </w:rPr>
      </w:pPr>
    </w:p>
    <w:p w14:paraId="66C0ABDD" w14:textId="77777777" w:rsidR="00560215" w:rsidRDefault="00560215" w:rsidP="00560215">
      <w:pPr>
        <w:pStyle w:val="Figure"/>
        <w:rPr>
          <w:color w:val="984806" w:themeColor="accent6" w:themeShade="80"/>
        </w:rPr>
      </w:pPr>
    </w:p>
    <w:p w14:paraId="088E3BEB" w14:textId="77777777" w:rsidR="00560215" w:rsidRDefault="00560215" w:rsidP="00560215">
      <w:pPr>
        <w:pStyle w:val="Figure"/>
        <w:rPr>
          <w:color w:val="984806" w:themeColor="accent6" w:themeShade="80"/>
        </w:rPr>
      </w:pPr>
    </w:p>
    <w:p w14:paraId="539D58CC" w14:textId="77777777" w:rsidR="00560215" w:rsidRDefault="00560215" w:rsidP="00560215">
      <w:pPr>
        <w:pStyle w:val="Figure"/>
        <w:rPr>
          <w:color w:val="984806" w:themeColor="accent6" w:themeShade="80"/>
        </w:rPr>
      </w:pPr>
      <w:r>
        <w:rPr>
          <w:color w:val="984806" w:themeColor="accent6" w:themeShade="80"/>
        </w:rPr>
        <w:br/>
      </w:r>
    </w:p>
    <w:p w14:paraId="56646D50" w14:textId="10BACD74" w:rsidR="00560215" w:rsidRPr="00742ACF" w:rsidRDefault="00560215" w:rsidP="00281AA8">
      <w:pPr>
        <w:pStyle w:val="Figure"/>
        <w:keepNext/>
      </w:pPr>
      <w:bookmarkStart w:id="35" w:name="_Ref46156017"/>
      <w:bookmarkStart w:id="36" w:name="_Toc48251326"/>
      <w:r w:rsidRPr="00742ACF">
        <w:lastRenderedPageBreak/>
        <w:t xml:space="preserve">Figure </w:t>
      </w:r>
      <w:r w:rsidR="00D517E4">
        <w:fldChar w:fldCharType="begin"/>
      </w:r>
      <w:r w:rsidR="00D517E4">
        <w:instrText xml:space="preserve"> SEQ Figure \* ARABIC </w:instrText>
      </w:r>
      <w:r w:rsidR="00D517E4">
        <w:fldChar w:fldCharType="separate"/>
      </w:r>
      <w:r w:rsidR="00F94268">
        <w:rPr>
          <w:noProof/>
        </w:rPr>
        <w:t>8</w:t>
      </w:r>
      <w:r w:rsidR="00D517E4">
        <w:rPr>
          <w:noProof/>
        </w:rPr>
        <w:fldChar w:fldCharType="end"/>
      </w:r>
      <w:bookmarkEnd w:id="29"/>
      <w:bookmarkEnd w:id="34"/>
      <w:bookmarkEnd w:id="35"/>
      <w:r w:rsidRPr="00742ACF">
        <w:t>: Comparison of 2018 RNA &amp; 2020 Baseline Forecasts</w:t>
      </w:r>
      <w:bookmarkEnd w:id="36"/>
    </w:p>
    <w:bookmarkEnd w:id="30"/>
    <w:bookmarkEnd w:id="31"/>
    <w:p w14:paraId="65C282C8" w14:textId="22F3811E" w:rsidR="00560215" w:rsidRDefault="002873C8" w:rsidP="00526201">
      <w:pPr>
        <w:pStyle w:val="BodyText"/>
        <w:ind w:firstLine="0"/>
        <w:jc w:val="center"/>
      </w:pPr>
      <w:r>
        <w:rPr>
          <w:noProof/>
        </w:rPr>
        <w:drawing>
          <wp:inline distT="0" distB="0" distL="0" distR="0" wp14:anchorId="65A1E5CE" wp14:editId="395D6F26">
            <wp:extent cx="8744758" cy="42554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54024" cy="4259986"/>
                    </a:xfrm>
                    <a:prstGeom prst="rect">
                      <a:avLst/>
                    </a:prstGeom>
                    <a:noFill/>
                  </pic:spPr>
                </pic:pic>
              </a:graphicData>
            </a:graphic>
          </wp:inline>
        </w:drawing>
      </w:r>
    </w:p>
    <w:p w14:paraId="722021FF" w14:textId="77777777" w:rsidR="00560215" w:rsidRPr="00526201" w:rsidRDefault="00560215" w:rsidP="00560215">
      <w:pPr>
        <w:pStyle w:val="caption10"/>
        <w:rPr>
          <w:sz w:val="18"/>
          <w:szCs w:val="18"/>
        </w:rPr>
      </w:pPr>
      <w:bookmarkStart w:id="37" w:name="_Ref506889425"/>
      <w:r w:rsidRPr="00526201">
        <w:rPr>
          <w:b/>
          <w:sz w:val="18"/>
          <w:szCs w:val="18"/>
          <w:vertAlign w:val="superscript"/>
        </w:rPr>
        <w:t>1</w:t>
      </w:r>
      <w:r w:rsidRPr="00526201">
        <w:rPr>
          <w:sz w:val="18"/>
          <w:szCs w:val="18"/>
        </w:rPr>
        <w:t xml:space="preserve"> For the resource adequacy study, the Gold Book baseline load forecast was modified by removing the behind-the-meter solar PV impacts in order to model the solar PV explicitly as a generation resource to account for the intermittent nature of its availability.</w:t>
      </w:r>
    </w:p>
    <w:p w14:paraId="55C530B1" w14:textId="77777777" w:rsidR="00560215" w:rsidRPr="00526201" w:rsidRDefault="00560215" w:rsidP="00560215">
      <w:pPr>
        <w:pStyle w:val="caption10"/>
        <w:rPr>
          <w:sz w:val="18"/>
          <w:szCs w:val="18"/>
        </w:rPr>
      </w:pPr>
      <w:r w:rsidRPr="00526201">
        <w:rPr>
          <w:b/>
          <w:sz w:val="18"/>
          <w:szCs w:val="18"/>
          <w:vertAlign w:val="superscript"/>
        </w:rPr>
        <w:t>2</w:t>
      </w:r>
      <w:r w:rsidRPr="00526201">
        <w:rPr>
          <w:sz w:val="18"/>
          <w:szCs w:val="18"/>
        </w:rPr>
        <w:t xml:space="preserve"> 2016 Gold Book values have been adjusted to include only those impacts from 2018 forward, so as to compare directly to the 2018 Gold Book values.</w:t>
      </w:r>
    </w:p>
    <w:p w14:paraId="08E9D64A" w14:textId="77777777" w:rsidR="00560215" w:rsidRPr="00084706" w:rsidRDefault="00560215" w:rsidP="00560215">
      <w:pPr>
        <w:pStyle w:val="caption10"/>
      </w:pPr>
    </w:p>
    <w:p w14:paraId="0DCE7C26" w14:textId="77777777" w:rsidR="00560215" w:rsidRDefault="00560215" w:rsidP="00560215">
      <w:pPr>
        <w:sectPr w:rsidR="00560215" w:rsidSect="000741FC">
          <w:pgSz w:w="15840" w:h="12240" w:orient="landscape" w:code="1"/>
          <w:pgMar w:top="1080" w:right="1440" w:bottom="1080" w:left="1440" w:header="720" w:footer="58" w:gutter="0"/>
          <w:cols w:space="720"/>
          <w:docGrid w:linePitch="360"/>
        </w:sectPr>
      </w:pPr>
      <w:r>
        <w:br w:type="page"/>
      </w:r>
    </w:p>
    <w:p w14:paraId="457D782C" w14:textId="5804F9A0" w:rsidR="00560215" w:rsidRPr="00742ACF" w:rsidRDefault="00560215" w:rsidP="00281AA8">
      <w:pPr>
        <w:pStyle w:val="Figure"/>
        <w:keepNext/>
      </w:pPr>
      <w:bookmarkStart w:id="38" w:name="_Ref507069412"/>
      <w:bookmarkStart w:id="39" w:name="_Toc48251327"/>
      <w:r w:rsidRPr="00742ACF">
        <w:lastRenderedPageBreak/>
        <w:t xml:space="preserve">Figure </w:t>
      </w:r>
      <w:r w:rsidR="00D517E4">
        <w:fldChar w:fldCharType="begin"/>
      </w:r>
      <w:r w:rsidR="00D517E4">
        <w:instrText xml:space="preserve"> SEQ Figure \* ARABIC </w:instrText>
      </w:r>
      <w:r w:rsidR="00D517E4">
        <w:fldChar w:fldCharType="separate"/>
      </w:r>
      <w:r w:rsidR="00F94268">
        <w:rPr>
          <w:noProof/>
        </w:rPr>
        <w:t>9</w:t>
      </w:r>
      <w:r w:rsidR="00D517E4">
        <w:rPr>
          <w:noProof/>
        </w:rPr>
        <w:fldChar w:fldCharType="end"/>
      </w:r>
      <w:bookmarkEnd w:id="37"/>
      <w:bookmarkEnd w:id="38"/>
      <w:r w:rsidRPr="00742ACF">
        <w:t>: 2020 Baseline and High Load Scenario Energy Forecasts with Solar PV Added Back</w:t>
      </w:r>
      <w:bookmarkEnd w:id="39"/>
    </w:p>
    <w:p w14:paraId="203B75A6" w14:textId="40BA4B27" w:rsidR="0097299E" w:rsidRDefault="00A507FA" w:rsidP="00E64FD1">
      <w:pPr>
        <w:pStyle w:val="BodyText"/>
        <w:jc w:val="center"/>
      </w:pPr>
      <w:bookmarkStart w:id="40" w:name="_Ref506889442"/>
      <w:r w:rsidRPr="00A507FA">
        <w:rPr>
          <w:noProof/>
        </w:rPr>
        <w:drawing>
          <wp:inline distT="0" distB="0" distL="0" distR="0" wp14:anchorId="57425205" wp14:editId="4F5D49C9">
            <wp:extent cx="6434455" cy="3395795"/>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8727" cy="3398049"/>
                    </a:xfrm>
                    <a:prstGeom prst="rect">
                      <a:avLst/>
                    </a:prstGeom>
                    <a:noFill/>
                    <a:ln>
                      <a:noFill/>
                    </a:ln>
                  </pic:spPr>
                </pic:pic>
              </a:graphicData>
            </a:graphic>
          </wp:inline>
        </w:drawing>
      </w:r>
    </w:p>
    <w:p w14:paraId="28C2AF5B" w14:textId="709FAFE4" w:rsidR="00957B45" w:rsidRDefault="00D61CC5" w:rsidP="00957B45">
      <w:pPr>
        <w:pStyle w:val="Figure"/>
        <w:rPr>
          <w:rStyle w:val="FigureChar"/>
        </w:rPr>
      </w:pPr>
      <w:bookmarkStart w:id="41" w:name="_Toc48251328"/>
      <w:bookmarkEnd w:id="40"/>
      <w:r w:rsidRPr="00D61CC5">
        <w:rPr>
          <w:rStyle w:val="FigureChar"/>
        </w:rPr>
        <w:t xml:space="preserve">Figure </w:t>
      </w:r>
      <w:r w:rsidRPr="00D61CC5">
        <w:rPr>
          <w:rStyle w:val="FigureChar"/>
        </w:rPr>
        <w:fldChar w:fldCharType="begin"/>
      </w:r>
      <w:r w:rsidRPr="00D61CC5">
        <w:rPr>
          <w:rStyle w:val="FigureChar"/>
        </w:rPr>
        <w:instrText xml:space="preserve"> SEQ Figure \* ARABIC </w:instrText>
      </w:r>
      <w:r w:rsidRPr="00D61CC5">
        <w:rPr>
          <w:rStyle w:val="FigureChar"/>
        </w:rPr>
        <w:fldChar w:fldCharType="separate"/>
      </w:r>
      <w:r w:rsidR="00F94268">
        <w:rPr>
          <w:rStyle w:val="FigureChar"/>
          <w:noProof/>
        </w:rPr>
        <w:t>10</w:t>
      </w:r>
      <w:r w:rsidRPr="00D61CC5">
        <w:rPr>
          <w:rStyle w:val="FigureChar"/>
        </w:rPr>
        <w:fldChar w:fldCharType="end"/>
      </w:r>
      <w:r w:rsidRPr="00D61CC5">
        <w:rPr>
          <w:rStyle w:val="FigureChar"/>
        </w:rPr>
        <w:t xml:space="preserve">: </w:t>
      </w:r>
      <w:r w:rsidR="00560215" w:rsidRPr="00D61CC5">
        <w:rPr>
          <w:rStyle w:val="FigureChar"/>
        </w:rPr>
        <w:t>2020 Baseline and High Load Energy Scenario Summer Peak Demand Forecasts with Solar PV Added Back</w:t>
      </w:r>
      <w:bookmarkEnd w:id="41"/>
    </w:p>
    <w:p w14:paraId="0FFAB459" w14:textId="7009B2CF" w:rsidR="00560215" w:rsidRPr="0097299E" w:rsidRDefault="00A507FA" w:rsidP="00E64FD1">
      <w:pPr>
        <w:pStyle w:val="BodyText"/>
        <w:jc w:val="center"/>
      </w:pPr>
      <w:r w:rsidRPr="00A507FA">
        <w:rPr>
          <w:noProof/>
        </w:rPr>
        <w:drawing>
          <wp:inline distT="0" distB="0" distL="0" distR="0" wp14:anchorId="25F415A3" wp14:editId="42207931">
            <wp:extent cx="6454015" cy="3674634"/>
            <wp:effectExtent l="0" t="0" r="444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63924" cy="3680276"/>
                    </a:xfrm>
                    <a:prstGeom prst="rect">
                      <a:avLst/>
                    </a:prstGeom>
                    <a:noFill/>
                    <a:ln>
                      <a:noFill/>
                    </a:ln>
                  </pic:spPr>
                </pic:pic>
              </a:graphicData>
            </a:graphic>
          </wp:inline>
        </w:drawing>
      </w:r>
    </w:p>
    <w:p w14:paraId="24CFB117" w14:textId="4DBCC8EB" w:rsidR="004842A0" w:rsidRPr="00957B45" w:rsidRDefault="00560215" w:rsidP="00957B45">
      <w:pPr>
        <w:pStyle w:val="Figure"/>
        <w:keepNext/>
        <w:keepLines/>
      </w:pPr>
      <w:bookmarkStart w:id="42" w:name="_Ref506889452"/>
      <w:bookmarkStart w:id="43" w:name="_Toc48251329"/>
      <w:r w:rsidRPr="00957B45">
        <w:lastRenderedPageBreak/>
        <w:t xml:space="preserve">Figure </w:t>
      </w:r>
      <w:r w:rsidR="00D517E4">
        <w:fldChar w:fldCharType="begin"/>
      </w:r>
      <w:r w:rsidR="00D517E4">
        <w:instrText xml:space="preserve"> SEQ Figure \* ARABIC </w:instrText>
      </w:r>
      <w:r w:rsidR="00D517E4">
        <w:fldChar w:fldCharType="separate"/>
      </w:r>
      <w:r w:rsidR="00F94268">
        <w:rPr>
          <w:noProof/>
        </w:rPr>
        <w:t>11</w:t>
      </w:r>
      <w:r w:rsidR="00D517E4">
        <w:rPr>
          <w:noProof/>
        </w:rPr>
        <w:fldChar w:fldCharType="end"/>
      </w:r>
      <w:bookmarkEnd w:id="42"/>
      <w:r w:rsidRPr="00957B45">
        <w:t>: 2020 Baseline Annual Energy Forecast Impacts</w:t>
      </w:r>
      <w:bookmarkEnd w:id="43"/>
      <w:r w:rsidRPr="00957B45">
        <w:t xml:space="preserve"> </w:t>
      </w:r>
    </w:p>
    <w:p w14:paraId="41BA904A" w14:textId="4DE3520E" w:rsidR="004842A0" w:rsidRPr="004842A0" w:rsidRDefault="009E2DFE" w:rsidP="00E64FD1">
      <w:pPr>
        <w:pStyle w:val="BodyText"/>
        <w:jc w:val="center"/>
      </w:pPr>
      <w:r w:rsidRPr="00957B45">
        <w:rPr>
          <w:noProof/>
        </w:rPr>
        <w:drawing>
          <wp:inline distT="0" distB="0" distL="0" distR="0" wp14:anchorId="0D61D9B6" wp14:editId="59A90003">
            <wp:extent cx="5788160" cy="38481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7527" cy="3874272"/>
                    </a:xfrm>
                    <a:prstGeom prst="rect">
                      <a:avLst/>
                    </a:prstGeom>
                    <a:noFill/>
                  </pic:spPr>
                </pic:pic>
              </a:graphicData>
            </a:graphic>
          </wp:inline>
        </w:drawing>
      </w:r>
      <w:bookmarkStart w:id="44" w:name="_Ref506889465"/>
    </w:p>
    <w:p w14:paraId="055C9241" w14:textId="30446397" w:rsidR="00957B45" w:rsidRPr="00957B45" w:rsidRDefault="00560215" w:rsidP="00957B45">
      <w:pPr>
        <w:pStyle w:val="Figure"/>
      </w:pPr>
      <w:bookmarkStart w:id="45" w:name="_Ref47021559"/>
      <w:bookmarkStart w:id="46" w:name="_Toc48251330"/>
      <w:r w:rsidRPr="00957B45">
        <w:t xml:space="preserve">Figure </w:t>
      </w:r>
      <w:r w:rsidR="00D517E4">
        <w:fldChar w:fldCharType="begin"/>
      </w:r>
      <w:r w:rsidR="00D517E4">
        <w:instrText xml:space="preserve"> SEQ Figure \* ARABIC </w:instrText>
      </w:r>
      <w:r w:rsidR="00D517E4">
        <w:fldChar w:fldCharType="separate"/>
      </w:r>
      <w:r w:rsidR="00F94268">
        <w:rPr>
          <w:noProof/>
        </w:rPr>
        <w:t>12</w:t>
      </w:r>
      <w:r w:rsidR="00D517E4">
        <w:rPr>
          <w:noProof/>
        </w:rPr>
        <w:fldChar w:fldCharType="end"/>
      </w:r>
      <w:bookmarkEnd w:id="44"/>
      <w:bookmarkEnd w:id="45"/>
      <w:r w:rsidRPr="00957B45">
        <w:t>: 2020 Baseline Summer Peak Demand Forecast Impacts</w:t>
      </w:r>
      <w:bookmarkEnd w:id="46"/>
      <w:r w:rsidRPr="00957B45">
        <w:t xml:space="preserve"> </w:t>
      </w:r>
    </w:p>
    <w:p w14:paraId="544583B7" w14:textId="33EF7B5E" w:rsidR="00560215" w:rsidRPr="00FA1216" w:rsidRDefault="009E2DFE" w:rsidP="008F4438">
      <w:pPr>
        <w:pStyle w:val="BodyText"/>
        <w:jc w:val="center"/>
      </w:pPr>
      <w:r w:rsidRPr="00957B45">
        <w:rPr>
          <w:noProof/>
        </w:rPr>
        <w:drawing>
          <wp:inline distT="0" distB="0" distL="0" distR="0" wp14:anchorId="787BFFCE" wp14:editId="5DEEA15B">
            <wp:extent cx="5744560" cy="3573780"/>
            <wp:effectExtent l="0" t="0" r="889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198" cy="3600928"/>
                    </a:xfrm>
                    <a:prstGeom prst="rect">
                      <a:avLst/>
                    </a:prstGeom>
                    <a:noFill/>
                  </pic:spPr>
                </pic:pic>
              </a:graphicData>
            </a:graphic>
          </wp:inline>
        </w:drawing>
      </w:r>
    </w:p>
    <w:p w14:paraId="2B04F480" w14:textId="25A0981A" w:rsidR="00560215" w:rsidRPr="002717A8" w:rsidRDefault="00D30D81" w:rsidP="00D51E51">
      <w:pPr>
        <w:pStyle w:val="BodyText"/>
      </w:pPr>
      <w:r>
        <w:lastRenderedPageBreak/>
        <w:t>For</w:t>
      </w:r>
      <w:r w:rsidR="00560215">
        <w:t xml:space="preserve"> the 2020</w:t>
      </w:r>
      <w:r w:rsidR="00560215" w:rsidRPr="00F2352F">
        <w:t xml:space="preserve"> RNA</w:t>
      </w:r>
      <w:r>
        <w:t xml:space="preserve"> resource adequacy assessments</w:t>
      </w:r>
      <w:r w:rsidR="00560215" w:rsidRPr="00F2352F">
        <w:t xml:space="preserve">, the </w:t>
      </w:r>
      <w:r w:rsidR="00560215">
        <w:t xml:space="preserve">NYISO </w:t>
      </w:r>
      <w:r w:rsidR="00D51E51">
        <w:t xml:space="preserve">uses </w:t>
      </w:r>
      <w:r w:rsidR="002D1B82">
        <w:t xml:space="preserve">behind-the meter (BtM) solar PV </w:t>
      </w:r>
      <w:r w:rsidR="00D51E51">
        <w:t>production data</w:t>
      </w:r>
      <w:r w:rsidR="002D1B82">
        <w:t>.</w:t>
      </w:r>
      <w:r w:rsidR="00D51E51">
        <w:t xml:space="preserve"> </w:t>
      </w:r>
      <w:r w:rsidR="002D1B82">
        <w:t xml:space="preserve">For </w:t>
      </w:r>
      <w:r w:rsidR="0092010A">
        <w:t>General Elect</w:t>
      </w:r>
      <w:r w:rsidR="00526201">
        <w:t>ric’s</w:t>
      </w:r>
      <w:r w:rsidR="0092010A">
        <w:t xml:space="preserve"> Multi Area Reliability Simulations (GE-</w:t>
      </w:r>
      <w:r w:rsidR="002D1B82">
        <w:t>MARS</w:t>
      </w:r>
      <w:r w:rsidR="0092010A">
        <w:t>)</w:t>
      </w:r>
      <w:r w:rsidR="002D1B82">
        <w:t xml:space="preserve"> modeling, the BtM </w:t>
      </w:r>
      <w:r w:rsidRPr="00F2352F">
        <w:t>solar PV</w:t>
      </w:r>
      <w:r>
        <w:t xml:space="preserve"> component</w:t>
      </w:r>
      <w:r w:rsidR="002D1B82">
        <w:t xml:space="preserve"> is added</w:t>
      </w:r>
      <w:r>
        <w:t xml:space="preserve"> </w:t>
      </w:r>
      <w:r w:rsidRPr="00F2352F">
        <w:t>back in</w:t>
      </w:r>
      <w:r>
        <w:t xml:space="preserve"> </w:t>
      </w:r>
      <w:r w:rsidR="00560215">
        <w:t xml:space="preserve">the </w:t>
      </w:r>
      <w:r w:rsidR="00560215" w:rsidRPr="00F2352F">
        <w:t xml:space="preserve">baseline forecast </w:t>
      </w:r>
      <w:r>
        <w:t xml:space="preserve">in order </w:t>
      </w:r>
      <w:r w:rsidR="00560215">
        <w:t xml:space="preserve">to </w:t>
      </w:r>
      <w:r w:rsidR="002D1B82">
        <w:t xml:space="preserve">discretely </w:t>
      </w:r>
      <w:r w:rsidR="00D51E51">
        <w:t>m</w:t>
      </w:r>
      <w:r w:rsidR="002D1B82">
        <w:t>odel the BtM solar PV</w:t>
      </w:r>
      <w:r w:rsidR="00560215" w:rsidRPr="00F2352F">
        <w:t xml:space="preserve">. </w:t>
      </w:r>
      <w:r>
        <w:t xml:space="preserve"> </w:t>
      </w:r>
      <w:r w:rsidR="00560215" w:rsidRPr="00F2352F">
        <w:t>The load shapes used in the study were adjusted from the historic shape</w:t>
      </w:r>
      <w:r w:rsidR="00D51E51">
        <w:t>s</w:t>
      </w:r>
      <w:r w:rsidR="00560215" w:rsidRPr="00F2352F">
        <w:t xml:space="preserve"> to a shape that meets the forecasted </w:t>
      </w:r>
      <w:r w:rsidR="00560215">
        <w:t xml:space="preserve">zonal peak, NYCA peak, Zones </w:t>
      </w:r>
      <w:r w:rsidR="00560215" w:rsidRPr="00F2352F">
        <w:t>G</w:t>
      </w:r>
      <w:r w:rsidR="00560215">
        <w:t xml:space="preserve"> through J Locality peak, and NYCA Energy Forecast.</w:t>
      </w:r>
      <w:r w:rsidR="00D51E51">
        <w:t xml:space="preserve"> </w:t>
      </w:r>
      <w:r w:rsidR="00560215" w:rsidRPr="00F2352F">
        <w:t xml:space="preserve">The combination of the load shapes with the solar shapes results in a set of net load shapes that, at time of NYCA peak, meets the baseline forecast. Discretely modeling </w:t>
      </w:r>
      <w:r w:rsidR="003A328A">
        <w:t>BtM</w:t>
      </w:r>
      <w:r w:rsidR="00560215" w:rsidRPr="00F2352F">
        <w:t xml:space="preserve"> solar PV as a resource </w:t>
      </w:r>
      <w:r w:rsidR="00815E14">
        <w:t>provides for</w:t>
      </w:r>
      <w:r w:rsidR="00560215" w:rsidRPr="00F2352F">
        <w:t xml:space="preserve"> </w:t>
      </w:r>
      <w:r w:rsidR="003A328A">
        <w:t>flexibility to</w:t>
      </w:r>
      <w:r w:rsidR="00560215" w:rsidRPr="00F2352F">
        <w:t xml:space="preserve"> adjust the amount of resource available across the system</w:t>
      </w:r>
      <w:r w:rsidR="00560215">
        <w:t xml:space="preserve">. </w:t>
      </w:r>
    </w:p>
    <w:p w14:paraId="782491D0" w14:textId="3DAB2238" w:rsidR="00560215" w:rsidRPr="00742ACF" w:rsidRDefault="00560215" w:rsidP="00281AA8">
      <w:pPr>
        <w:pStyle w:val="Figure"/>
        <w:keepNext/>
      </w:pPr>
      <w:bookmarkStart w:id="47" w:name="_Toc48251331"/>
      <w:r w:rsidRPr="00742ACF">
        <w:t xml:space="preserve">Figure </w:t>
      </w:r>
      <w:r w:rsidR="00D517E4">
        <w:fldChar w:fldCharType="begin"/>
      </w:r>
      <w:r w:rsidR="00D517E4">
        <w:instrText xml:space="preserve"> SEQ Figure \* ARABIC </w:instrText>
      </w:r>
      <w:r w:rsidR="00D517E4">
        <w:fldChar w:fldCharType="separate"/>
      </w:r>
      <w:r w:rsidR="00F94268">
        <w:rPr>
          <w:noProof/>
        </w:rPr>
        <w:t>13</w:t>
      </w:r>
      <w:r w:rsidR="00D517E4">
        <w:rPr>
          <w:noProof/>
        </w:rPr>
        <w:fldChar w:fldCharType="end"/>
      </w:r>
      <w:r w:rsidRPr="00742ACF">
        <w:t>: Forecast of BTM Solar PV Coincident Summer Peak Demand</w:t>
      </w:r>
      <w:r w:rsidR="00D51E51" w:rsidRPr="00742ACF">
        <w:t xml:space="preserve"> </w:t>
      </w:r>
      <w:r w:rsidRPr="00742ACF">
        <w:t>Reductions (MW)</w:t>
      </w:r>
      <w:bookmarkEnd w:id="47"/>
    </w:p>
    <w:p w14:paraId="2DFAC50F" w14:textId="5A8F9419" w:rsidR="00560215" w:rsidRDefault="00C15C64" w:rsidP="008F4438">
      <w:pPr>
        <w:pStyle w:val="BodyText"/>
        <w:jc w:val="center"/>
      </w:pPr>
      <w:r>
        <w:rPr>
          <w:noProof/>
        </w:rPr>
        <w:drawing>
          <wp:inline distT="0" distB="0" distL="0" distR="0" wp14:anchorId="2728EB80" wp14:editId="6260413F">
            <wp:extent cx="6284477" cy="1910861"/>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1571" cy="1919099"/>
                    </a:xfrm>
                    <a:prstGeom prst="rect">
                      <a:avLst/>
                    </a:prstGeom>
                    <a:noFill/>
                  </pic:spPr>
                </pic:pic>
              </a:graphicData>
            </a:graphic>
          </wp:inline>
        </w:drawing>
      </w:r>
    </w:p>
    <w:p w14:paraId="0866AAE4" w14:textId="77777777" w:rsidR="00560215" w:rsidRDefault="00560215" w:rsidP="00560215">
      <w:pPr>
        <w:pStyle w:val="Heading2"/>
      </w:pPr>
      <w:bookmarkStart w:id="48" w:name="_Toc48252284"/>
      <w:r>
        <w:t>Forecast of Special Case Resources</w:t>
      </w:r>
      <w:bookmarkEnd w:id="48"/>
      <w:r>
        <w:t xml:space="preserve"> </w:t>
      </w:r>
    </w:p>
    <w:p w14:paraId="4134220E" w14:textId="3EC699E1" w:rsidR="00C04576" w:rsidRDefault="00560215" w:rsidP="00560215">
      <w:pPr>
        <w:pStyle w:val="BodyText"/>
      </w:pPr>
      <w:r w:rsidRPr="00B5411F">
        <w:t>The 20</w:t>
      </w:r>
      <w:r>
        <w:t>20</w:t>
      </w:r>
      <w:r w:rsidRPr="00B5411F">
        <w:t xml:space="preserve"> RNA Special Case Resource</w:t>
      </w:r>
      <w:r>
        <w:rPr>
          <w:rStyle w:val="FootnoteReference"/>
        </w:rPr>
        <w:footnoteReference w:id="9"/>
      </w:r>
      <w:r w:rsidRPr="00B5411F">
        <w:t xml:space="preserve"> (SCR) MW levels are based on the 20</w:t>
      </w:r>
      <w:r>
        <w:t>20</w:t>
      </w:r>
      <w:r w:rsidRPr="00B5411F">
        <w:t xml:space="preserve"> Gold Book value of </w:t>
      </w:r>
      <w:r>
        <w:t>1,282</w:t>
      </w:r>
      <w:r w:rsidRPr="00FA1216">
        <w:rPr>
          <w:color w:val="FF0000"/>
        </w:rPr>
        <w:t xml:space="preserve"> </w:t>
      </w:r>
      <w:r w:rsidRPr="00B5411F">
        <w:t>MW, adjusted for their performance</w:t>
      </w:r>
      <w:r>
        <w:t xml:space="preserve"> for the resource adequacy evaluations</w:t>
      </w:r>
      <w:r w:rsidRPr="00B5411F">
        <w:t>. Transmission security analysis, which evaluates normal transfer cr</w:t>
      </w:r>
      <w:r>
        <w:t>iteria, does not consider SCRs.</w:t>
      </w:r>
    </w:p>
    <w:p w14:paraId="080B3E65" w14:textId="2B4A505C" w:rsidR="0084324A" w:rsidRDefault="0030136D" w:rsidP="007F4483">
      <w:pPr>
        <w:pStyle w:val="Heading2"/>
      </w:pPr>
      <w:bookmarkStart w:id="49" w:name="_Toc48252285"/>
      <w:r>
        <w:t xml:space="preserve">2020 RNA </w:t>
      </w:r>
      <w:r w:rsidR="0084324A">
        <w:t>Resource Additions and Removals</w:t>
      </w:r>
      <w:bookmarkEnd w:id="49"/>
      <w:r w:rsidR="00B5411F">
        <w:t xml:space="preserve"> </w:t>
      </w:r>
    </w:p>
    <w:p w14:paraId="32654ADC" w14:textId="54274A25" w:rsidR="00715578" w:rsidRPr="00176FFA" w:rsidRDefault="0084324A" w:rsidP="00CB19E3">
      <w:pPr>
        <w:pStyle w:val="BodyText"/>
      </w:pPr>
      <w:r w:rsidRPr="00176FFA">
        <w:t>Since the 201</w:t>
      </w:r>
      <w:r w:rsidR="000E3DE3">
        <w:t>9 - 2028 CRP</w:t>
      </w:r>
      <w:r w:rsidRPr="00176FFA">
        <w:t xml:space="preserve"> </w:t>
      </w:r>
      <w:r w:rsidR="00F97761" w:rsidRPr="00176FFA">
        <w:t>assumptions</w:t>
      </w:r>
      <w:r w:rsidRPr="00176FFA">
        <w:t xml:space="preserve">, resources have been added to the system, some </w:t>
      </w:r>
      <w:r w:rsidR="00C60972">
        <w:t>deactivation</w:t>
      </w:r>
      <w:r w:rsidR="00C60972" w:rsidRPr="00176FFA">
        <w:t xml:space="preserve"> </w:t>
      </w:r>
      <w:r w:rsidRPr="00176FFA">
        <w:t>notices have been withdrawn and the associated facilities have returned to the system, and som</w:t>
      </w:r>
      <w:r w:rsidR="00715578" w:rsidRPr="00176FFA">
        <w:t>e resources have been removed</w:t>
      </w:r>
      <w:r w:rsidR="008D13AE" w:rsidRPr="00176FFA">
        <w:t xml:space="preserve"> from the 20</w:t>
      </w:r>
      <w:r w:rsidR="00176FFA" w:rsidRPr="00176FFA">
        <w:t>20</w:t>
      </w:r>
      <w:r w:rsidR="008D13AE" w:rsidRPr="00176FFA">
        <w:t xml:space="preserve"> RNA </w:t>
      </w:r>
      <w:r w:rsidR="00585C96" w:rsidRPr="00176FFA">
        <w:t>Base Case</w:t>
      </w:r>
      <w:r w:rsidR="00715578" w:rsidRPr="00176FFA">
        <w:t>:</w:t>
      </w:r>
    </w:p>
    <w:p w14:paraId="72F5AD2A" w14:textId="22170E8A" w:rsidR="00715578" w:rsidRPr="005F08B5" w:rsidRDefault="0084324A" w:rsidP="00A8579E">
      <w:pPr>
        <w:pStyle w:val="BodyText"/>
        <w:numPr>
          <w:ilvl w:val="0"/>
          <w:numId w:val="5"/>
        </w:numPr>
      </w:pPr>
      <w:r w:rsidRPr="005F08B5">
        <w:t xml:space="preserve">A total of </w:t>
      </w:r>
      <w:r w:rsidR="00F97761" w:rsidRPr="00761848">
        <w:t xml:space="preserve">approximately </w:t>
      </w:r>
      <w:r w:rsidR="00761848" w:rsidRPr="00761848">
        <w:t>543 MW</w:t>
      </w:r>
      <w:r w:rsidRPr="00761848">
        <w:t xml:space="preserve"> </w:t>
      </w:r>
      <w:r w:rsidR="0064468B" w:rsidRPr="00761848">
        <w:t xml:space="preserve">of proposed </w:t>
      </w:r>
      <w:r w:rsidR="0064468B" w:rsidRPr="005F08B5">
        <w:t xml:space="preserve">generation </w:t>
      </w:r>
      <w:r w:rsidR="005F08B5" w:rsidRPr="005F08B5">
        <w:t xml:space="preserve">(wind and solar) </w:t>
      </w:r>
      <w:r w:rsidRPr="005F08B5">
        <w:t>has been added to the 20</w:t>
      </w:r>
      <w:r w:rsidR="005F08B5" w:rsidRPr="005F08B5">
        <w:t xml:space="preserve">20 </w:t>
      </w:r>
      <w:r w:rsidRPr="005F08B5">
        <w:t>RN</w:t>
      </w:r>
      <w:r w:rsidR="00400D5B" w:rsidRPr="005F08B5">
        <w:t xml:space="preserve">A Base Case </w:t>
      </w:r>
      <w:r w:rsidR="00554746" w:rsidRPr="005F08B5">
        <w:t>as c</w:t>
      </w:r>
      <w:r w:rsidR="005F08B5" w:rsidRPr="005F08B5">
        <w:t>ompared with the 201</w:t>
      </w:r>
      <w:r w:rsidR="000E3DE3">
        <w:t>9 - 2028 CRP</w:t>
      </w:r>
      <w:r w:rsidR="00761848">
        <w:t>.</w:t>
      </w:r>
    </w:p>
    <w:p w14:paraId="56011CE4" w14:textId="0B0DD9D1" w:rsidR="00715578" w:rsidRPr="005F08B5" w:rsidRDefault="00715578" w:rsidP="00A8579E">
      <w:pPr>
        <w:pStyle w:val="BodyText"/>
        <w:numPr>
          <w:ilvl w:val="0"/>
          <w:numId w:val="5"/>
        </w:numPr>
      </w:pPr>
      <w:r w:rsidRPr="005F08B5">
        <w:t>A</w:t>
      </w:r>
      <w:r w:rsidR="0084324A" w:rsidRPr="005F08B5">
        <w:t xml:space="preserve"> total of </w:t>
      </w:r>
      <w:r w:rsidR="00F97761" w:rsidRPr="005F08B5">
        <w:t xml:space="preserve">approximately </w:t>
      </w:r>
      <w:r w:rsidR="007E7F60">
        <w:t xml:space="preserve">2,582 </w:t>
      </w:r>
      <w:r w:rsidR="0084324A" w:rsidRPr="005F08B5">
        <w:t>MW</w:t>
      </w:r>
      <w:r w:rsidRPr="005F08B5">
        <w:t xml:space="preserve"> </w:t>
      </w:r>
      <w:r w:rsidR="0064468B" w:rsidRPr="005F08B5">
        <w:t xml:space="preserve">of generation </w:t>
      </w:r>
      <w:r w:rsidR="00F97761" w:rsidRPr="005F08B5">
        <w:t>ha</w:t>
      </w:r>
      <w:r w:rsidR="009D21C4">
        <w:t>ve</w:t>
      </w:r>
      <w:r w:rsidR="00F97761" w:rsidRPr="005F08B5">
        <w:t xml:space="preserve"> been removed </w:t>
      </w:r>
      <w:r w:rsidRPr="005F08B5">
        <w:t xml:space="preserve">as compared with </w:t>
      </w:r>
      <w:r w:rsidR="000E3DE3">
        <w:t>the 2019 – 2028 CRP</w:t>
      </w:r>
      <w:r w:rsidR="0084324A" w:rsidRPr="005F08B5">
        <w:t xml:space="preserve"> Base Case </w:t>
      </w:r>
      <w:r w:rsidR="005F08B5">
        <w:t xml:space="preserve">either due to </w:t>
      </w:r>
      <w:r w:rsidR="0084324A" w:rsidRPr="005F08B5">
        <w:t xml:space="preserve"> </w:t>
      </w:r>
      <w:r w:rsidR="005F08B5">
        <w:t xml:space="preserve">being in a </w:t>
      </w:r>
      <w:r w:rsidR="0084324A" w:rsidRPr="005F08B5">
        <w:t>deactivat</w:t>
      </w:r>
      <w:r w:rsidR="009D21C4">
        <w:t>ed</w:t>
      </w:r>
      <w:r w:rsidR="0084324A" w:rsidRPr="005F08B5">
        <w:t xml:space="preserve"> state (</w:t>
      </w:r>
      <w:r w:rsidR="0084324A" w:rsidRPr="005F08B5">
        <w:rPr>
          <w:i/>
        </w:rPr>
        <w:t xml:space="preserve">e.g., </w:t>
      </w:r>
      <w:r w:rsidR="0084324A" w:rsidRPr="005F08B5">
        <w:t xml:space="preserve">retired, mothballed, </w:t>
      </w:r>
      <w:r w:rsidR="00D65BA4" w:rsidRPr="005F08B5">
        <w:lastRenderedPageBreak/>
        <w:t xml:space="preserve">or in </w:t>
      </w:r>
      <w:r w:rsidR="00475949" w:rsidRPr="005F08B5">
        <w:t xml:space="preserve">an </w:t>
      </w:r>
      <w:r w:rsidR="00D65BA4" w:rsidRPr="005F08B5">
        <w:t>ICAP-Ineligible F</w:t>
      </w:r>
      <w:r w:rsidR="00F97761" w:rsidRPr="005F08B5">
        <w:t xml:space="preserve">orced </w:t>
      </w:r>
      <w:r w:rsidR="00D65BA4" w:rsidRPr="005F08B5">
        <w:t>Outage</w:t>
      </w:r>
      <w:r w:rsidR="009D21C4">
        <w:t xml:space="preserve"> (IIFO)</w:t>
      </w:r>
      <w:r w:rsidR="00F97761" w:rsidRPr="005F08B5">
        <w:t xml:space="preserve">, </w:t>
      </w:r>
      <w:r w:rsidR="00D65BA4" w:rsidRPr="005F08B5">
        <w:t xml:space="preserve">or proposed to retire or </w:t>
      </w:r>
      <w:r w:rsidR="0084324A" w:rsidRPr="005F08B5">
        <w:t>moth</w:t>
      </w:r>
      <w:r w:rsidR="005F08B5">
        <w:t xml:space="preserve">ball), or as </w:t>
      </w:r>
      <w:r w:rsidR="009D21C4">
        <w:t xml:space="preserve">operationally </w:t>
      </w:r>
      <w:r w:rsidR="005F08B5">
        <w:t>impacted by the DEC Peaker Rule.</w:t>
      </w:r>
    </w:p>
    <w:p w14:paraId="03BE41C1" w14:textId="3AC7CC92" w:rsidR="0084324A" w:rsidRPr="007E7F60" w:rsidRDefault="0084324A" w:rsidP="007E7F60">
      <w:pPr>
        <w:pStyle w:val="BodyText"/>
      </w:pPr>
      <w:r w:rsidRPr="007E7F60">
        <w:t>The comparison of gen</w:t>
      </w:r>
      <w:r w:rsidR="00D65BA4" w:rsidRPr="007E7F60">
        <w:t xml:space="preserve">eration status between the </w:t>
      </w:r>
      <w:r w:rsidR="000E3DE3">
        <w:t>2019 – 2028 CRP</w:t>
      </w:r>
      <w:r w:rsidR="000E3DE3" w:rsidRPr="005F08B5">
        <w:t xml:space="preserve"> </w:t>
      </w:r>
      <w:r w:rsidRPr="007E7F60">
        <w:t>and 20</w:t>
      </w:r>
      <w:r w:rsidR="00761848" w:rsidRPr="007E7F60">
        <w:t>20</w:t>
      </w:r>
      <w:r w:rsidR="00D65BA4" w:rsidRPr="007E7F60">
        <w:t xml:space="preserve"> </w:t>
      </w:r>
      <w:r w:rsidRPr="007E7F60">
        <w:t xml:space="preserve">RNA is detailed in </w:t>
      </w:r>
      <w:r w:rsidR="00F32BC7" w:rsidRPr="007E7F60">
        <w:fldChar w:fldCharType="begin"/>
      </w:r>
      <w:r w:rsidR="00F2352F" w:rsidRPr="007E7F60">
        <w:instrText xml:space="preserve"> REF _Ref506980825 \h </w:instrText>
      </w:r>
      <w:r w:rsidR="00494696" w:rsidRPr="007E7F60">
        <w:instrText xml:space="preserve"> \* MERGEFORMAT </w:instrText>
      </w:r>
      <w:r w:rsidR="00F32BC7" w:rsidRPr="007E7F60">
        <w:fldChar w:fldCharType="separate"/>
      </w:r>
      <w:r w:rsidR="007E7F60" w:rsidRPr="007E7F60">
        <w:t>Figure 14</w:t>
      </w:r>
      <w:r w:rsidR="00F32BC7" w:rsidRPr="007E7F60">
        <w:fldChar w:fldCharType="end"/>
      </w:r>
      <w:r w:rsidR="007E7F60" w:rsidRPr="007E7F60">
        <w:t xml:space="preserve">, </w:t>
      </w:r>
      <w:r w:rsidR="00F32BC7" w:rsidRPr="007E7F60">
        <w:fldChar w:fldCharType="begin"/>
      </w:r>
      <w:r w:rsidR="00F2352F" w:rsidRPr="007E7F60">
        <w:instrText xml:space="preserve"> REF _Ref506980905 \h </w:instrText>
      </w:r>
      <w:r w:rsidR="00494696" w:rsidRPr="007E7F60">
        <w:instrText xml:space="preserve"> \* MERGEFORMAT </w:instrText>
      </w:r>
      <w:r w:rsidR="00F32BC7" w:rsidRPr="007E7F60">
        <w:fldChar w:fldCharType="separate"/>
      </w:r>
      <w:r w:rsidR="007E7F60" w:rsidRPr="007E7F60">
        <w:t>Figure 15</w:t>
      </w:r>
      <w:r w:rsidR="00F32BC7" w:rsidRPr="007E7F60">
        <w:fldChar w:fldCharType="end"/>
      </w:r>
      <w:r w:rsidR="00111D31" w:rsidRPr="007E7F60">
        <w:t xml:space="preserve"> </w:t>
      </w:r>
      <w:r w:rsidR="007E7F60" w:rsidRPr="007E7F60">
        <w:t xml:space="preserve">and </w:t>
      </w:r>
      <w:r w:rsidR="007E7F60" w:rsidRPr="007E7F60">
        <w:fldChar w:fldCharType="begin"/>
      </w:r>
      <w:r w:rsidR="007E7F60" w:rsidRPr="007E7F60">
        <w:instrText xml:space="preserve"> REF _Ref47022447 \h </w:instrText>
      </w:r>
      <w:r w:rsidR="007E7F60">
        <w:instrText xml:space="preserve"> \* MERGEFORMAT </w:instrText>
      </w:r>
      <w:r w:rsidR="007E7F60" w:rsidRPr="007E7F60">
        <w:fldChar w:fldCharType="separate"/>
      </w:r>
      <w:r w:rsidR="007E7F60" w:rsidRPr="007E7F60">
        <w:t>Figure 16</w:t>
      </w:r>
      <w:r w:rsidR="007E7F60" w:rsidRPr="007E7F60">
        <w:fldChar w:fldCharType="end"/>
      </w:r>
      <w:r w:rsidR="00F2352F" w:rsidRPr="007E7F60">
        <w:t xml:space="preserve">. </w:t>
      </w:r>
      <w:r w:rsidRPr="007E7F60">
        <w:t xml:space="preserve">The MW values represent the Capacity Resources Interconnection Service (CRIS) MW values </w:t>
      </w:r>
      <w:r w:rsidR="00D65BA4" w:rsidRPr="007E7F60">
        <w:t>from the</w:t>
      </w:r>
      <w:r w:rsidRPr="007E7F60">
        <w:t xml:space="preserve"> 20</w:t>
      </w:r>
      <w:r w:rsidR="004C09BF">
        <w:t>20</w:t>
      </w:r>
      <w:r w:rsidRPr="007E7F60">
        <w:t xml:space="preserve"> Gold Book.</w:t>
      </w:r>
    </w:p>
    <w:p w14:paraId="0A4D40C1" w14:textId="77777777" w:rsidR="007E7F60" w:rsidRDefault="007E7F60" w:rsidP="004E1359">
      <w:pPr>
        <w:rPr>
          <w:color w:val="FF0000"/>
        </w:rPr>
        <w:sectPr w:rsidR="007E7F60" w:rsidSect="00857B02">
          <w:pgSz w:w="12240" w:h="15840" w:code="1"/>
          <w:pgMar w:top="1440" w:right="1080" w:bottom="1440" w:left="1080" w:header="720" w:footer="58" w:gutter="0"/>
          <w:cols w:space="720"/>
          <w:docGrid w:linePitch="360"/>
        </w:sectPr>
      </w:pPr>
    </w:p>
    <w:p w14:paraId="0FD2352D" w14:textId="074B5DB5" w:rsidR="000403AE" w:rsidRPr="00BD29E4" w:rsidRDefault="0014459A" w:rsidP="00281AA8">
      <w:pPr>
        <w:pStyle w:val="Figure"/>
        <w:keepNext/>
      </w:pPr>
      <w:bookmarkStart w:id="50" w:name="_Ref506980825"/>
      <w:bookmarkStart w:id="51" w:name="_Ref506980983"/>
      <w:bookmarkStart w:id="52" w:name="_Toc48251332"/>
      <w:r w:rsidRPr="00BD29E4">
        <w:lastRenderedPageBreak/>
        <w:t xml:space="preserve">Figure </w:t>
      </w:r>
      <w:r w:rsidR="007863A2" w:rsidRPr="00BD29E4">
        <w:rPr>
          <w:noProof/>
        </w:rPr>
        <w:fldChar w:fldCharType="begin"/>
      </w:r>
      <w:r w:rsidR="007863A2" w:rsidRPr="00BD29E4">
        <w:rPr>
          <w:noProof/>
        </w:rPr>
        <w:instrText xml:space="preserve"> SEQ Figure \* ARABIC </w:instrText>
      </w:r>
      <w:r w:rsidR="007863A2" w:rsidRPr="00BD29E4">
        <w:rPr>
          <w:noProof/>
        </w:rPr>
        <w:fldChar w:fldCharType="separate"/>
      </w:r>
      <w:r w:rsidR="00F94268">
        <w:rPr>
          <w:noProof/>
        </w:rPr>
        <w:t>14</w:t>
      </w:r>
      <w:r w:rsidR="007863A2" w:rsidRPr="00BD29E4">
        <w:rPr>
          <w:noProof/>
        </w:rPr>
        <w:fldChar w:fldCharType="end"/>
      </w:r>
      <w:bookmarkEnd w:id="50"/>
      <w:r w:rsidRPr="00BD29E4">
        <w:t xml:space="preserve">: </w:t>
      </w:r>
      <w:r w:rsidR="003E3164" w:rsidRPr="00BD29E4">
        <w:t>Proposed Projects</w:t>
      </w:r>
      <w:r w:rsidR="00A226C9" w:rsidRPr="00BD29E4">
        <w:t xml:space="preserve"> Included in the 20</w:t>
      </w:r>
      <w:r w:rsidR="00BD29E4">
        <w:t>20</w:t>
      </w:r>
      <w:r w:rsidRPr="00BD29E4">
        <w:t xml:space="preserve"> RNA Base Case</w:t>
      </w:r>
      <w:bookmarkEnd w:id="51"/>
      <w:bookmarkEnd w:id="52"/>
      <w:r w:rsidR="0048716D">
        <w:t xml:space="preserve"> </w:t>
      </w:r>
    </w:p>
    <w:p w14:paraId="25FA30EE" w14:textId="3E3C758F" w:rsidR="00BC4674" w:rsidRDefault="00883C0B" w:rsidP="008F4438">
      <w:pPr>
        <w:pStyle w:val="BodyText"/>
        <w:jc w:val="center"/>
        <w:sectPr w:rsidR="00BC4674" w:rsidSect="007E7F60">
          <w:pgSz w:w="12240" w:h="15840" w:code="1"/>
          <w:pgMar w:top="1440" w:right="1080" w:bottom="1440" w:left="1080" w:header="720" w:footer="58" w:gutter="0"/>
          <w:cols w:space="720"/>
          <w:docGrid w:linePitch="360"/>
        </w:sectPr>
      </w:pPr>
      <w:r w:rsidRPr="00883C0B">
        <w:rPr>
          <w:noProof/>
        </w:rPr>
        <w:drawing>
          <wp:inline distT="0" distB="0" distL="0" distR="0" wp14:anchorId="046F7B67" wp14:editId="31B94AEB">
            <wp:extent cx="6400800" cy="5159108"/>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5159108"/>
                    </a:xfrm>
                    <a:prstGeom prst="rect">
                      <a:avLst/>
                    </a:prstGeom>
                    <a:noFill/>
                    <a:ln>
                      <a:noFill/>
                    </a:ln>
                  </pic:spPr>
                </pic:pic>
              </a:graphicData>
            </a:graphic>
          </wp:inline>
        </w:drawing>
      </w:r>
    </w:p>
    <w:p w14:paraId="77832674" w14:textId="00BE85E9" w:rsidR="00075210" w:rsidRPr="009E71FC" w:rsidRDefault="00075210" w:rsidP="00C86B3D">
      <w:pPr>
        <w:ind w:left="0" w:firstLine="0"/>
        <w:rPr>
          <w:rFonts w:ascii="Cambria" w:eastAsia="Arial Narrow" w:hAnsi="Cambria"/>
          <w:bCs/>
          <w:sz w:val="22"/>
          <w:lang w:bidi="ar-SA"/>
        </w:rPr>
      </w:pPr>
    </w:p>
    <w:p w14:paraId="7D672793" w14:textId="0A6392FE" w:rsidR="006A368D" w:rsidRPr="008F166F" w:rsidRDefault="0014459A" w:rsidP="0076730D">
      <w:pPr>
        <w:pStyle w:val="Figure"/>
        <w:keepNext/>
      </w:pPr>
      <w:bookmarkStart w:id="53" w:name="_Ref506980905"/>
      <w:bookmarkStart w:id="54" w:name="_Ref506890081"/>
      <w:bookmarkStart w:id="55" w:name="_Toc506966638"/>
      <w:bookmarkStart w:id="56" w:name="_Toc48251333"/>
      <w:r w:rsidRPr="008F166F">
        <w:t xml:space="preserve">Figure </w:t>
      </w:r>
      <w:r w:rsidR="00D517E4">
        <w:fldChar w:fldCharType="begin"/>
      </w:r>
      <w:r w:rsidR="00D517E4">
        <w:instrText xml:space="preserve"> SEQ Figure \* ARABIC </w:instrText>
      </w:r>
      <w:r w:rsidR="00D517E4">
        <w:fldChar w:fldCharType="separate"/>
      </w:r>
      <w:r w:rsidR="00F94268">
        <w:rPr>
          <w:noProof/>
        </w:rPr>
        <w:t>15</w:t>
      </w:r>
      <w:r w:rsidR="00D517E4">
        <w:rPr>
          <w:noProof/>
        </w:rPr>
        <w:fldChar w:fldCharType="end"/>
      </w:r>
      <w:bookmarkEnd w:id="53"/>
      <w:r w:rsidRPr="008F166F">
        <w:t>: 20</w:t>
      </w:r>
      <w:r w:rsidR="00DC169E" w:rsidRPr="008F166F">
        <w:t>20</w:t>
      </w:r>
      <w:r w:rsidRPr="008F166F">
        <w:t xml:space="preserve"> RNA Generation Deactivations</w:t>
      </w:r>
      <w:bookmarkEnd w:id="54"/>
      <w:bookmarkEnd w:id="55"/>
      <w:r w:rsidR="00E61647" w:rsidRPr="008F166F">
        <w:t xml:space="preserve"> Assumptions</w:t>
      </w:r>
      <w:bookmarkEnd w:id="56"/>
      <w:r w:rsidR="00486B20">
        <w:t xml:space="preserve"> </w:t>
      </w:r>
    </w:p>
    <w:p w14:paraId="796620EB" w14:textId="68808C24" w:rsidR="006D577A" w:rsidRDefault="004C7A44" w:rsidP="008F4438">
      <w:pPr>
        <w:pStyle w:val="BodyText"/>
        <w:jc w:val="center"/>
      </w:pPr>
      <w:r w:rsidRPr="004C7A44">
        <w:rPr>
          <w:noProof/>
        </w:rPr>
        <w:drawing>
          <wp:inline distT="0" distB="0" distL="0" distR="0" wp14:anchorId="2B0D1B1E" wp14:editId="245F82C8">
            <wp:extent cx="8229600" cy="5480114"/>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5480114"/>
                    </a:xfrm>
                    <a:prstGeom prst="rect">
                      <a:avLst/>
                    </a:prstGeom>
                    <a:noFill/>
                    <a:ln>
                      <a:noFill/>
                    </a:ln>
                  </pic:spPr>
                </pic:pic>
              </a:graphicData>
            </a:graphic>
          </wp:inline>
        </w:drawing>
      </w:r>
    </w:p>
    <w:p w14:paraId="1A70486F" w14:textId="004EA180" w:rsidR="007E7F60" w:rsidRDefault="007E7F60">
      <w:pPr>
        <w:rPr>
          <w:rFonts w:ascii="Franklin Gothic Demi" w:eastAsia="Arial Narrow" w:hAnsi="Franklin Gothic Demi"/>
          <w:bCs/>
          <w:szCs w:val="20"/>
          <w:lang w:bidi="ar-SA"/>
        </w:rPr>
      </w:pPr>
      <w:bookmarkStart w:id="57" w:name="T_4_6"/>
      <w:bookmarkStart w:id="58" w:name="_Toc459214261"/>
    </w:p>
    <w:p w14:paraId="1D9CD868" w14:textId="3B6F252B" w:rsidR="00D57468" w:rsidRPr="002C28E3" w:rsidRDefault="007E7F60" w:rsidP="0076730D">
      <w:pPr>
        <w:pStyle w:val="Figure"/>
        <w:keepNext/>
      </w:pPr>
      <w:bookmarkStart w:id="59" w:name="_Ref47022447"/>
      <w:bookmarkStart w:id="60" w:name="_Toc48251334"/>
      <w:bookmarkStart w:id="61" w:name="_Ref506980882"/>
      <w:bookmarkStart w:id="62" w:name="_Ref506890107"/>
      <w:bookmarkStart w:id="63" w:name="_Toc506966639"/>
      <w:bookmarkEnd w:id="57"/>
      <w:bookmarkEnd w:id="58"/>
      <w:r>
        <w:lastRenderedPageBreak/>
        <w:t>F</w:t>
      </w:r>
      <w:r w:rsidR="002C28E3" w:rsidRPr="002C28E3">
        <w:t xml:space="preserve">igure </w:t>
      </w:r>
      <w:r w:rsidR="00D517E4">
        <w:fldChar w:fldCharType="begin"/>
      </w:r>
      <w:r w:rsidR="00D517E4">
        <w:instrText xml:space="preserve"> SEQ Figure \* ARABIC </w:instrText>
      </w:r>
      <w:r w:rsidR="00D517E4">
        <w:fldChar w:fldCharType="separate"/>
      </w:r>
      <w:r w:rsidR="00F94268">
        <w:rPr>
          <w:noProof/>
        </w:rPr>
        <w:t>16</w:t>
      </w:r>
      <w:r w:rsidR="00D517E4">
        <w:rPr>
          <w:noProof/>
        </w:rPr>
        <w:fldChar w:fldCharType="end"/>
      </w:r>
      <w:bookmarkEnd w:id="59"/>
      <w:r w:rsidR="002C28E3" w:rsidRPr="002C28E3">
        <w:t xml:space="preserve">: </w:t>
      </w:r>
      <w:r w:rsidR="00D57468" w:rsidRPr="002C28E3">
        <w:t>Existing Plants Impacted by DEC’s Peaker Rule</w:t>
      </w:r>
      <w:r w:rsidR="00FF2758">
        <w:t xml:space="preserve"> (additional details on peakers status </w:t>
      </w:r>
      <w:r w:rsidR="00262C75">
        <w:t xml:space="preserve">by ozone season </w:t>
      </w:r>
      <w:r w:rsidR="00FF2758">
        <w:t>are in Appendix D)</w:t>
      </w:r>
      <w:bookmarkEnd w:id="60"/>
    </w:p>
    <w:p w14:paraId="5D57766C" w14:textId="6C735EAF" w:rsidR="00D57468" w:rsidRDefault="00A12E60" w:rsidP="009E18CF">
      <w:pPr>
        <w:pStyle w:val="BodyText"/>
        <w:tabs>
          <w:tab w:val="left" w:pos="9630"/>
        </w:tabs>
        <w:jc w:val="center"/>
      </w:pPr>
      <w:r w:rsidRPr="00A12E60">
        <w:rPr>
          <w:noProof/>
        </w:rPr>
        <w:drawing>
          <wp:inline distT="0" distB="0" distL="0" distR="0" wp14:anchorId="4F480ED2" wp14:editId="04C2BD3A">
            <wp:extent cx="8244840" cy="5029056"/>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t="-323" r="49678" b="49033"/>
                    <a:stretch/>
                  </pic:blipFill>
                  <pic:spPr bwMode="auto">
                    <a:xfrm>
                      <a:off x="0" y="0"/>
                      <a:ext cx="8258484" cy="5037378"/>
                    </a:xfrm>
                    <a:prstGeom prst="rect">
                      <a:avLst/>
                    </a:prstGeom>
                    <a:noFill/>
                    <a:ln>
                      <a:noFill/>
                    </a:ln>
                    <a:extLst>
                      <a:ext uri="{53640926-AAD7-44D8-BBD7-CCE9431645EC}">
                        <a14:shadowObscured xmlns:a14="http://schemas.microsoft.com/office/drawing/2010/main"/>
                      </a:ext>
                    </a:extLst>
                  </pic:spPr>
                </pic:pic>
              </a:graphicData>
            </a:graphic>
          </wp:inline>
        </w:drawing>
      </w:r>
    </w:p>
    <w:p w14:paraId="65422F9E" w14:textId="3E3F6BFD" w:rsidR="00D57468" w:rsidRPr="0042155C" w:rsidRDefault="00D57468" w:rsidP="00D57468">
      <w:pPr>
        <w:rPr>
          <w:rFonts w:ascii="Franklin Gothic Book" w:eastAsia="Arial Narrow" w:hAnsi="Franklin Gothic Book"/>
          <w:bCs/>
          <w:sz w:val="18"/>
          <w:szCs w:val="18"/>
          <w:lang w:bidi="ar-SA"/>
        </w:rPr>
      </w:pPr>
      <w:r w:rsidRPr="0042155C">
        <w:rPr>
          <w:rFonts w:ascii="Franklin Gothic Book" w:eastAsia="Arial Narrow" w:hAnsi="Franklin Gothic Book"/>
          <w:b/>
          <w:bCs/>
          <w:sz w:val="18"/>
          <w:szCs w:val="18"/>
          <w:lang w:bidi="ar-SA"/>
        </w:rPr>
        <w:t>Note</w:t>
      </w:r>
      <w:r w:rsidRPr="00D57468">
        <w:rPr>
          <w:rFonts w:ascii="Franklin Gothic Book" w:eastAsia="Arial Narrow" w:hAnsi="Franklin Gothic Book"/>
          <w:bCs/>
          <w:sz w:val="16"/>
          <w:lang w:bidi="ar-SA"/>
        </w:rPr>
        <w:t xml:space="preserve">: </w:t>
      </w:r>
      <w:r w:rsidRPr="0042155C">
        <w:rPr>
          <w:rFonts w:ascii="Franklin Gothic Book" w:eastAsia="Arial Narrow" w:hAnsi="Franklin Gothic Book"/>
          <w:bCs/>
          <w:sz w:val="18"/>
          <w:szCs w:val="18"/>
          <w:lang w:bidi="ar-SA"/>
        </w:rPr>
        <w:t>NYSDEC’s Part 227-3 applies to all simple cycle gas turbines with nameplates equal to or greater than 15 MW.  Thus, all simple cycle generators are subject to the rule and all owners of these machines were required to submit compliance plans to the NYSDEC.  The compliance plans consist of statements that the generator; already complies with the new NOx limits, will retire, will limit operation during the ozone season, and/or will retrofit emission control technology to meet the emission limits of the new rule.  If the plant owners submitted compliance plans that state that the generator will able to operate within the new NOx limits during the ozone season, these generators remain in service in the 2020 RNA base case.</w:t>
      </w:r>
    </w:p>
    <w:p w14:paraId="331E0307" w14:textId="77777777" w:rsidR="007E7F60" w:rsidRDefault="007E7F60" w:rsidP="00E61647">
      <w:pPr>
        <w:pStyle w:val="Figure"/>
        <w:sectPr w:rsidR="007E7F60" w:rsidSect="007E7F60">
          <w:pgSz w:w="15840" w:h="12240" w:orient="landscape" w:code="1"/>
          <w:pgMar w:top="1080" w:right="1440" w:bottom="1080" w:left="1440" w:header="720" w:footer="58" w:gutter="0"/>
          <w:cols w:space="720"/>
          <w:docGrid w:linePitch="360"/>
        </w:sectPr>
      </w:pPr>
    </w:p>
    <w:p w14:paraId="1164789E" w14:textId="732662A4" w:rsidR="0030136D" w:rsidRDefault="0030136D" w:rsidP="0030136D">
      <w:pPr>
        <w:pStyle w:val="Heading2"/>
      </w:pPr>
      <w:bookmarkStart w:id="64" w:name="_Toc48252286"/>
      <w:bookmarkStart w:id="65" w:name="_Ref47022603"/>
      <w:r>
        <w:lastRenderedPageBreak/>
        <w:t>Additional Proposed Projects from the Interconnection Queue</w:t>
      </w:r>
      <w:bookmarkEnd w:id="64"/>
    </w:p>
    <w:p w14:paraId="7EC31352" w14:textId="121587A2" w:rsidR="0030136D" w:rsidRPr="004C09BF" w:rsidRDefault="0030136D" w:rsidP="0030136D">
      <w:pPr>
        <w:pStyle w:val="BodyText"/>
      </w:pPr>
      <w:r w:rsidRPr="004C09BF">
        <w:t xml:space="preserve">In addition to the projects that met the 2020 RNA inclusion rules (listed in </w:t>
      </w:r>
      <w:r w:rsidRPr="004C09BF">
        <w:fldChar w:fldCharType="begin"/>
      </w:r>
      <w:r w:rsidRPr="004C09BF">
        <w:instrText xml:space="preserve"> REF _Ref506980825 \h  \* MERGEFORMAT </w:instrText>
      </w:r>
      <w:r w:rsidRPr="004C09BF">
        <w:fldChar w:fldCharType="separate"/>
      </w:r>
      <w:r w:rsidRPr="004C09BF">
        <w:t>Figure 14</w:t>
      </w:r>
      <w:r w:rsidRPr="004C09BF">
        <w:fldChar w:fldCharType="end"/>
      </w:r>
      <w:r w:rsidRPr="004C09BF">
        <w:t>), a number of other projects are progressing through the NYISO’s interconnection process. Some of these additional generation resources either have accepted their cost allocation as part of a prior Class Year Facilities Study process, or are included in the Class Year 201</w:t>
      </w:r>
      <w:r>
        <w:t>9</w:t>
      </w:r>
      <w:r w:rsidRPr="004C09BF">
        <w:t xml:space="preserve"> Facilities Study, or are candidates for future interconnection facilities studies. These projects are listed in the</w:t>
      </w:r>
      <w:r w:rsidR="00486B20">
        <w:t xml:space="preserve"> 2020</w:t>
      </w:r>
      <w:r w:rsidRPr="004C09BF">
        <w:t xml:space="preserve"> Gold Book and also in</w:t>
      </w:r>
      <w:r>
        <w:t xml:space="preserve"> </w:t>
      </w:r>
      <w:r w:rsidR="00180FB4">
        <w:fldChar w:fldCharType="begin"/>
      </w:r>
      <w:r w:rsidR="00180FB4">
        <w:instrText xml:space="preserve"> REF _Ref47360710 \h </w:instrText>
      </w:r>
      <w:r w:rsidR="00180FB4">
        <w:fldChar w:fldCharType="separate"/>
      </w:r>
      <w:r w:rsidR="00180FB4" w:rsidRPr="00F851F1">
        <w:t xml:space="preserve">Figure </w:t>
      </w:r>
      <w:r w:rsidR="00180FB4">
        <w:rPr>
          <w:noProof/>
        </w:rPr>
        <w:t>17</w:t>
      </w:r>
      <w:r w:rsidR="00180FB4">
        <w:fldChar w:fldCharType="end"/>
      </w:r>
      <w:r w:rsidR="00180FB4">
        <w:t xml:space="preserve"> </w:t>
      </w:r>
      <w:r>
        <w:t xml:space="preserve">and </w:t>
      </w:r>
      <w:r>
        <w:fldChar w:fldCharType="begin"/>
      </w:r>
      <w:r>
        <w:instrText xml:space="preserve"> REF _Ref47022606 \h </w:instrText>
      </w:r>
      <w:r>
        <w:fldChar w:fldCharType="separate"/>
      </w:r>
      <w:r w:rsidRPr="00B74F0D">
        <w:t xml:space="preserve">Figure </w:t>
      </w:r>
      <w:r>
        <w:rPr>
          <w:noProof/>
        </w:rPr>
        <w:t>18</w:t>
      </w:r>
      <w:r>
        <w:fldChar w:fldCharType="end"/>
      </w:r>
      <w:r w:rsidRPr="004C09BF">
        <w:t xml:space="preserve">. </w:t>
      </w:r>
    </w:p>
    <w:p w14:paraId="52376BD6" w14:textId="77777777" w:rsidR="0030136D" w:rsidRPr="0030136D" w:rsidRDefault="0030136D" w:rsidP="0030136D"/>
    <w:p w14:paraId="028289C6" w14:textId="77777777" w:rsidR="0030136D" w:rsidRDefault="0030136D" w:rsidP="00F851F1">
      <w:pPr>
        <w:pStyle w:val="Figure"/>
        <w:keepNext/>
      </w:pPr>
    </w:p>
    <w:p w14:paraId="6A65AA89" w14:textId="3101A4CF" w:rsidR="00067FD4" w:rsidRPr="00F851F1" w:rsidRDefault="0014459A" w:rsidP="00F851F1">
      <w:pPr>
        <w:pStyle w:val="Figure"/>
        <w:keepNext/>
      </w:pPr>
      <w:bookmarkStart w:id="66" w:name="_Ref47360710"/>
      <w:bookmarkStart w:id="67" w:name="_Toc48251335"/>
      <w:r w:rsidRPr="00F851F1">
        <w:t xml:space="preserve">Figure </w:t>
      </w:r>
      <w:r w:rsidR="00D517E4">
        <w:fldChar w:fldCharType="begin"/>
      </w:r>
      <w:r w:rsidR="00D517E4">
        <w:instrText xml:space="preserve"> SEQ Figure \* ARABIC </w:instrText>
      </w:r>
      <w:r w:rsidR="00D517E4">
        <w:fldChar w:fldCharType="separate"/>
      </w:r>
      <w:r w:rsidR="00F94268">
        <w:rPr>
          <w:noProof/>
        </w:rPr>
        <w:t>17</w:t>
      </w:r>
      <w:r w:rsidR="00D517E4">
        <w:rPr>
          <w:noProof/>
        </w:rPr>
        <w:fldChar w:fldCharType="end"/>
      </w:r>
      <w:bookmarkEnd w:id="61"/>
      <w:bookmarkEnd w:id="65"/>
      <w:bookmarkEnd w:id="66"/>
      <w:r w:rsidRPr="00F851F1">
        <w:t>: Additional Proposed Generation Projects from the 20</w:t>
      </w:r>
      <w:r w:rsidR="00F851F1">
        <w:t>20</w:t>
      </w:r>
      <w:r w:rsidRPr="00F851F1">
        <w:t xml:space="preserve"> Gold Book</w:t>
      </w:r>
      <w:bookmarkEnd w:id="62"/>
      <w:bookmarkEnd w:id="63"/>
      <w:bookmarkEnd w:id="67"/>
    </w:p>
    <w:p w14:paraId="594C2B40" w14:textId="6672F9E2" w:rsidR="00E6348E" w:rsidRDefault="00BD7DD2" w:rsidP="008F4438">
      <w:pPr>
        <w:pStyle w:val="BodyText"/>
        <w:jc w:val="center"/>
      </w:pPr>
      <w:r w:rsidRPr="00BD7DD2">
        <w:rPr>
          <w:noProof/>
        </w:rPr>
        <w:drawing>
          <wp:inline distT="0" distB="0" distL="0" distR="0" wp14:anchorId="4BED683B" wp14:editId="3C8F9E9B">
            <wp:extent cx="6137031" cy="69069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62" r="48890" b="49432"/>
                    <a:stretch/>
                  </pic:blipFill>
                  <pic:spPr bwMode="auto">
                    <a:xfrm>
                      <a:off x="0" y="0"/>
                      <a:ext cx="6144952" cy="6915823"/>
                    </a:xfrm>
                    <a:prstGeom prst="rect">
                      <a:avLst/>
                    </a:prstGeom>
                    <a:noFill/>
                    <a:ln>
                      <a:noFill/>
                    </a:ln>
                    <a:extLst>
                      <a:ext uri="{53640926-AAD7-44D8-BBD7-CCE9431645EC}">
                        <a14:shadowObscured xmlns:a14="http://schemas.microsoft.com/office/drawing/2010/main"/>
                      </a:ext>
                    </a:extLst>
                  </pic:spPr>
                </pic:pic>
              </a:graphicData>
            </a:graphic>
          </wp:inline>
        </w:drawing>
      </w:r>
    </w:p>
    <w:p w14:paraId="5A241C27" w14:textId="4B985E05" w:rsidR="006E22DB" w:rsidRPr="00EF5A75" w:rsidRDefault="00F851F1" w:rsidP="008F4438">
      <w:pPr>
        <w:pStyle w:val="BodyText"/>
        <w:jc w:val="center"/>
      </w:pPr>
      <w:bookmarkStart w:id="68" w:name="_Ref506981032"/>
      <w:bookmarkStart w:id="69" w:name="_Ref506890115"/>
      <w:bookmarkStart w:id="70" w:name="_Toc506966640"/>
      <w:r w:rsidRPr="00F851F1">
        <w:rPr>
          <w:noProof/>
        </w:rPr>
        <w:lastRenderedPageBreak/>
        <w:drawing>
          <wp:inline distT="0" distB="0" distL="0" distR="0" wp14:anchorId="04320EEC" wp14:editId="33C28615">
            <wp:extent cx="6156195" cy="72805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155" r="49354" b="49464"/>
                    <a:stretch/>
                  </pic:blipFill>
                  <pic:spPr bwMode="auto">
                    <a:xfrm>
                      <a:off x="0" y="0"/>
                      <a:ext cx="6172955" cy="7300385"/>
                    </a:xfrm>
                    <a:prstGeom prst="rect">
                      <a:avLst/>
                    </a:prstGeom>
                    <a:noFill/>
                    <a:ln>
                      <a:noFill/>
                    </a:ln>
                    <a:extLst>
                      <a:ext uri="{53640926-AAD7-44D8-BBD7-CCE9431645EC}">
                        <a14:shadowObscured xmlns:a14="http://schemas.microsoft.com/office/drawing/2010/main"/>
                      </a:ext>
                    </a:extLst>
                  </pic:spPr>
                </pic:pic>
              </a:graphicData>
            </a:graphic>
          </wp:inline>
        </w:drawing>
      </w:r>
    </w:p>
    <w:p w14:paraId="14603C4B" w14:textId="77777777" w:rsidR="0043166F" w:rsidRDefault="00180FB4" w:rsidP="0043166F">
      <w:pPr>
        <w:pStyle w:val="caption10"/>
        <w:rPr>
          <w:sz w:val="18"/>
          <w:szCs w:val="18"/>
        </w:rPr>
      </w:pPr>
      <w:r w:rsidRPr="00180FB4">
        <w:rPr>
          <w:bCs w:val="0"/>
          <w:noProof/>
        </w:rPr>
        <w:lastRenderedPageBreak/>
        <w:drawing>
          <wp:inline distT="0" distB="0" distL="0" distR="0" wp14:anchorId="3F9EA2B4" wp14:editId="05582844">
            <wp:extent cx="6322328" cy="55854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1" t="-411" r="48926" b="48328"/>
                    <a:stretch/>
                  </pic:blipFill>
                  <pic:spPr bwMode="auto">
                    <a:xfrm>
                      <a:off x="0" y="0"/>
                      <a:ext cx="6330520" cy="5592697"/>
                    </a:xfrm>
                    <a:prstGeom prst="rect">
                      <a:avLst/>
                    </a:prstGeom>
                    <a:noFill/>
                    <a:ln>
                      <a:noFill/>
                    </a:ln>
                    <a:extLst>
                      <a:ext uri="{53640926-AAD7-44D8-BBD7-CCE9431645EC}">
                        <a14:shadowObscured xmlns:a14="http://schemas.microsoft.com/office/drawing/2010/main"/>
                      </a:ext>
                    </a:extLst>
                  </pic:spPr>
                </pic:pic>
              </a:graphicData>
            </a:graphic>
          </wp:inline>
        </w:drawing>
      </w:r>
    </w:p>
    <w:p w14:paraId="3658DF35" w14:textId="367D010B" w:rsidR="001E668A" w:rsidRPr="008158DC" w:rsidRDefault="001E668A" w:rsidP="0043166F">
      <w:pPr>
        <w:pStyle w:val="caption10"/>
        <w:rPr>
          <w:sz w:val="18"/>
          <w:szCs w:val="18"/>
        </w:rPr>
      </w:pPr>
      <w:r w:rsidRPr="008158DC">
        <w:rPr>
          <w:sz w:val="18"/>
          <w:szCs w:val="18"/>
        </w:rPr>
        <w:t xml:space="preserve">* </w:t>
      </w:r>
      <w:r w:rsidR="00F851F1" w:rsidRPr="008158DC">
        <w:rPr>
          <w:sz w:val="18"/>
          <w:szCs w:val="18"/>
        </w:rPr>
        <w:t>Generation projects that met 2020 RNA Inclusion Rule are assumed to be in-service one year later than 2020 GB Proposed Date to reflect</w:t>
      </w:r>
      <w:r w:rsidR="00486B20" w:rsidRPr="008158DC">
        <w:rPr>
          <w:sz w:val="18"/>
          <w:szCs w:val="18"/>
        </w:rPr>
        <w:t xml:space="preserve"> the potential</w:t>
      </w:r>
      <w:r w:rsidR="00F851F1" w:rsidRPr="008158DC">
        <w:rPr>
          <w:sz w:val="18"/>
          <w:szCs w:val="18"/>
        </w:rPr>
        <w:t xml:space="preserve"> impact of Covid-19</w:t>
      </w:r>
      <w:r w:rsidR="00486B20" w:rsidRPr="008158DC">
        <w:rPr>
          <w:sz w:val="18"/>
          <w:szCs w:val="18"/>
        </w:rPr>
        <w:t xml:space="preserve"> on construction and completion.</w:t>
      </w:r>
    </w:p>
    <w:p w14:paraId="4AE7C24E" w14:textId="77777777" w:rsidR="00B74F0D" w:rsidRDefault="00B74F0D" w:rsidP="00B74F0D">
      <w:pPr>
        <w:pStyle w:val="Figure"/>
        <w:keepNext/>
      </w:pPr>
      <w:bookmarkStart w:id="71" w:name="_Ref517168686"/>
    </w:p>
    <w:p w14:paraId="1D97AC78" w14:textId="6B0D4E43" w:rsidR="00B74F0D" w:rsidRPr="00B74F0D" w:rsidRDefault="0014459A" w:rsidP="009474AD">
      <w:pPr>
        <w:pStyle w:val="Figure"/>
        <w:keepNext/>
        <w:keepLines/>
      </w:pPr>
      <w:bookmarkStart w:id="72" w:name="_Ref47022606"/>
      <w:bookmarkStart w:id="73" w:name="_Toc48251336"/>
      <w:r w:rsidRPr="00B74F0D">
        <w:t xml:space="preserve">Figure </w:t>
      </w:r>
      <w:r w:rsidR="00D517E4">
        <w:fldChar w:fldCharType="begin"/>
      </w:r>
      <w:r w:rsidR="00D517E4">
        <w:instrText xml:space="preserve"> SEQ Figure \* ARABIC </w:instrText>
      </w:r>
      <w:r w:rsidR="00D517E4">
        <w:fldChar w:fldCharType="separate"/>
      </w:r>
      <w:r w:rsidR="00F94268">
        <w:rPr>
          <w:noProof/>
        </w:rPr>
        <w:t>18</w:t>
      </w:r>
      <w:r w:rsidR="00D517E4">
        <w:rPr>
          <w:noProof/>
        </w:rPr>
        <w:fldChar w:fldCharType="end"/>
      </w:r>
      <w:bookmarkEnd w:id="68"/>
      <w:bookmarkEnd w:id="71"/>
      <w:bookmarkEnd w:id="72"/>
      <w:r w:rsidRPr="00B74F0D">
        <w:t>: Additional Proposed Transmission Projects from the 20</w:t>
      </w:r>
      <w:r w:rsidR="00B74F0D">
        <w:t>20</w:t>
      </w:r>
      <w:r w:rsidRPr="00B74F0D">
        <w:t xml:space="preserve"> Gold Book</w:t>
      </w:r>
      <w:bookmarkEnd w:id="69"/>
      <w:bookmarkEnd w:id="70"/>
      <w:bookmarkEnd w:id="73"/>
      <w:r w:rsidR="00B74F0D">
        <w:t xml:space="preserve"> </w:t>
      </w:r>
    </w:p>
    <w:p w14:paraId="2F66F4B2" w14:textId="54D6ED1F" w:rsidR="00BD18E9" w:rsidRDefault="00180FB4" w:rsidP="008F4438">
      <w:pPr>
        <w:pStyle w:val="BodyText"/>
        <w:jc w:val="center"/>
      </w:pPr>
      <w:r w:rsidRPr="00180FB4">
        <w:rPr>
          <w:noProof/>
        </w:rPr>
        <w:drawing>
          <wp:inline distT="0" distB="0" distL="0" distR="0" wp14:anchorId="3F0B0E68" wp14:editId="6ED99636">
            <wp:extent cx="5642094" cy="6469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r="48953" b="49548"/>
                    <a:stretch/>
                  </pic:blipFill>
                  <pic:spPr bwMode="auto">
                    <a:xfrm>
                      <a:off x="0" y="0"/>
                      <a:ext cx="5647636" cy="6475735"/>
                    </a:xfrm>
                    <a:prstGeom prst="rect">
                      <a:avLst/>
                    </a:prstGeom>
                    <a:noFill/>
                    <a:ln>
                      <a:noFill/>
                    </a:ln>
                    <a:extLst>
                      <a:ext uri="{53640926-AAD7-44D8-BBD7-CCE9431645EC}">
                        <a14:shadowObscured xmlns:a14="http://schemas.microsoft.com/office/drawing/2010/main"/>
                      </a:ext>
                    </a:extLst>
                  </pic:spPr>
                </pic:pic>
              </a:graphicData>
            </a:graphic>
          </wp:inline>
        </w:drawing>
      </w:r>
    </w:p>
    <w:p w14:paraId="1BC624E3" w14:textId="216FC7B2" w:rsidR="0084324A" w:rsidRDefault="0084324A" w:rsidP="007F4483">
      <w:pPr>
        <w:pStyle w:val="Heading2"/>
      </w:pPr>
      <w:bookmarkStart w:id="74" w:name="_Toc48252287"/>
      <w:r>
        <w:t>Local Transmission Plans</w:t>
      </w:r>
      <w:bookmarkEnd w:id="74"/>
      <w:r w:rsidR="00B5411F">
        <w:t xml:space="preserve"> </w:t>
      </w:r>
    </w:p>
    <w:p w14:paraId="4B255CAF" w14:textId="49BCA8E0" w:rsidR="00ED6DE8" w:rsidRPr="00D852F8" w:rsidRDefault="0037014F" w:rsidP="00D852F8">
      <w:pPr>
        <w:pStyle w:val="BodyText"/>
        <w:rPr>
          <w:color w:val="FF0000"/>
        </w:rPr>
      </w:pPr>
      <w:r w:rsidRPr="001C7F2D">
        <w:t xml:space="preserve">As part of the NYISO’s Local Transmission Planning Process, </w:t>
      </w:r>
      <w:r w:rsidR="00486B20">
        <w:t xml:space="preserve">the New York </w:t>
      </w:r>
      <w:r w:rsidRPr="001C7F2D">
        <w:t xml:space="preserve">TOs present their </w:t>
      </w:r>
      <w:r w:rsidR="00C60972">
        <w:t>Local Transmission Owner Plans (</w:t>
      </w:r>
      <w:r w:rsidRPr="001C7F2D">
        <w:t>LTPs</w:t>
      </w:r>
      <w:r w:rsidR="00C60972">
        <w:t>)</w:t>
      </w:r>
      <w:r w:rsidRPr="001C7F2D">
        <w:t xml:space="preserve"> to the NYISO and stakeholders during ESPWG and TPAS meetings. The firm transmission plans presented in the LTPs and </w:t>
      </w:r>
      <w:r w:rsidR="00A568BE" w:rsidRPr="001C7F2D">
        <w:t>reported as firm in the 2020</w:t>
      </w:r>
      <w:r w:rsidRPr="001C7F2D">
        <w:t xml:space="preserve"> Go</w:t>
      </w:r>
      <w:r w:rsidR="00A568BE" w:rsidRPr="001C7F2D">
        <w:t xml:space="preserve">ld Book are included in </w:t>
      </w:r>
      <w:r w:rsidR="00A568BE" w:rsidRPr="001C7F2D">
        <w:lastRenderedPageBreak/>
        <w:t>the 2020</w:t>
      </w:r>
      <w:r w:rsidRPr="001C7F2D">
        <w:t xml:space="preserve"> RNA Base Case</w:t>
      </w:r>
      <w:r w:rsidR="0050340A">
        <w:t>, with consideration for their in-service date</w:t>
      </w:r>
      <w:r w:rsidR="009C0287">
        <w:t>s</w:t>
      </w:r>
      <w:r w:rsidRPr="001C7F2D">
        <w:t>. A summary of these projec</w:t>
      </w:r>
      <w:r w:rsidR="00CD10C3" w:rsidRPr="001C7F2D">
        <w:t xml:space="preserve">ts </w:t>
      </w:r>
      <w:r w:rsidR="009C0287">
        <w:t>is</w:t>
      </w:r>
      <w:r w:rsidR="009C0287" w:rsidRPr="001C7F2D">
        <w:t xml:space="preserve"> </w:t>
      </w:r>
      <w:r w:rsidR="00CD10C3" w:rsidRPr="001C7F2D">
        <w:t xml:space="preserve">reported in </w:t>
      </w:r>
      <w:r w:rsidR="00CD10C3" w:rsidRPr="001C7F2D">
        <w:rPr>
          <w:b/>
        </w:rPr>
        <w:t>Appendix D</w:t>
      </w:r>
      <w:r w:rsidR="0020268B" w:rsidRPr="001C7F2D">
        <w:rPr>
          <w:b/>
        </w:rPr>
        <w:t xml:space="preserve"> </w:t>
      </w:r>
      <w:r w:rsidR="0020268B" w:rsidRPr="001C7F2D">
        <w:t xml:space="preserve">of </w:t>
      </w:r>
      <w:r w:rsidR="002946CD" w:rsidRPr="001C7F2D">
        <w:t>this report</w:t>
      </w:r>
      <w:r w:rsidR="00CD10C3" w:rsidRPr="001C7F2D">
        <w:t xml:space="preserve">. </w:t>
      </w:r>
    </w:p>
    <w:p w14:paraId="36A6B343" w14:textId="485F7186" w:rsidR="0084324A" w:rsidRPr="001C7F2D" w:rsidRDefault="0084324A" w:rsidP="007F4483">
      <w:pPr>
        <w:pStyle w:val="Heading2"/>
      </w:pPr>
      <w:bookmarkStart w:id="75" w:name="_Toc48252288"/>
      <w:r w:rsidRPr="001C7F2D">
        <w:t>Bulk Transmission Projects</w:t>
      </w:r>
      <w:bookmarkEnd w:id="75"/>
      <w:r w:rsidRPr="001C7F2D">
        <w:t xml:space="preserve"> </w:t>
      </w:r>
    </w:p>
    <w:p w14:paraId="15F892F0" w14:textId="77777777" w:rsidR="00E43071" w:rsidRPr="00957316" w:rsidRDefault="0037014F" w:rsidP="00C97C50">
      <w:pPr>
        <w:pStyle w:val="BodyText"/>
      </w:pPr>
      <w:r w:rsidRPr="00957316">
        <w:t>The notable bulk transmission project</w:t>
      </w:r>
      <w:r w:rsidR="00E43071" w:rsidRPr="00957316">
        <w:t>s</w:t>
      </w:r>
      <w:r w:rsidRPr="00957316">
        <w:t xml:space="preserve"> that met the inclusion rules and </w:t>
      </w:r>
      <w:r w:rsidR="00E43071" w:rsidRPr="00957316">
        <w:t>are</w:t>
      </w:r>
      <w:r w:rsidRPr="00957316">
        <w:t xml:space="preserve"> modeled in the 20</w:t>
      </w:r>
      <w:r w:rsidR="00E43071" w:rsidRPr="00957316">
        <w:t>20</w:t>
      </w:r>
      <w:r w:rsidRPr="00957316">
        <w:t xml:space="preserve"> RNA Base Case </w:t>
      </w:r>
      <w:r w:rsidR="00E43071" w:rsidRPr="00957316">
        <w:t>are:</w:t>
      </w:r>
    </w:p>
    <w:p w14:paraId="635C5620" w14:textId="3822E473" w:rsidR="0037014F" w:rsidRPr="00957316" w:rsidRDefault="009306DC" w:rsidP="00A8579E">
      <w:pPr>
        <w:pStyle w:val="BodyText"/>
        <w:numPr>
          <w:ilvl w:val="0"/>
          <w:numId w:val="30"/>
        </w:numPr>
      </w:pPr>
      <w:r>
        <w:t xml:space="preserve">The </w:t>
      </w:r>
      <w:r w:rsidR="00C60972">
        <w:t xml:space="preserve">NextEra </w:t>
      </w:r>
      <w:r w:rsidR="0037014F" w:rsidRPr="00957316">
        <w:t>Empire State Line Project</w:t>
      </w:r>
      <w:r w:rsidR="0064468B" w:rsidRPr="00957316">
        <w:t xml:space="preserve"> that was selected by the NYISO Board</w:t>
      </w:r>
      <w:r w:rsidR="009C0287">
        <w:t xml:space="preserve"> of Directors</w:t>
      </w:r>
      <w:r w:rsidR="0064468B" w:rsidRPr="00957316">
        <w:t xml:space="preserve"> in October 2017</w:t>
      </w:r>
      <w:r>
        <w:t xml:space="preserve"> to address the Western New York Public Policy Transmission Need</w:t>
      </w:r>
      <w:r w:rsidR="0037014F" w:rsidRPr="00957316">
        <w:t xml:space="preserve">. </w:t>
      </w:r>
      <w:r w:rsidR="0064468B" w:rsidRPr="00957316">
        <w:t>This project includes a new 345 kV circuit and phase angle regulator (PAR) that will alleviate</w:t>
      </w:r>
      <w:r w:rsidR="0019190E" w:rsidRPr="00957316">
        <w:t xml:space="preserve"> constraints in the Niagara area.  </w:t>
      </w:r>
      <w:r w:rsidR="0037014F" w:rsidRPr="00957316">
        <w:t xml:space="preserve">The </w:t>
      </w:r>
      <w:r>
        <w:t>planned</w:t>
      </w:r>
      <w:r w:rsidRPr="00957316">
        <w:t xml:space="preserve"> </w:t>
      </w:r>
      <w:r w:rsidR="000F2EC3" w:rsidRPr="00957316">
        <w:t>in</w:t>
      </w:r>
      <w:r w:rsidR="000F2EC3">
        <w:t>-</w:t>
      </w:r>
      <w:r w:rsidR="0037014F" w:rsidRPr="00957316">
        <w:t>service date for this project is</w:t>
      </w:r>
      <w:r w:rsidR="009C0287">
        <w:t xml:space="preserve"> </w:t>
      </w:r>
      <w:r>
        <w:t>June</w:t>
      </w:r>
      <w:r w:rsidR="0037014F" w:rsidRPr="00957316">
        <w:t xml:space="preserve"> 2022.</w:t>
      </w:r>
    </w:p>
    <w:p w14:paraId="0DE32F02" w14:textId="446900A5" w:rsidR="009306DC" w:rsidRDefault="009306DC" w:rsidP="00A8579E">
      <w:pPr>
        <w:pStyle w:val="BodyText"/>
        <w:numPr>
          <w:ilvl w:val="0"/>
          <w:numId w:val="30"/>
        </w:numPr>
        <w:spacing w:after="200"/>
      </w:pPr>
      <w:r>
        <w:t xml:space="preserve">The Segment A AC Transmission joint project by LS Power and New York Power Authority (NYPA) that was selected by the NYISO Board of Directors in April 2019.  </w:t>
      </w:r>
      <w:r w:rsidRPr="009306DC">
        <w:t>The project includes a new double-circuit 345 kV line between Edic and New Scotland substations, two new 345 kV substations at Princetown and Rotterdam, two new 345 kV lines between Princetown to Rotterdam substations, and retirement of the existing Porter to Rotterdam 230 kV lines.</w:t>
      </w:r>
      <w:r>
        <w:t xml:space="preserve">  The planned in-service date is December 2023.</w:t>
      </w:r>
    </w:p>
    <w:p w14:paraId="14EC486D" w14:textId="79B0B989" w:rsidR="009306DC" w:rsidRDefault="009306DC" w:rsidP="009306DC">
      <w:pPr>
        <w:pStyle w:val="BodyText"/>
        <w:numPr>
          <w:ilvl w:val="0"/>
          <w:numId w:val="30"/>
        </w:numPr>
        <w:spacing w:after="200"/>
      </w:pPr>
      <w:r>
        <w:t xml:space="preserve">The New York Transco Segment B AC Transmission project that also was selected by the NYISO Board of Directors in April 2019.  </w:t>
      </w:r>
      <w:r w:rsidRPr="009306DC">
        <w:t>The project includes a new double-circuit 345/115 kV line from a new Knickerbocker 345 kV switching station to the existing Pleasant Valley substation, 50% series compensation on the Knickerbocker to Pleasant Valley 345 kV line, and retirement of 115 kV lines between Greenbush and Pleasant Valley substations.</w:t>
      </w:r>
      <w:r>
        <w:t xml:space="preserve">  The planned in-service date is December 2023.</w:t>
      </w:r>
      <w:r w:rsidRPr="009306DC">
        <w:t xml:space="preserve">   </w:t>
      </w:r>
      <w:r>
        <w:t xml:space="preserve"> </w:t>
      </w:r>
      <w:r w:rsidRPr="009306DC">
        <w:t xml:space="preserve">  </w:t>
      </w:r>
      <w:r>
        <w:t xml:space="preserve"> </w:t>
      </w:r>
    </w:p>
    <w:p w14:paraId="1399A736" w14:textId="40B7AB35" w:rsidR="0084324A" w:rsidRDefault="0084324A" w:rsidP="007F4483">
      <w:pPr>
        <w:pStyle w:val="Heading2"/>
      </w:pPr>
      <w:bookmarkStart w:id="76" w:name="_Toc48252289"/>
      <w:r w:rsidRPr="00532D1E">
        <w:t>Base</w:t>
      </w:r>
      <w:r>
        <w:t xml:space="preserve"> Case Peak Load and Resource</w:t>
      </w:r>
      <w:r w:rsidR="005B6D9F">
        <w:t>s Summaries</w:t>
      </w:r>
      <w:bookmarkEnd w:id="76"/>
      <w:r w:rsidR="005B6D9F">
        <w:t xml:space="preserve"> </w:t>
      </w:r>
    </w:p>
    <w:p w14:paraId="08B07054" w14:textId="60165A96" w:rsidR="00E91077" w:rsidRPr="00682068" w:rsidRDefault="001A69AC" w:rsidP="00337F72">
      <w:pPr>
        <w:pStyle w:val="BodyText"/>
      </w:pPr>
      <w:r w:rsidRPr="00682068">
        <w:t xml:space="preserve">The </w:t>
      </w:r>
      <w:r w:rsidR="00682068" w:rsidRPr="00682068">
        <w:t>2020</w:t>
      </w:r>
      <w:r w:rsidR="0084324A" w:rsidRPr="00682068">
        <w:t xml:space="preserve"> RNA </w:t>
      </w:r>
      <w:r w:rsidR="00E64FD1">
        <w:t>Base C</w:t>
      </w:r>
      <w:r w:rsidR="0084324A" w:rsidRPr="00682068">
        <w:t xml:space="preserve">ase </w:t>
      </w:r>
      <w:r w:rsidRPr="00682068">
        <w:t>model</w:t>
      </w:r>
      <w:r w:rsidR="00E47622">
        <w:t>s</w:t>
      </w:r>
      <w:r w:rsidRPr="00682068">
        <w:t xml:space="preserve"> </w:t>
      </w:r>
      <w:r w:rsidR="002C07C0">
        <w:t>the</w:t>
      </w:r>
      <w:r w:rsidR="0084324A" w:rsidRPr="00682068">
        <w:t xml:space="preserve"> existing generation</w:t>
      </w:r>
      <w:r w:rsidR="00E47622">
        <w:t xml:space="preserve"> as</w:t>
      </w:r>
      <w:r w:rsidR="0084324A" w:rsidRPr="00682068">
        <w:t xml:space="preserve"> adj</w:t>
      </w:r>
      <w:r w:rsidR="00C80BAF">
        <w:t xml:space="preserve">usted for the unit deactivations </w:t>
      </w:r>
      <w:r w:rsidR="00682068" w:rsidRPr="00682068">
        <w:t xml:space="preserve">listed in the 2020 Gold Book, </w:t>
      </w:r>
      <w:r w:rsidR="00E47622">
        <w:t xml:space="preserve">and </w:t>
      </w:r>
      <w:r w:rsidR="0084324A" w:rsidRPr="00682068">
        <w:t xml:space="preserve">along with the new resource additions that met the base case inclusion rules set forth in </w:t>
      </w:r>
      <w:r w:rsidRPr="00682068">
        <w:t>Section 3</w:t>
      </w:r>
      <w:r w:rsidR="00682068" w:rsidRPr="00682068">
        <w:t xml:space="preserve"> of the RPP Manual. </w:t>
      </w:r>
      <w:r w:rsidR="001510B8" w:rsidRPr="00682068">
        <w:t xml:space="preserve"> </w:t>
      </w:r>
      <w:r w:rsidR="0084324A" w:rsidRPr="00682068">
        <w:t>This capacity is summarized in</w:t>
      </w:r>
      <w:r w:rsidR="00E91077" w:rsidRPr="00243349">
        <w:rPr>
          <w:color w:val="FF0000"/>
        </w:rPr>
        <w:t xml:space="preserve"> </w:t>
      </w:r>
      <w:r w:rsidR="00A13AEB" w:rsidRPr="00243349">
        <w:rPr>
          <w:color w:val="FF0000"/>
        </w:rPr>
        <w:fldChar w:fldCharType="begin"/>
      </w:r>
      <w:r w:rsidR="00A13AEB" w:rsidRPr="00243349">
        <w:rPr>
          <w:color w:val="FF0000"/>
        </w:rPr>
        <w:instrText xml:space="preserve"> REF _Ref520129213 \h </w:instrText>
      </w:r>
      <w:r w:rsidR="00A13AEB" w:rsidRPr="00243349">
        <w:rPr>
          <w:color w:val="FF0000"/>
        </w:rPr>
      </w:r>
      <w:r w:rsidR="00A13AEB" w:rsidRPr="00243349">
        <w:rPr>
          <w:color w:val="FF0000"/>
        </w:rPr>
        <w:fldChar w:fldCharType="separate"/>
      </w:r>
      <w:r w:rsidR="00C64BE9" w:rsidRPr="003675BD">
        <w:t xml:space="preserve">Figure </w:t>
      </w:r>
      <w:r w:rsidR="00C64BE9">
        <w:rPr>
          <w:noProof/>
        </w:rPr>
        <w:t>19</w:t>
      </w:r>
      <w:r w:rsidR="00A13AEB" w:rsidRPr="00243349">
        <w:rPr>
          <w:color w:val="FF0000"/>
        </w:rPr>
        <w:fldChar w:fldCharType="end"/>
      </w:r>
      <w:bookmarkStart w:id="77" w:name="_Ref506890660"/>
      <w:r w:rsidR="00993FFE" w:rsidRPr="00243349">
        <w:rPr>
          <w:color w:val="FF0000"/>
        </w:rPr>
        <w:t xml:space="preserve"> </w:t>
      </w:r>
      <w:r w:rsidR="00993FFE" w:rsidRPr="00682068">
        <w:t>on the next page</w:t>
      </w:r>
      <w:r w:rsidR="005B6D9F" w:rsidRPr="00682068">
        <w:t xml:space="preserve">, along with the baseline peak load, capacity net purchases and the SCRs. </w:t>
      </w:r>
    </w:p>
    <w:p w14:paraId="3A861A14" w14:textId="77777777" w:rsidR="00ED6DE8" w:rsidRDefault="00ED6DE8">
      <w:pPr>
        <w:rPr>
          <w:rFonts w:ascii="Franklin Gothic Demi" w:eastAsia="Arial Narrow" w:hAnsi="Franklin Gothic Demi"/>
          <w:bCs/>
          <w:szCs w:val="20"/>
          <w:lang w:bidi="ar-SA"/>
        </w:rPr>
      </w:pPr>
      <w:bookmarkStart w:id="78" w:name="_Ref506981649"/>
      <w:bookmarkStart w:id="79" w:name="_Toc506966641"/>
      <w:bookmarkStart w:id="80" w:name="_Ref506981653"/>
      <w:bookmarkStart w:id="81" w:name="_Ref506981793"/>
      <w:r>
        <w:br w:type="page"/>
      </w:r>
    </w:p>
    <w:p w14:paraId="584B2423" w14:textId="572A909C" w:rsidR="00E60CB1" w:rsidRPr="00243349" w:rsidRDefault="00333EEB" w:rsidP="0076730D">
      <w:pPr>
        <w:pStyle w:val="Figure"/>
        <w:keepNext/>
        <w:rPr>
          <w:rFonts w:ascii="Cambria" w:hAnsi="Cambria"/>
          <w:color w:val="FF0000"/>
          <w:sz w:val="22"/>
        </w:rPr>
      </w:pPr>
      <w:bookmarkStart w:id="82" w:name="_Ref520129213"/>
      <w:bookmarkStart w:id="83" w:name="_Ref520468461"/>
      <w:bookmarkStart w:id="84" w:name="_Toc48251337"/>
      <w:r w:rsidRPr="003675BD">
        <w:lastRenderedPageBreak/>
        <w:t xml:space="preserve">Figure </w:t>
      </w:r>
      <w:r w:rsidR="007863A2" w:rsidRPr="003675BD">
        <w:rPr>
          <w:noProof/>
        </w:rPr>
        <w:fldChar w:fldCharType="begin"/>
      </w:r>
      <w:r w:rsidR="007863A2" w:rsidRPr="003675BD">
        <w:rPr>
          <w:noProof/>
        </w:rPr>
        <w:instrText xml:space="preserve"> SEQ Figure \* ARABIC </w:instrText>
      </w:r>
      <w:r w:rsidR="007863A2" w:rsidRPr="003675BD">
        <w:rPr>
          <w:noProof/>
        </w:rPr>
        <w:fldChar w:fldCharType="separate"/>
      </w:r>
      <w:r w:rsidR="00F94268">
        <w:rPr>
          <w:noProof/>
        </w:rPr>
        <w:t>19</w:t>
      </w:r>
      <w:r w:rsidR="007863A2" w:rsidRPr="003675BD">
        <w:rPr>
          <w:noProof/>
        </w:rPr>
        <w:fldChar w:fldCharType="end"/>
      </w:r>
      <w:bookmarkEnd w:id="78"/>
      <w:bookmarkEnd w:id="82"/>
      <w:r w:rsidRPr="003675BD">
        <w:t xml:space="preserve">: NYCA Peak Load </w:t>
      </w:r>
      <w:r w:rsidR="002B525B" w:rsidRPr="003675BD">
        <w:t xml:space="preserve">and </w:t>
      </w:r>
      <w:r w:rsidRPr="003675BD">
        <w:t>Resource</w:t>
      </w:r>
      <w:r w:rsidR="0091405F" w:rsidRPr="003675BD">
        <w:t>s</w:t>
      </w:r>
      <w:r w:rsidRPr="003675BD">
        <w:t xml:space="preserve"> 20</w:t>
      </w:r>
      <w:r w:rsidR="003675BD" w:rsidRPr="003675BD">
        <w:t>2</w:t>
      </w:r>
      <w:r w:rsidR="009C0287">
        <w:t>4</w:t>
      </w:r>
      <w:r w:rsidRPr="003675BD">
        <w:t xml:space="preserve"> through 20</w:t>
      </w:r>
      <w:bookmarkEnd w:id="77"/>
      <w:bookmarkEnd w:id="79"/>
      <w:bookmarkEnd w:id="80"/>
      <w:bookmarkEnd w:id="81"/>
      <w:bookmarkEnd w:id="83"/>
      <w:r w:rsidR="003675BD" w:rsidRPr="003675BD">
        <w:t>30</w:t>
      </w:r>
      <w:bookmarkEnd w:id="84"/>
      <w:r w:rsidR="003675BD" w:rsidRPr="003675BD">
        <w:t xml:space="preserve"> </w:t>
      </w:r>
    </w:p>
    <w:p w14:paraId="55B62A74" w14:textId="40A27A4A" w:rsidR="0005670C" w:rsidRDefault="001B3E2D" w:rsidP="008F4438">
      <w:pPr>
        <w:pStyle w:val="BodyText"/>
        <w:jc w:val="center"/>
      </w:pPr>
      <w:r w:rsidRPr="001B3E2D">
        <w:rPr>
          <w:noProof/>
        </w:rPr>
        <w:drawing>
          <wp:inline distT="0" distB="0" distL="0" distR="0" wp14:anchorId="78FAEF7D" wp14:editId="7517012F">
            <wp:extent cx="5951166" cy="3742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t="-365" r="49991" b="49627"/>
                    <a:stretch/>
                  </pic:blipFill>
                  <pic:spPr bwMode="auto">
                    <a:xfrm>
                      <a:off x="0" y="0"/>
                      <a:ext cx="5975891" cy="3757815"/>
                    </a:xfrm>
                    <a:prstGeom prst="rect">
                      <a:avLst/>
                    </a:prstGeom>
                    <a:noFill/>
                    <a:ln>
                      <a:noFill/>
                    </a:ln>
                    <a:extLst>
                      <a:ext uri="{53640926-AAD7-44D8-BBD7-CCE9431645EC}">
                        <a14:shadowObscured xmlns:a14="http://schemas.microsoft.com/office/drawing/2010/main"/>
                      </a:ext>
                    </a:extLst>
                  </pic:spPr>
                </pic:pic>
              </a:graphicData>
            </a:graphic>
          </wp:inline>
        </w:drawing>
      </w:r>
    </w:p>
    <w:p w14:paraId="79599055" w14:textId="77777777" w:rsidR="009419DB" w:rsidRDefault="003E0FD4" w:rsidP="008F4438">
      <w:pPr>
        <w:pStyle w:val="BodyText"/>
        <w:jc w:val="center"/>
      </w:pPr>
      <w:r w:rsidRPr="003E0FD4">
        <w:rPr>
          <w:noProof/>
        </w:rPr>
        <w:drawing>
          <wp:inline distT="0" distB="0" distL="0" distR="0" wp14:anchorId="4F12B2E8" wp14:editId="4C09EC3A">
            <wp:extent cx="6009237"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49650" b="49175"/>
                    <a:stretch/>
                  </pic:blipFill>
                  <pic:spPr bwMode="auto">
                    <a:xfrm>
                      <a:off x="0" y="0"/>
                      <a:ext cx="6066193" cy="2161515"/>
                    </a:xfrm>
                    <a:prstGeom prst="rect">
                      <a:avLst/>
                    </a:prstGeom>
                    <a:noFill/>
                    <a:ln>
                      <a:noFill/>
                    </a:ln>
                    <a:extLst>
                      <a:ext uri="{53640926-AAD7-44D8-BBD7-CCE9431645EC}">
                        <a14:shadowObscured xmlns:a14="http://schemas.microsoft.com/office/drawing/2010/main"/>
                      </a:ext>
                    </a:extLst>
                  </pic:spPr>
                </pic:pic>
              </a:graphicData>
            </a:graphic>
          </wp:inline>
        </w:drawing>
      </w:r>
    </w:p>
    <w:p w14:paraId="488798E1" w14:textId="2EA7E06D" w:rsidR="003362F2" w:rsidRPr="00E64FD1" w:rsidRDefault="009419DB" w:rsidP="00B007A8">
      <w:pPr>
        <w:pStyle w:val="caption10"/>
        <w:rPr>
          <w:sz w:val="18"/>
          <w:szCs w:val="18"/>
        </w:rPr>
      </w:pPr>
      <w:r w:rsidRPr="00E64FD1">
        <w:rPr>
          <w:b/>
          <w:sz w:val="18"/>
          <w:szCs w:val="18"/>
        </w:rPr>
        <w:t>Notes</w:t>
      </w:r>
      <w:r w:rsidRPr="00E64FD1">
        <w:rPr>
          <w:sz w:val="18"/>
          <w:szCs w:val="18"/>
        </w:rPr>
        <w:t>:</w:t>
      </w:r>
    </w:p>
    <w:p w14:paraId="01335DE7" w14:textId="2951578D" w:rsidR="00757F96" w:rsidRPr="00E64FD1" w:rsidRDefault="00757F96" w:rsidP="00B007A8">
      <w:pPr>
        <w:pStyle w:val="caption10"/>
        <w:rPr>
          <w:rFonts w:cs="Calibri"/>
          <w:color w:val="000000"/>
          <w:sz w:val="18"/>
          <w:szCs w:val="18"/>
        </w:rPr>
      </w:pPr>
      <w:r w:rsidRPr="00E64FD1">
        <w:rPr>
          <w:rFonts w:cs="Calibri"/>
          <w:color w:val="000000"/>
          <w:sz w:val="18"/>
          <w:szCs w:val="18"/>
        </w:rPr>
        <w:t>*</w:t>
      </w:r>
      <w:r w:rsidRPr="00E64FD1">
        <w:rPr>
          <w:rFonts w:cs="Calibri"/>
          <w:b/>
          <w:color w:val="000000"/>
          <w:sz w:val="18"/>
          <w:szCs w:val="18"/>
        </w:rPr>
        <w:t>NYCA</w:t>
      </w:r>
      <w:r w:rsidRPr="00E64FD1">
        <w:rPr>
          <w:rFonts w:cs="Calibri"/>
          <w:color w:val="000000"/>
          <w:sz w:val="18"/>
          <w:szCs w:val="18"/>
        </w:rPr>
        <w:t xml:space="preserve"> load values represent baseline coincident summer peak demand. </w:t>
      </w:r>
      <w:r w:rsidRPr="00DE1AEA">
        <w:rPr>
          <w:rFonts w:cs="Calibri"/>
          <w:b/>
          <w:color w:val="404040" w:themeColor="text1" w:themeTint="BF"/>
          <w:sz w:val="18"/>
          <w:szCs w:val="18"/>
        </w:rPr>
        <w:t xml:space="preserve">Zones J and K </w:t>
      </w:r>
      <w:r w:rsidRPr="00DE1AEA">
        <w:rPr>
          <w:rFonts w:cs="Calibri"/>
          <w:b/>
          <w:color w:val="595959" w:themeColor="text1" w:themeTint="A6"/>
          <w:sz w:val="18"/>
          <w:szCs w:val="18"/>
        </w:rPr>
        <w:t>load</w:t>
      </w:r>
      <w:r w:rsidRPr="00E64FD1">
        <w:rPr>
          <w:rFonts w:cs="Calibri"/>
          <w:color w:val="000000"/>
          <w:sz w:val="18"/>
          <w:szCs w:val="18"/>
        </w:rPr>
        <w:t xml:space="preserve"> values represent non-coincident summer peak demand. </w:t>
      </w:r>
      <w:r w:rsidRPr="00DE1AEA">
        <w:rPr>
          <w:rFonts w:cs="Calibri"/>
          <w:b/>
          <w:color w:val="404040" w:themeColor="text1" w:themeTint="BF"/>
          <w:sz w:val="18"/>
          <w:szCs w:val="18"/>
        </w:rPr>
        <w:t xml:space="preserve">Aggregate Zones G-J values </w:t>
      </w:r>
      <w:r w:rsidRPr="00E64FD1">
        <w:rPr>
          <w:rFonts w:cs="Calibri"/>
          <w:color w:val="000000"/>
          <w:sz w:val="18"/>
          <w:szCs w:val="18"/>
        </w:rPr>
        <w:t>represent G-J peak.</w:t>
      </w:r>
    </w:p>
    <w:p w14:paraId="5E3E9C4D" w14:textId="428915E8" w:rsidR="00757F96" w:rsidRPr="00E64FD1" w:rsidRDefault="00757F96" w:rsidP="003768FF">
      <w:pPr>
        <w:pStyle w:val="caption10"/>
        <w:rPr>
          <w:rFonts w:cs="Calibri"/>
          <w:color w:val="000000"/>
          <w:sz w:val="18"/>
          <w:szCs w:val="18"/>
        </w:rPr>
      </w:pPr>
      <w:r w:rsidRPr="00E64FD1">
        <w:rPr>
          <w:rFonts w:cs="Calibri"/>
          <w:color w:val="000000"/>
          <w:sz w:val="18"/>
          <w:szCs w:val="18"/>
        </w:rPr>
        <w:t>**NYCA Capacity values include resources electrical</w:t>
      </w:r>
      <w:r w:rsidR="0040296B" w:rsidRPr="00E64FD1">
        <w:rPr>
          <w:rFonts w:cs="Calibri"/>
          <w:color w:val="000000"/>
          <w:sz w:val="18"/>
          <w:szCs w:val="18"/>
        </w:rPr>
        <w:t xml:space="preserve">ly internal to NYCA, additions, </w:t>
      </w:r>
      <w:r w:rsidRPr="00E64FD1">
        <w:rPr>
          <w:rFonts w:cs="Calibri"/>
          <w:color w:val="000000"/>
          <w:sz w:val="18"/>
          <w:szCs w:val="18"/>
        </w:rPr>
        <w:t xml:space="preserve">reratings, and retirements (including proposed retirements and mothballs). Capacity values reflect the lesser of CRIS and DMNC values. NYCA resources include the net purchases and sales as per the Gold Book.  Zonal totals include the full </w:t>
      </w:r>
      <w:r w:rsidR="008E4220" w:rsidRPr="00E64FD1">
        <w:rPr>
          <w:rFonts w:cs="Calibri"/>
          <w:color w:val="000000"/>
          <w:sz w:val="18"/>
          <w:szCs w:val="18"/>
        </w:rPr>
        <w:t>Unforced Capacity Deliverability Rights (UDRs)</w:t>
      </w:r>
      <w:r w:rsidRPr="00E64FD1">
        <w:rPr>
          <w:rFonts w:cs="Calibri"/>
          <w:color w:val="000000"/>
          <w:sz w:val="18"/>
          <w:szCs w:val="18"/>
        </w:rPr>
        <w:t xml:space="preserve"> for those capacity zones.</w:t>
      </w:r>
    </w:p>
    <w:p w14:paraId="6AEAE1A0" w14:textId="755180F7" w:rsidR="009419DB" w:rsidRPr="00E64FD1" w:rsidRDefault="009419DB" w:rsidP="00A8579E">
      <w:pPr>
        <w:pStyle w:val="caption10"/>
        <w:numPr>
          <w:ilvl w:val="0"/>
          <w:numId w:val="4"/>
        </w:numPr>
        <w:spacing w:after="0"/>
        <w:rPr>
          <w:sz w:val="18"/>
          <w:szCs w:val="18"/>
        </w:rPr>
      </w:pPr>
      <w:r w:rsidRPr="00E64FD1">
        <w:rPr>
          <w:sz w:val="18"/>
          <w:szCs w:val="18"/>
        </w:rPr>
        <w:t xml:space="preserve">SCR: forecasted MW ICAP value from the 2020 Gold Book.  </w:t>
      </w:r>
    </w:p>
    <w:p w14:paraId="4FDE9F80" w14:textId="33A92A44" w:rsidR="009419DB" w:rsidRPr="00E64FD1" w:rsidRDefault="009419DB" w:rsidP="00A8579E">
      <w:pPr>
        <w:pStyle w:val="caption10"/>
        <w:numPr>
          <w:ilvl w:val="0"/>
          <w:numId w:val="4"/>
        </w:numPr>
        <w:spacing w:after="0"/>
        <w:rPr>
          <w:sz w:val="18"/>
          <w:szCs w:val="18"/>
        </w:rPr>
      </w:pPr>
      <w:r w:rsidRPr="00E64FD1">
        <w:rPr>
          <w:sz w:val="18"/>
          <w:szCs w:val="18"/>
        </w:rPr>
        <w:t>Wind, solar, run-of river and landfill gas summer capacity is counted as 100% of nameplate rating.</w:t>
      </w:r>
    </w:p>
    <w:p w14:paraId="1F2F75D1" w14:textId="77777777" w:rsidR="0043166F" w:rsidRDefault="0043166F" w:rsidP="001B3E2D">
      <w:pPr>
        <w:spacing w:after="0"/>
        <w:ind w:left="0" w:firstLine="0"/>
        <w:rPr>
          <w:rFonts w:ascii="Franklin Gothic Book" w:hAnsi="Franklin Gothic Book" w:cs="Calibri"/>
          <w:color w:val="000000"/>
          <w:sz w:val="18"/>
          <w:szCs w:val="18"/>
          <w:lang w:bidi="ar-SA"/>
        </w:rPr>
      </w:pPr>
    </w:p>
    <w:p w14:paraId="5D3DDE9B" w14:textId="1981AF51" w:rsidR="001B3E2D" w:rsidRPr="00E64FD1" w:rsidRDefault="001B3E2D" w:rsidP="001B3E2D">
      <w:pPr>
        <w:spacing w:after="0"/>
        <w:ind w:left="0" w:firstLine="0"/>
        <w:rPr>
          <w:rFonts w:ascii="Franklin Gothic Book" w:hAnsi="Franklin Gothic Book" w:cs="Calibri"/>
          <w:color w:val="000000"/>
          <w:sz w:val="18"/>
          <w:szCs w:val="18"/>
          <w:lang w:bidi="ar-SA"/>
        </w:rPr>
      </w:pPr>
      <w:r w:rsidRPr="00E64FD1">
        <w:rPr>
          <w:rFonts w:ascii="Franklin Gothic Book" w:hAnsi="Franklin Gothic Book" w:cs="Calibri"/>
          <w:color w:val="000000"/>
          <w:sz w:val="18"/>
          <w:szCs w:val="18"/>
          <w:lang w:bidi="ar-SA"/>
        </w:rPr>
        <w:t xml:space="preserve">*** For UCAP calculation, EFORd from </w:t>
      </w:r>
      <w:r w:rsidR="0092010A" w:rsidRPr="00E64FD1">
        <w:rPr>
          <w:rFonts w:ascii="Franklin Gothic Book" w:hAnsi="Franklin Gothic Book" w:cs="Calibri"/>
          <w:color w:val="000000"/>
          <w:sz w:val="18"/>
          <w:szCs w:val="18"/>
          <w:lang w:bidi="ar-SA"/>
        </w:rPr>
        <w:t>GE-</w:t>
      </w:r>
      <w:r w:rsidRPr="00E64FD1">
        <w:rPr>
          <w:rFonts w:ascii="Franklin Gothic Book" w:hAnsi="Franklin Gothic Book" w:cs="Calibri"/>
          <w:color w:val="000000"/>
          <w:sz w:val="18"/>
          <w:szCs w:val="18"/>
          <w:lang w:bidi="ar-SA"/>
        </w:rPr>
        <w:t xml:space="preserve">MARS output file are used for thermal units. For renewables, installed capacity intermittent resources derating factors (received from IMO team) are used. </w:t>
      </w:r>
    </w:p>
    <w:p w14:paraId="57ED07CD" w14:textId="03FCE70D" w:rsidR="00A82EE9" w:rsidRPr="00243349" w:rsidRDefault="00A82EE9" w:rsidP="0043166F">
      <w:pPr>
        <w:pStyle w:val="Figure"/>
        <w:keepNext/>
        <w:ind w:firstLine="432"/>
        <w:rPr>
          <w:rFonts w:ascii="Cambria" w:hAnsi="Cambria"/>
          <w:color w:val="FF0000"/>
          <w:sz w:val="22"/>
        </w:rPr>
      </w:pPr>
      <w:bookmarkStart w:id="85" w:name="_Toc48251338"/>
      <w:r w:rsidRPr="003675BD">
        <w:lastRenderedPageBreak/>
        <w:t xml:space="preserve">Figure </w:t>
      </w:r>
      <w:r w:rsidRPr="003675BD">
        <w:rPr>
          <w:noProof/>
        </w:rPr>
        <w:fldChar w:fldCharType="begin"/>
      </w:r>
      <w:r w:rsidRPr="003675BD">
        <w:rPr>
          <w:noProof/>
        </w:rPr>
        <w:instrText xml:space="preserve"> SEQ Figure \* ARABIC </w:instrText>
      </w:r>
      <w:r w:rsidRPr="003675BD">
        <w:rPr>
          <w:noProof/>
        </w:rPr>
        <w:fldChar w:fldCharType="separate"/>
      </w:r>
      <w:r>
        <w:rPr>
          <w:noProof/>
        </w:rPr>
        <w:t>19</w:t>
      </w:r>
      <w:r w:rsidRPr="003675BD">
        <w:rPr>
          <w:noProof/>
        </w:rPr>
        <w:fldChar w:fldCharType="end"/>
      </w:r>
      <w:r>
        <w:rPr>
          <w:noProof/>
        </w:rPr>
        <w:t>a</w:t>
      </w:r>
      <w:r w:rsidRPr="003675BD">
        <w:t xml:space="preserve">: </w:t>
      </w:r>
      <w:r>
        <w:t>ICAP vs UCAP for 2030</w:t>
      </w:r>
      <w:bookmarkEnd w:id="85"/>
      <w:r w:rsidRPr="003675BD">
        <w:t xml:space="preserve"> </w:t>
      </w:r>
    </w:p>
    <w:p w14:paraId="1F2DE758" w14:textId="51A8AA7E" w:rsidR="00DE1AEA" w:rsidRDefault="00A82EE9" w:rsidP="0043166F">
      <w:pPr>
        <w:pStyle w:val="BodyText"/>
        <w:jc w:val="center"/>
      </w:pPr>
      <w:r>
        <w:rPr>
          <w:noProof/>
        </w:rPr>
        <w:drawing>
          <wp:inline distT="0" distB="0" distL="0" distR="0" wp14:anchorId="229719F1" wp14:editId="19CAEA86">
            <wp:extent cx="3566160" cy="16764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616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1A908F" w14:textId="5CE0295A" w:rsidR="00A82EE9" w:rsidRPr="00452E78" w:rsidRDefault="00A82EE9" w:rsidP="0043166F">
      <w:pPr>
        <w:ind w:left="2160"/>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Notes:</w:t>
      </w:r>
    </w:p>
    <w:p w14:paraId="7C288A4C" w14:textId="77777777" w:rsidR="00A82EE9" w:rsidRPr="00452E78" w:rsidRDefault="00A82EE9" w:rsidP="0043166F">
      <w:pPr>
        <w:ind w:left="2160"/>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Total Capacity = Capacity* + full UDR + SCR</w:t>
      </w:r>
    </w:p>
    <w:p w14:paraId="3A4E8956" w14:textId="77777777" w:rsidR="00A82EE9" w:rsidRPr="00452E78" w:rsidRDefault="00A82EE9" w:rsidP="0043166F">
      <w:pPr>
        <w:ind w:left="2160"/>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*Capacity = lesser of (CRIS, DMNC). NYCA resources include the net purchases and sales as per the Gold Book.</w:t>
      </w:r>
    </w:p>
    <w:p w14:paraId="71F7684E" w14:textId="77777777" w:rsidR="00A82EE9" w:rsidRPr="00452E78" w:rsidRDefault="00A82EE9" w:rsidP="0043166F">
      <w:pPr>
        <w:ind w:left="2160" w:firstLine="0"/>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 xml:space="preserve">ICAP = Installed Capacity </w:t>
      </w:r>
    </w:p>
    <w:p w14:paraId="3B695DCA" w14:textId="7BA5923A" w:rsidR="00A82EE9" w:rsidRPr="00452E78" w:rsidRDefault="00A82EE9" w:rsidP="0043166F">
      <w:pPr>
        <w:ind w:left="2160" w:firstLine="0"/>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UCAP = Unforced Capacity (takes into consideration generation unavailability)</w:t>
      </w:r>
    </w:p>
    <w:p w14:paraId="543FE61F" w14:textId="77777777" w:rsidR="00A82EE9" w:rsidRPr="00452E78" w:rsidRDefault="00A82EE9" w:rsidP="0043166F">
      <w:pPr>
        <w:ind w:left="2088" w:firstLine="72"/>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UCAP calculation:</w:t>
      </w:r>
    </w:p>
    <w:p w14:paraId="326C2800" w14:textId="77777777" w:rsidR="00A82EE9" w:rsidRPr="00452E78" w:rsidRDefault="00A82EE9" w:rsidP="0043166F">
      <w:pPr>
        <w:numPr>
          <w:ilvl w:val="1"/>
          <w:numId w:val="53"/>
        </w:numPr>
        <w:tabs>
          <w:tab w:val="clear" w:pos="1800"/>
          <w:tab w:val="num" w:pos="2448"/>
        </w:tabs>
        <w:ind w:left="2808"/>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For thermal units, average capacity derating factors from the MARS output are used</w:t>
      </w:r>
    </w:p>
    <w:p w14:paraId="7A4761B0" w14:textId="77777777" w:rsidR="00A82EE9" w:rsidRPr="00452E78" w:rsidRDefault="00A82EE9" w:rsidP="0043166F">
      <w:pPr>
        <w:numPr>
          <w:ilvl w:val="1"/>
          <w:numId w:val="53"/>
        </w:numPr>
        <w:tabs>
          <w:tab w:val="clear" w:pos="1800"/>
          <w:tab w:val="num" w:pos="2448"/>
        </w:tabs>
        <w:ind w:left="2808"/>
        <w:rPr>
          <w:rFonts w:ascii="Franklin Gothic Book" w:eastAsia="Arial Narrow" w:hAnsi="Franklin Gothic Book"/>
          <w:bCs/>
          <w:sz w:val="18"/>
          <w:szCs w:val="18"/>
          <w:lang w:bidi="ar-SA"/>
        </w:rPr>
      </w:pPr>
      <w:r w:rsidRPr="00452E78">
        <w:rPr>
          <w:rFonts w:ascii="Franklin Gothic Book" w:eastAsia="Arial Narrow" w:hAnsi="Franklin Gothic Book"/>
          <w:bCs/>
          <w:sz w:val="18"/>
          <w:szCs w:val="18"/>
          <w:lang w:bidi="ar-SA"/>
        </w:rPr>
        <w:t>For renewables, installed capacity intermittent resources derating factors are used</w:t>
      </w:r>
    </w:p>
    <w:p w14:paraId="5A5D09EC" w14:textId="77777777" w:rsidR="00A82EE9" w:rsidRDefault="00A82EE9" w:rsidP="000A06D1">
      <w:pPr>
        <w:pStyle w:val="BodyText"/>
      </w:pPr>
    </w:p>
    <w:p w14:paraId="106C5744" w14:textId="5C14B4A9" w:rsidR="00092D5E" w:rsidRPr="00682068" w:rsidRDefault="0084324A" w:rsidP="000A06D1">
      <w:pPr>
        <w:pStyle w:val="BodyText"/>
      </w:pPr>
      <w:r w:rsidRPr="00682068">
        <w:t>As shown in the</w:t>
      </w:r>
      <w:r w:rsidR="00C64BE9">
        <w:t xml:space="preserve"> </w:t>
      </w:r>
      <w:r w:rsidR="00C64BE9">
        <w:fldChar w:fldCharType="begin"/>
      </w:r>
      <w:r w:rsidR="00C64BE9">
        <w:instrText xml:space="preserve"> REF _Ref520129213 \h </w:instrText>
      </w:r>
      <w:r w:rsidR="00C64BE9">
        <w:fldChar w:fldCharType="separate"/>
      </w:r>
      <w:r w:rsidR="00C64BE9" w:rsidRPr="003675BD">
        <w:t xml:space="preserve">Figure </w:t>
      </w:r>
      <w:r w:rsidR="00C64BE9">
        <w:rPr>
          <w:noProof/>
        </w:rPr>
        <w:t>19</w:t>
      </w:r>
      <w:r w:rsidR="00C64BE9">
        <w:fldChar w:fldCharType="end"/>
      </w:r>
      <w:r w:rsidRPr="00682068">
        <w:t>, the total NYCA capacity mar</w:t>
      </w:r>
      <w:r w:rsidR="00CD10C3" w:rsidRPr="00682068">
        <w:t xml:space="preserve">gin (defined as capacity above </w:t>
      </w:r>
      <w:r w:rsidRPr="00682068">
        <w:t xml:space="preserve">the baseline load forecast) varies between </w:t>
      </w:r>
      <w:r w:rsidR="00682068" w:rsidRPr="00682068">
        <w:t>24</w:t>
      </w:r>
      <w:r w:rsidRPr="00682068">
        <w:t xml:space="preserve">% </w:t>
      </w:r>
      <w:r w:rsidR="00C64BE9">
        <w:t>and 27</w:t>
      </w:r>
      <w:r w:rsidR="00836E96" w:rsidRPr="00682068">
        <w:t>%</w:t>
      </w:r>
      <w:r w:rsidR="00E77A95" w:rsidRPr="00682068">
        <w:t>.</w:t>
      </w:r>
      <w:r w:rsidR="00A82EE9">
        <w:t xml:space="preserve"> Figure 19a shows a comparison between the total ICAP and total UCAP for 2030; the difference reflects generation unavailability for the resource mix assumed in the RNA Base Case for year 2030.</w:t>
      </w:r>
    </w:p>
    <w:p w14:paraId="275C7298" w14:textId="5F6D59EA" w:rsidR="0084324A" w:rsidRPr="0040296B" w:rsidRDefault="00C64BE9" w:rsidP="0040296B">
      <w:pPr>
        <w:pStyle w:val="BodyText"/>
      </w:pPr>
      <w:r w:rsidRPr="0040296B">
        <w:fldChar w:fldCharType="begin"/>
      </w:r>
      <w:r w:rsidRPr="0040296B">
        <w:instrText xml:space="preserve"> REF _Ref47076883 \h </w:instrText>
      </w:r>
      <w:r w:rsidR="0040296B" w:rsidRPr="0040296B">
        <w:instrText xml:space="preserve"> \* MERGEFORMAT </w:instrText>
      </w:r>
      <w:r w:rsidRPr="0040296B">
        <w:fldChar w:fldCharType="separate"/>
      </w:r>
      <w:r w:rsidRPr="0040296B">
        <w:t>Figure 20</w:t>
      </w:r>
      <w:r w:rsidRPr="0040296B">
        <w:fldChar w:fldCharType="end"/>
      </w:r>
      <w:r w:rsidRPr="0040296B">
        <w:t xml:space="preserve"> </w:t>
      </w:r>
      <w:r w:rsidRPr="0040296B">
        <w:fldChar w:fldCharType="begin"/>
      </w:r>
      <w:r w:rsidRPr="0040296B">
        <w:instrText xml:space="preserve"> REF _Ref47076888 \p \h </w:instrText>
      </w:r>
      <w:r w:rsidR="0040296B" w:rsidRPr="0040296B">
        <w:instrText xml:space="preserve"> \* MERGEFORMAT </w:instrText>
      </w:r>
      <w:r w:rsidRPr="0040296B">
        <w:fldChar w:fldCharType="separate"/>
      </w:r>
      <w:r w:rsidR="0040296B" w:rsidRPr="0040296B">
        <w:t>below</w:t>
      </w:r>
      <w:r w:rsidRPr="0040296B">
        <w:fldChar w:fldCharType="end"/>
      </w:r>
      <w:r w:rsidRPr="0040296B">
        <w:t xml:space="preserve"> </w:t>
      </w:r>
      <w:r w:rsidR="00382B10" w:rsidRPr="0040296B">
        <w:t>shows</w:t>
      </w:r>
      <w:r w:rsidR="0061697F" w:rsidRPr="0040296B">
        <w:t xml:space="preserve"> </w:t>
      </w:r>
      <w:r w:rsidR="005F5B15" w:rsidRPr="0040296B">
        <w:t xml:space="preserve">the </w:t>
      </w:r>
      <w:r w:rsidR="0061697F" w:rsidRPr="0040296B">
        <w:t xml:space="preserve">relative </w:t>
      </w:r>
      <w:r w:rsidR="00682068" w:rsidRPr="0040296B">
        <w:t>decrease</w:t>
      </w:r>
      <w:r w:rsidR="0084324A" w:rsidRPr="0040296B">
        <w:t xml:space="preserve"> in the capacity margin, </w:t>
      </w:r>
      <w:r w:rsidR="0061697F" w:rsidRPr="0040296B">
        <w:t xml:space="preserve">by </w:t>
      </w:r>
      <w:r w:rsidR="0084324A" w:rsidRPr="0040296B">
        <w:t xml:space="preserve">comparing the details of </w:t>
      </w:r>
      <w:r w:rsidR="0061697F" w:rsidRPr="0040296B">
        <w:t>the</w:t>
      </w:r>
      <w:r w:rsidR="0084324A" w:rsidRPr="0040296B">
        <w:t xml:space="preserve"> capacity marg</w:t>
      </w:r>
      <w:r w:rsidR="009C4D75" w:rsidRPr="0040296B">
        <w:t>in</w:t>
      </w:r>
      <w:r w:rsidR="005F5B15" w:rsidRPr="0040296B">
        <w:t>s</w:t>
      </w:r>
      <w:r w:rsidR="009C4D75" w:rsidRPr="0040296B">
        <w:t xml:space="preserve"> for year </w:t>
      </w:r>
      <w:r w:rsidR="004C44F4" w:rsidRPr="0040296B">
        <w:t>10</w:t>
      </w:r>
      <w:r w:rsidR="009C4D75" w:rsidRPr="0040296B">
        <w:t xml:space="preserve"> between the 20</w:t>
      </w:r>
      <w:r w:rsidR="002A5925" w:rsidRPr="0040296B">
        <w:t>20</w:t>
      </w:r>
      <w:r w:rsidR="0084324A" w:rsidRPr="0040296B">
        <w:t xml:space="preserve"> RN</w:t>
      </w:r>
      <w:r w:rsidR="0013767F" w:rsidRPr="0040296B">
        <w:t>A (2030) and the 2019-2028</w:t>
      </w:r>
      <w:r w:rsidR="0061697F" w:rsidRPr="0040296B">
        <w:t xml:space="preserve"> </w:t>
      </w:r>
      <w:r w:rsidR="00C80BD7" w:rsidRPr="0040296B">
        <w:t>CRP</w:t>
      </w:r>
      <w:r w:rsidR="0013767F" w:rsidRPr="0040296B">
        <w:t xml:space="preserve"> (2028)</w:t>
      </w:r>
      <w:r w:rsidR="00C901D1">
        <w:t>.  The analysis reveals two observations</w:t>
      </w:r>
      <w:r w:rsidR="00E91077" w:rsidRPr="0040296B">
        <w:t>:</w:t>
      </w:r>
    </w:p>
    <w:p w14:paraId="08DBEFFD" w14:textId="7A384B3F" w:rsidR="009D26D0" w:rsidRPr="00382B10" w:rsidRDefault="00527C06" w:rsidP="00A8579E">
      <w:pPr>
        <w:pStyle w:val="Figure"/>
        <w:keepNext/>
        <w:numPr>
          <w:ilvl w:val="0"/>
          <w:numId w:val="39"/>
        </w:numPr>
        <w:rPr>
          <w:rFonts w:ascii="Cambria" w:hAnsi="Cambria"/>
          <w:sz w:val="22"/>
          <w:szCs w:val="22"/>
        </w:rPr>
      </w:pPr>
      <w:bookmarkStart w:id="86" w:name="_Ref517168831"/>
      <w:bookmarkStart w:id="87" w:name="_Toc506966642"/>
      <w:bookmarkStart w:id="88" w:name="_Ref517168863"/>
      <w:r w:rsidRPr="00382B10">
        <w:rPr>
          <w:rFonts w:ascii="Cambria" w:hAnsi="Cambria"/>
          <w:sz w:val="22"/>
        </w:rPr>
        <w:t>N</w:t>
      </w:r>
      <w:r w:rsidRPr="00382B10">
        <w:rPr>
          <w:rFonts w:ascii="Cambria" w:hAnsi="Cambria"/>
          <w:sz w:val="22"/>
          <w:szCs w:val="22"/>
        </w:rPr>
        <w:t xml:space="preserve">egative net margin shows deterioration in the relative capability to serve load, when comparing </w:t>
      </w:r>
      <w:r w:rsidR="0043166F">
        <w:rPr>
          <w:rFonts w:ascii="Cambria" w:hAnsi="Cambria"/>
          <w:sz w:val="22"/>
          <w:szCs w:val="22"/>
        </w:rPr>
        <w:lastRenderedPageBreak/>
        <w:t>t</w:t>
      </w:r>
      <w:r w:rsidRPr="00382B10">
        <w:rPr>
          <w:rFonts w:ascii="Cambria" w:hAnsi="Cambria"/>
          <w:sz w:val="22"/>
          <w:szCs w:val="22"/>
        </w:rPr>
        <w:t>he two studies assumptions</w:t>
      </w:r>
      <w:r w:rsidR="00C901D1">
        <w:rPr>
          <w:rFonts w:ascii="Cambria" w:hAnsi="Cambria"/>
          <w:sz w:val="22"/>
          <w:szCs w:val="22"/>
        </w:rPr>
        <w:t>; and</w:t>
      </w:r>
    </w:p>
    <w:p w14:paraId="7892673E" w14:textId="7FB5E99A" w:rsidR="009D26D0" w:rsidRDefault="00527C06" w:rsidP="00A8579E">
      <w:pPr>
        <w:pStyle w:val="Figure"/>
        <w:keepNext/>
        <w:numPr>
          <w:ilvl w:val="0"/>
          <w:numId w:val="39"/>
        </w:numPr>
        <w:rPr>
          <w:rFonts w:ascii="Cambria" w:hAnsi="Cambria"/>
          <w:sz w:val="22"/>
          <w:szCs w:val="22"/>
        </w:rPr>
      </w:pPr>
      <w:r w:rsidRPr="00382B10">
        <w:rPr>
          <w:rFonts w:ascii="Cambria" w:hAnsi="Cambria"/>
          <w:sz w:val="22"/>
          <w:szCs w:val="22"/>
        </w:rPr>
        <w:t>Compared to the 2019 CRP, the system has less overall net resources</w:t>
      </w:r>
      <w:r w:rsidR="00C901D1">
        <w:rPr>
          <w:rFonts w:ascii="Cambria" w:hAnsi="Cambria"/>
          <w:sz w:val="22"/>
          <w:szCs w:val="22"/>
        </w:rPr>
        <w:t>.</w:t>
      </w:r>
    </w:p>
    <w:p w14:paraId="3CDEB3C2" w14:textId="4FA835B9" w:rsidR="000058EA" w:rsidRPr="00807EB1" w:rsidRDefault="00333EEB" w:rsidP="00807EB1">
      <w:pPr>
        <w:pStyle w:val="Figure"/>
        <w:keepNext/>
        <w:rPr>
          <w:rStyle w:val="caption1Char"/>
          <w:rFonts w:ascii="Franklin Gothic Demi" w:hAnsi="Franklin Gothic Demi"/>
          <w:bCs/>
          <w:sz w:val="20"/>
          <w:szCs w:val="20"/>
        </w:rPr>
      </w:pPr>
      <w:bookmarkStart w:id="89" w:name="_Ref47076883"/>
      <w:bookmarkStart w:id="90" w:name="_Ref47076888"/>
      <w:bookmarkStart w:id="91" w:name="_Toc48251339"/>
      <w:r w:rsidRPr="00807EB1">
        <w:t xml:space="preserve">Figure </w:t>
      </w:r>
      <w:r w:rsidR="007863A2" w:rsidRPr="00807EB1">
        <w:rPr>
          <w:noProof/>
        </w:rPr>
        <w:fldChar w:fldCharType="begin"/>
      </w:r>
      <w:r w:rsidR="007863A2" w:rsidRPr="00807EB1">
        <w:rPr>
          <w:noProof/>
        </w:rPr>
        <w:instrText xml:space="preserve"> SEQ Figure \* ARABIC </w:instrText>
      </w:r>
      <w:r w:rsidR="007863A2" w:rsidRPr="00807EB1">
        <w:rPr>
          <w:noProof/>
        </w:rPr>
        <w:fldChar w:fldCharType="separate"/>
      </w:r>
      <w:r w:rsidR="00F94268">
        <w:rPr>
          <w:noProof/>
        </w:rPr>
        <w:t>20</w:t>
      </w:r>
      <w:r w:rsidR="007863A2" w:rsidRPr="00807EB1">
        <w:rPr>
          <w:noProof/>
        </w:rPr>
        <w:fldChar w:fldCharType="end"/>
      </w:r>
      <w:bookmarkEnd w:id="86"/>
      <w:bookmarkEnd w:id="89"/>
      <w:r w:rsidRPr="00807EB1">
        <w:t xml:space="preserve">: </w:t>
      </w:r>
      <w:r w:rsidR="00382B10" w:rsidRPr="00807EB1">
        <w:t xml:space="preserve">NYCA </w:t>
      </w:r>
      <w:r w:rsidRPr="00807EB1">
        <w:t>Load</w:t>
      </w:r>
      <w:r w:rsidR="0091405F" w:rsidRPr="00807EB1">
        <w:t xml:space="preserve"> </w:t>
      </w:r>
      <w:r w:rsidR="0071368C" w:rsidRPr="00807EB1">
        <w:t xml:space="preserve">and </w:t>
      </w:r>
      <w:r w:rsidRPr="00807EB1">
        <w:t xml:space="preserve">Resources Comparison </w:t>
      </w:r>
      <w:r w:rsidR="00C22B49" w:rsidRPr="00807EB1">
        <w:t>with the 2019</w:t>
      </w:r>
      <w:r w:rsidR="0013767F">
        <w:t xml:space="preserve"> - 2028</w:t>
      </w:r>
      <w:r w:rsidR="00C22B49" w:rsidRPr="00807EB1">
        <w:t xml:space="preserve"> CRP</w:t>
      </w:r>
      <w:bookmarkEnd w:id="87"/>
      <w:bookmarkEnd w:id="88"/>
      <w:bookmarkEnd w:id="90"/>
      <w:bookmarkEnd w:id="91"/>
    </w:p>
    <w:p w14:paraId="18F1DE70" w14:textId="765AEA6D" w:rsidR="000058EA" w:rsidRDefault="0013767F" w:rsidP="008F4438">
      <w:pPr>
        <w:pStyle w:val="BodyText"/>
        <w:jc w:val="center"/>
        <w:rPr>
          <w:rStyle w:val="caption1Char"/>
        </w:rPr>
      </w:pPr>
      <w:r w:rsidRPr="0013767F">
        <w:rPr>
          <w:rStyle w:val="caption1Char"/>
          <w:rFonts w:ascii="Franklin Gothic Demi" w:hAnsi="Franklin Gothic Demi"/>
          <w:bCs/>
          <w:noProof/>
          <w:sz w:val="20"/>
          <w:szCs w:val="20"/>
        </w:rPr>
        <w:drawing>
          <wp:inline distT="0" distB="0" distL="0" distR="0" wp14:anchorId="5D9E7691" wp14:editId="77CF69D8">
            <wp:extent cx="4770120" cy="12496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a:extLst>
                        <a:ext uri="{28A0092B-C50C-407E-A947-70E740481C1C}">
                          <a14:useLocalDpi xmlns:a14="http://schemas.microsoft.com/office/drawing/2010/main" val="0"/>
                        </a:ext>
                      </a:extLst>
                    </a:blip>
                    <a:srcRect t="-2587" r="49608" b="47959"/>
                    <a:stretch/>
                  </pic:blipFill>
                  <pic:spPr bwMode="auto">
                    <a:xfrm>
                      <a:off x="0" y="0"/>
                      <a:ext cx="4772109" cy="1250201"/>
                    </a:xfrm>
                    <a:prstGeom prst="rect">
                      <a:avLst/>
                    </a:prstGeom>
                    <a:noFill/>
                    <a:ln>
                      <a:noFill/>
                    </a:ln>
                    <a:extLst>
                      <a:ext uri="{53640926-AAD7-44D8-BBD7-CCE9431645EC}">
                        <a14:shadowObscured xmlns:a14="http://schemas.microsoft.com/office/drawing/2010/main"/>
                      </a:ext>
                    </a:extLst>
                  </pic:spPr>
                </pic:pic>
              </a:graphicData>
            </a:graphic>
          </wp:inline>
        </w:drawing>
      </w:r>
    </w:p>
    <w:p w14:paraId="54CCDF34" w14:textId="027C7892" w:rsidR="000058EA" w:rsidRPr="00E64FD1" w:rsidRDefault="0043166F" w:rsidP="0043166F">
      <w:pPr>
        <w:pStyle w:val="Figure"/>
        <w:spacing w:after="0" w:line="240" w:lineRule="auto"/>
        <w:ind w:left="432"/>
        <w:rPr>
          <w:rFonts w:ascii="Franklin Gothic Book" w:hAnsi="Franklin Gothic Book"/>
          <w:bCs w:val="0"/>
          <w:sz w:val="18"/>
          <w:szCs w:val="18"/>
        </w:rPr>
      </w:pPr>
      <w:r>
        <w:rPr>
          <w:rStyle w:val="caption1Char"/>
          <w:sz w:val="18"/>
          <w:szCs w:val="18"/>
        </w:rPr>
        <w:t>N</w:t>
      </w:r>
      <w:r w:rsidR="00690312" w:rsidRPr="00E64FD1">
        <w:rPr>
          <w:rStyle w:val="caption1Char"/>
          <w:sz w:val="18"/>
          <w:szCs w:val="18"/>
        </w:rPr>
        <w:t>ote</w:t>
      </w:r>
      <w:r w:rsidR="00382B10" w:rsidRPr="00E64FD1">
        <w:rPr>
          <w:rStyle w:val="caption1Char"/>
          <w:sz w:val="18"/>
          <w:szCs w:val="18"/>
        </w:rPr>
        <w:t>s</w:t>
      </w:r>
      <w:r w:rsidR="00690312" w:rsidRPr="00E64FD1">
        <w:rPr>
          <w:rStyle w:val="caption1Char"/>
          <w:sz w:val="18"/>
          <w:szCs w:val="18"/>
        </w:rPr>
        <w:t>:</w:t>
      </w:r>
    </w:p>
    <w:p w14:paraId="63DC7D04" w14:textId="2668943F" w:rsidR="00382B10" w:rsidRPr="00E64FD1" w:rsidRDefault="000058EA" w:rsidP="0043166F">
      <w:pPr>
        <w:pStyle w:val="caption10"/>
        <w:numPr>
          <w:ilvl w:val="0"/>
          <w:numId w:val="40"/>
        </w:numPr>
        <w:ind w:left="1152"/>
        <w:rPr>
          <w:sz w:val="18"/>
          <w:szCs w:val="18"/>
        </w:rPr>
      </w:pPr>
      <w:r w:rsidRPr="00E64FD1">
        <w:rPr>
          <w:sz w:val="18"/>
          <w:szCs w:val="18"/>
        </w:rPr>
        <w:t>I</w:t>
      </w:r>
      <w:r w:rsidR="00382B10" w:rsidRPr="00E64FD1">
        <w:rPr>
          <w:sz w:val="18"/>
          <w:szCs w:val="18"/>
        </w:rPr>
        <w:t xml:space="preserve">ncludes the reductions due to projected energy efficiency programs, building codes and standards, distributed energy resources and behind-the-meter solar photovoltaic resources; it also reflects expected impacts (increases) from projected electric vehicle usage. </w:t>
      </w:r>
    </w:p>
    <w:p w14:paraId="456B6CE6" w14:textId="233A1020" w:rsidR="00382B10" w:rsidRPr="00E64FD1" w:rsidRDefault="00382B10" w:rsidP="0043166F">
      <w:pPr>
        <w:pStyle w:val="caption10"/>
        <w:numPr>
          <w:ilvl w:val="0"/>
          <w:numId w:val="40"/>
        </w:numPr>
        <w:ind w:left="1152"/>
        <w:rPr>
          <w:sz w:val="18"/>
          <w:szCs w:val="18"/>
        </w:rPr>
      </w:pPr>
      <w:r w:rsidRPr="00E64FD1">
        <w:rPr>
          <w:sz w:val="18"/>
          <w:szCs w:val="18"/>
        </w:rPr>
        <w:t>Includes the total</w:t>
      </w:r>
      <w:r w:rsidR="00516354" w:rsidRPr="00E64FD1">
        <w:rPr>
          <w:sz w:val="18"/>
          <w:szCs w:val="18"/>
        </w:rPr>
        <w:t xml:space="preserve"> SCRs</w:t>
      </w:r>
      <w:r w:rsidRPr="00E64FD1">
        <w:rPr>
          <w:sz w:val="18"/>
          <w:szCs w:val="18"/>
        </w:rPr>
        <w:t>, and net capacity purchases and sales from the applicable Gold Book</w:t>
      </w:r>
      <w:r w:rsidR="00C901D1">
        <w:rPr>
          <w:sz w:val="18"/>
          <w:szCs w:val="18"/>
        </w:rPr>
        <w:t>.</w:t>
      </w:r>
    </w:p>
    <w:p w14:paraId="048F4748" w14:textId="2AFF818B" w:rsidR="00C80BD7" w:rsidRDefault="00C80BD7" w:rsidP="00382B10">
      <w:pPr>
        <w:pStyle w:val="Figure"/>
        <w:spacing w:line="240" w:lineRule="auto"/>
        <w:ind w:left="720"/>
        <w:rPr>
          <w:rFonts w:ascii="Franklin Gothic Book" w:hAnsi="Franklin Gothic Book"/>
          <w:sz w:val="16"/>
        </w:rPr>
      </w:pPr>
    </w:p>
    <w:p w14:paraId="5324AC9A" w14:textId="5EF44AA7" w:rsidR="00C22B49" w:rsidRDefault="00636CBD" w:rsidP="00DF2794">
      <w:pPr>
        <w:pStyle w:val="Figure"/>
        <w:keepNext/>
      </w:pPr>
      <w:bookmarkStart w:id="92" w:name="_Toc48251340"/>
      <w:r w:rsidRPr="00807EB1">
        <w:t xml:space="preserve">Figure </w:t>
      </w:r>
      <w:r w:rsidRPr="00807EB1">
        <w:rPr>
          <w:noProof/>
        </w:rPr>
        <w:fldChar w:fldCharType="begin"/>
      </w:r>
      <w:r w:rsidRPr="00807EB1">
        <w:rPr>
          <w:noProof/>
        </w:rPr>
        <w:instrText xml:space="preserve"> SEQ Figure \* ARABIC </w:instrText>
      </w:r>
      <w:r w:rsidRPr="00807EB1">
        <w:rPr>
          <w:noProof/>
        </w:rPr>
        <w:fldChar w:fldCharType="separate"/>
      </w:r>
      <w:r w:rsidR="00F94268">
        <w:rPr>
          <w:noProof/>
        </w:rPr>
        <w:t>21</w:t>
      </w:r>
      <w:r w:rsidRPr="00807EB1">
        <w:rPr>
          <w:noProof/>
        </w:rPr>
        <w:fldChar w:fldCharType="end"/>
      </w:r>
      <w:r w:rsidRPr="00807EB1">
        <w:t xml:space="preserve">: </w:t>
      </w:r>
      <w:r w:rsidR="00C22B49" w:rsidRPr="00742ACF">
        <w:t>2020 RNA Zone J Load and Capaci</w:t>
      </w:r>
      <w:r w:rsidR="00DF2794">
        <w:t>ty Comparison with the 2019</w:t>
      </w:r>
      <w:r w:rsidR="009419DB">
        <w:t xml:space="preserve"> - 2028</w:t>
      </w:r>
      <w:r w:rsidR="00DF2794">
        <w:t xml:space="preserve"> CRP</w:t>
      </w:r>
      <w:bookmarkEnd w:id="92"/>
    </w:p>
    <w:p w14:paraId="71FD9CF4" w14:textId="173123B9" w:rsidR="00DF2794" w:rsidRDefault="0013767F" w:rsidP="008F4438">
      <w:pPr>
        <w:pStyle w:val="BodyText"/>
        <w:jc w:val="center"/>
      </w:pPr>
      <w:r w:rsidRPr="0013767F">
        <w:rPr>
          <w:noProof/>
        </w:rPr>
        <w:drawing>
          <wp:inline distT="0" distB="0" distL="0" distR="0" wp14:anchorId="78344F87" wp14:editId="66425735">
            <wp:extent cx="4792980" cy="129487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625" t="-2586" r="48959" b="44826"/>
                    <a:stretch/>
                  </pic:blipFill>
                  <pic:spPr bwMode="auto">
                    <a:xfrm>
                      <a:off x="0" y="0"/>
                      <a:ext cx="4814617" cy="1300723"/>
                    </a:xfrm>
                    <a:prstGeom prst="rect">
                      <a:avLst/>
                    </a:prstGeom>
                    <a:noFill/>
                    <a:ln>
                      <a:noFill/>
                    </a:ln>
                    <a:extLst>
                      <a:ext uri="{53640926-AAD7-44D8-BBD7-CCE9431645EC}">
                        <a14:shadowObscured xmlns:a14="http://schemas.microsoft.com/office/drawing/2010/main"/>
                      </a:ext>
                    </a:extLst>
                  </pic:spPr>
                </pic:pic>
              </a:graphicData>
            </a:graphic>
          </wp:inline>
        </w:drawing>
      </w:r>
    </w:p>
    <w:p w14:paraId="40FE6A89" w14:textId="77777777" w:rsidR="00C22B49" w:rsidRPr="00E64FD1" w:rsidRDefault="00C22B49" w:rsidP="0043166F">
      <w:pPr>
        <w:pStyle w:val="caption10"/>
        <w:ind w:left="720"/>
        <w:rPr>
          <w:sz w:val="18"/>
          <w:szCs w:val="18"/>
        </w:rPr>
      </w:pPr>
      <w:r w:rsidRPr="00E64FD1">
        <w:rPr>
          <w:sz w:val="18"/>
          <w:szCs w:val="18"/>
        </w:rPr>
        <w:t>Notes:</w:t>
      </w:r>
    </w:p>
    <w:p w14:paraId="7B49D465" w14:textId="77777777" w:rsidR="00C22B49" w:rsidRPr="00E64FD1" w:rsidRDefault="00C22B49" w:rsidP="0043166F">
      <w:pPr>
        <w:pStyle w:val="caption10"/>
        <w:numPr>
          <w:ilvl w:val="0"/>
          <w:numId w:val="42"/>
        </w:numPr>
        <w:ind w:left="1440"/>
        <w:rPr>
          <w:sz w:val="18"/>
          <w:szCs w:val="18"/>
        </w:rPr>
      </w:pPr>
      <w:r w:rsidRPr="00E64FD1">
        <w:rPr>
          <w:sz w:val="18"/>
          <w:szCs w:val="18"/>
        </w:rPr>
        <w:t xml:space="preserve">Includes the reductions due to projected energy efficiency programs, building codes and standards, distribution energy resources and behind-the-meter solar photovoltaic power; it also reflects expected impacts (increases) from projected electric vehicle usage. </w:t>
      </w:r>
    </w:p>
    <w:p w14:paraId="5A662398" w14:textId="3DFAF50D" w:rsidR="00C22B49" w:rsidRPr="00E64FD1" w:rsidRDefault="00C22B49" w:rsidP="0043166F">
      <w:pPr>
        <w:pStyle w:val="caption10"/>
        <w:numPr>
          <w:ilvl w:val="0"/>
          <w:numId w:val="42"/>
        </w:numPr>
        <w:ind w:left="1440"/>
        <w:rPr>
          <w:sz w:val="18"/>
          <w:szCs w:val="18"/>
        </w:rPr>
      </w:pPr>
      <w:r w:rsidRPr="00E64FD1">
        <w:rPr>
          <w:sz w:val="18"/>
          <w:szCs w:val="18"/>
        </w:rPr>
        <w:t xml:space="preserve">Does not include the total </w:t>
      </w:r>
      <w:r w:rsidR="00516354" w:rsidRPr="00E64FD1">
        <w:rPr>
          <w:sz w:val="18"/>
          <w:szCs w:val="18"/>
        </w:rPr>
        <w:t>SCRs</w:t>
      </w:r>
      <w:r w:rsidRPr="00E64FD1">
        <w:rPr>
          <w:sz w:val="18"/>
          <w:szCs w:val="18"/>
        </w:rPr>
        <w:t>, and UDR</w:t>
      </w:r>
      <w:r w:rsidR="008E4220" w:rsidRPr="00E64FD1">
        <w:rPr>
          <w:sz w:val="18"/>
          <w:szCs w:val="18"/>
        </w:rPr>
        <w:t>s</w:t>
      </w:r>
      <w:r w:rsidRPr="00E64FD1">
        <w:rPr>
          <w:sz w:val="18"/>
          <w:szCs w:val="18"/>
        </w:rPr>
        <w:t xml:space="preserve"> from the Gold Book 2020</w:t>
      </w:r>
      <w:r w:rsidR="00C901D1">
        <w:rPr>
          <w:sz w:val="18"/>
          <w:szCs w:val="18"/>
        </w:rPr>
        <w:t>.</w:t>
      </w:r>
    </w:p>
    <w:p w14:paraId="27593117" w14:textId="77777777" w:rsidR="00C22B49" w:rsidRDefault="00C22B49" w:rsidP="00382B10">
      <w:pPr>
        <w:pStyle w:val="Figure"/>
        <w:spacing w:line="240" w:lineRule="auto"/>
        <w:ind w:left="720"/>
        <w:rPr>
          <w:rFonts w:ascii="Franklin Gothic Book" w:hAnsi="Franklin Gothic Book"/>
          <w:sz w:val="16"/>
        </w:rPr>
      </w:pPr>
    </w:p>
    <w:p w14:paraId="758E0363" w14:textId="416A286A" w:rsidR="00F125AE" w:rsidRPr="00F125AE" w:rsidRDefault="00F125AE" w:rsidP="00F125AE">
      <w:pPr>
        <w:pStyle w:val="BodyText"/>
      </w:pPr>
      <w:r w:rsidRPr="00243349">
        <w:rPr>
          <w:color w:val="FF0000"/>
        </w:rPr>
        <w:br w:type="page"/>
      </w:r>
    </w:p>
    <w:p w14:paraId="6424DCC2" w14:textId="41E2654C" w:rsidR="0062396F" w:rsidRDefault="00D141B1" w:rsidP="00A8579E">
      <w:pPr>
        <w:pStyle w:val="Heading1"/>
        <w:numPr>
          <w:ilvl w:val="0"/>
          <w:numId w:val="36"/>
        </w:numPr>
      </w:pPr>
      <w:bookmarkStart w:id="93" w:name="_Toc48252290"/>
      <w:r>
        <w:lastRenderedPageBreak/>
        <w:t xml:space="preserve">Base Case </w:t>
      </w:r>
      <w:r w:rsidR="0084324A">
        <w:t>Reliability Needs Assessment</w:t>
      </w:r>
      <w:r>
        <w:t>s</w:t>
      </w:r>
      <w:bookmarkEnd w:id="93"/>
      <w:r w:rsidR="0084324A">
        <w:t xml:space="preserve"> </w:t>
      </w:r>
    </w:p>
    <w:p w14:paraId="7535D89D" w14:textId="77777777" w:rsidR="0084324A" w:rsidRPr="00CA059E" w:rsidRDefault="0084324A" w:rsidP="00EE65A3">
      <w:pPr>
        <w:pStyle w:val="Heading2"/>
      </w:pPr>
      <w:bookmarkStart w:id="94" w:name="_Toc48252291"/>
      <w:r w:rsidRPr="00CA059E">
        <w:t>Overview</w:t>
      </w:r>
      <w:bookmarkEnd w:id="94"/>
    </w:p>
    <w:p w14:paraId="2DC3EC95" w14:textId="7BC5DDDC" w:rsidR="0084324A" w:rsidRPr="00B255C5" w:rsidRDefault="0084324A" w:rsidP="00EE65A3">
      <w:pPr>
        <w:pStyle w:val="BodyText"/>
      </w:pPr>
      <w:r w:rsidRPr="00B255C5">
        <w:t xml:space="preserve">This </w:t>
      </w:r>
      <w:r w:rsidR="00D141B1">
        <w:t xml:space="preserve">section provides the </w:t>
      </w:r>
      <w:r w:rsidR="00E55C91">
        <w:t xml:space="preserve">methodology and </w:t>
      </w:r>
      <w:r w:rsidR="00D141B1">
        <w:t>results for</w:t>
      </w:r>
      <w:r w:rsidRPr="00B255C5">
        <w:t xml:space="preserve"> the resource adequacy and transmission system adequacy and security of the New York BPTF</w:t>
      </w:r>
      <w:r w:rsidR="00D141B1">
        <w:t xml:space="preserve"> over</w:t>
      </w:r>
      <w:r w:rsidR="00FD2796" w:rsidRPr="00B255C5">
        <w:t xml:space="preserve"> </w:t>
      </w:r>
      <w:r w:rsidR="00D141B1">
        <w:t>the RNA</w:t>
      </w:r>
      <w:r w:rsidR="00FD2796" w:rsidRPr="00B255C5">
        <w:t xml:space="preserve"> </w:t>
      </w:r>
      <w:r w:rsidR="00DF78B7" w:rsidRPr="00B255C5">
        <w:t>S</w:t>
      </w:r>
      <w:r w:rsidR="00FD2796" w:rsidRPr="00B255C5">
        <w:t xml:space="preserve">tudy </w:t>
      </w:r>
      <w:r w:rsidR="00DF78B7" w:rsidRPr="00B255C5">
        <w:t>P</w:t>
      </w:r>
      <w:r w:rsidR="00FD2796" w:rsidRPr="00B255C5">
        <w:t xml:space="preserve">eriod. </w:t>
      </w:r>
      <w:r w:rsidR="00D141B1">
        <w:t>If any Reliability Criteria violations are identified, t</w:t>
      </w:r>
      <w:r w:rsidRPr="00B255C5">
        <w:t>he NYISO identifies Reliability Needs</w:t>
      </w:r>
      <w:r w:rsidR="00FD2796" w:rsidRPr="00B255C5">
        <w:t xml:space="preserve">. </w:t>
      </w:r>
      <w:r w:rsidRPr="00B255C5">
        <w:t xml:space="preserve">Violations of </w:t>
      </w:r>
      <w:r w:rsidR="00D141B1">
        <w:t xml:space="preserve">the criteria </w:t>
      </w:r>
      <w:r w:rsidRPr="00B255C5">
        <w:t xml:space="preserve">are translated into MW or </w:t>
      </w:r>
      <w:r w:rsidR="00B150D7" w:rsidRPr="00B255C5">
        <w:t>MVA</w:t>
      </w:r>
      <w:r w:rsidR="00B150D7">
        <w:t>r</w:t>
      </w:r>
      <w:r w:rsidR="00B150D7" w:rsidRPr="00B255C5">
        <w:t xml:space="preserve"> </w:t>
      </w:r>
      <w:r w:rsidRPr="00B255C5">
        <w:t xml:space="preserve">amounts to </w:t>
      </w:r>
      <w:r w:rsidR="00F152C9">
        <w:t>provide a relative quantification of</w:t>
      </w:r>
      <w:r w:rsidRPr="00B255C5">
        <w:t xml:space="preserve"> the Reliability Need</w:t>
      </w:r>
      <w:r w:rsidR="00F152C9">
        <w:t>s</w:t>
      </w:r>
      <w:r w:rsidR="00E14B4F">
        <w:t>,</w:t>
      </w:r>
      <w:r w:rsidR="00F152C9">
        <w:t xml:space="preserve"> and </w:t>
      </w:r>
      <w:r w:rsidR="00E14B4F">
        <w:t xml:space="preserve">to </w:t>
      </w:r>
      <w:r w:rsidR="00F152C9">
        <w:t>support the development of solutions in the CRP.</w:t>
      </w:r>
    </w:p>
    <w:p w14:paraId="40C2C7BB" w14:textId="77777777" w:rsidR="000F7A65" w:rsidRDefault="000F7A65" w:rsidP="000F7A65">
      <w:pPr>
        <w:pStyle w:val="Heading2"/>
      </w:pPr>
      <w:bookmarkStart w:id="95" w:name="_Toc48252292"/>
      <w:r>
        <w:t>Methodology for the Determination of Needs</w:t>
      </w:r>
      <w:bookmarkEnd w:id="95"/>
      <w:r>
        <w:t xml:space="preserve"> </w:t>
      </w:r>
    </w:p>
    <w:p w14:paraId="0B7525D5" w14:textId="77777777" w:rsidR="000F7A65" w:rsidRPr="006B3D8C" w:rsidRDefault="000F7A65" w:rsidP="000F7A65">
      <w:pPr>
        <w:pStyle w:val="BodyText"/>
      </w:pPr>
      <w:r w:rsidRPr="006B3D8C">
        <w:t>The OATT defines Reliability Needs in terms of total deficiencies relative to Reliability Criteria determined from the assessments of the BPTF performed in the RNA. There are two steps to analyzing the reliability of the BPTF. The first is to evaluate the security of the transmission system</w:t>
      </w:r>
      <w:r>
        <w:t>. T</w:t>
      </w:r>
      <w:r w:rsidRPr="006B3D8C">
        <w:t>he second is to evaluate the adequacy of the system, subject to the security constraints. The transmission adequacy and the resource adequacy assessments are performed together.</w:t>
      </w:r>
    </w:p>
    <w:p w14:paraId="28390824" w14:textId="77777777" w:rsidR="000F7A65" w:rsidRPr="006B3D8C" w:rsidRDefault="000F7A65" w:rsidP="000F7A65">
      <w:pPr>
        <w:pStyle w:val="BodyText"/>
      </w:pPr>
      <w:r w:rsidRPr="006B3D8C">
        <w:t xml:space="preserve">Transmission security is the ability of the power system to withstand disturbances, such as electric short circuits or unanticipated loss of system elements, and continue to supply and deliver electricity. Transmission security is assessed deterministically with potential disturbances being applied without concern for the likelihood of the disturbance in the assessment. These disturbances (single-element and multiple-element contingencies) are categorized as the design criteria contingencies, explicitly defined in the Reliability Criteria. The impacts </w:t>
      </w:r>
      <w:r>
        <w:t>resulting from</w:t>
      </w:r>
      <w:r w:rsidRPr="006B3D8C">
        <w:t xml:space="preserve"> applying these de</w:t>
      </w:r>
      <w:r>
        <w:t xml:space="preserve">sign criteria contingencies are </w:t>
      </w:r>
      <w:r w:rsidRPr="006B3D8C">
        <w:t xml:space="preserve">assessed to determine </w:t>
      </w:r>
      <w:r>
        <w:t>whether</w:t>
      </w:r>
      <w:r w:rsidRPr="006B3D8C">
        <w:t xml:space="preserve"> thermal loading, voltage, or stability violations will occur. In addition, the NYISO performs a short circuit analysis to determine if the system can clear faulted facilities reliably under short circuit conditions. The NYISO’s “</w:t>
      </w:r>
      <w:r w:rsidRPr="006B3D8C">
        <w:rPr>
          <w:bCs w:val="0"/>
        </w:rPr>
        <w:t>Guideline for Fault Current Assessment</w:t>
      </w:r>
      <w:r w:rsidRPr="006B3D8C">
        <w:rPr>
          <w:rStyle w:val="FootnoteReference"/>
          <w:bCs w:val="0"/>
        </w:rPr>
        <w:footnoteReference w:id="10"/>
      </w:r>
      <w:r w:rsidRPr="006B3D8C">
        <w:t>” describes the methodology for that analysis.</w:t>
      </w:r>
    </w:p>
    <w:p w14:paraId="2EFA038D" w14:textId="77777777" w:rsidR="000F7A65" w:rsidRPr="006B3D8C" w:rsidRDefault="000F7A65" w:rsidP="000F7A65">
      <w:pPr>
        <w:pStyle w:val="BodyText"/>
      </w:pPr>
      <w:r w:rsidRPr="006B3D8C">
        <w:t>The analysis for the transmission security assessment is conducted in accordance with NERC Reliability Standards, NPCC Transmission Design Criteria, and the NYSRC Reliability Rules. Contingency analysis is performed on the BPTF to evaluate thermal and voltage performance under design contingency conditions using the Siemens PTI PSS</w:t>
      </w:r>
      <w:r w:rsidRPr="00B32560">
        <w:rPr>
          <w:vertAlign w:val="superscript"/>
        </w:rPr>
        <w:t>®</w:t>
      </w:r>
      <w:r w:rsidRPr="006B3D8C">
        <w:t>E and PowerGEM TARA programs. Generation is dispatched to match load plus system losses, while respecting transmission security. Scheduled inter-area transfers modeled in the base case between the NYCA and neighboring systems are held constant.</w:t>
      </w:r>
    </w:p>
    <w:p w14:paraId="48671416" w14:textId="77777777" w:rsidR="000F7A65" w:rsidRPr="00AB55F4" w:rsidRDefault="000F7A65" w:rsidP="000F7A65">
      <w:pPr>
        <w:pStyle w:val="BodyText"/>
        <w:rPr>
          <w:b/>
        </w:rPr>
      </w:pPr>
      <w:r w:rsidRPr="006B3D8C">
        <w:lastRenderedPageBreak/>
        <w:t>For the RNA, over 1,000 design criteria contingencies are evaluated under N</w:t>
      </w:r>
      <w:r w:rsidRPr="006B3D8C">
        <w:noBreakHyphen/>
        <w:t>1, N</w:t>
      </w:r>
      <w:r w:rsidRPr="006B3D8C">
        <w:noBreakHyphen/>
        <w:t>1</w:t>
      </w:r>
      <w:r w:rsidRPr="006B3D8C">
        <w:noBreakHyphen/>
        <w:t>0, and N</w:t>
      </w:r>
      <w:r w:rsidRPr="006B3D8C">
        <w:noBreakHyphen/>
        <w:t>1</w:t>
      </w:r>
      <w:r w:rsidRPr="006B3D8C">
        <w:noBreakHyphen/>
        <w:t>1 normal transfer criteria conditions to provide that the system is planned to meet all applicable reliability criteria. To evaluate the impact of a single event from the normal system condition (N</w:t>
      </w:r>
      <w:r w:rsidRPr="006B3D8C">
        <w:noBreakHyphen/>
        <w:t>1), all design criteria contingencies are evaluated including: single element, common structure, stuck breaker, generator, bus, and HVDC facilities contingencies. An N</w:t>
      </w:r>
      <w:r w:rsidRPr="006B3D8C">
        <w:noBreakHyphen/>
        <w:t>1 violation occurs when the power flow on the monitored facility is greater than the applicable post-contingency rating. N</w:t>
      </w:r>
      <w:r w:rsidRPr="006B3D8C">
        <w:noBreakHyphen/>
        <w:t>1</w:t>
      </w:r>
      <w:r w:rsidRPr="006B3D8C">
        <w:noBreakHyphen/>
        <w:t>0 and N</w:t>
      </w:r>
      <w:r w:rsidRPr="006B3D8C">
        <w:noBreakHyphen/>
        <w:t>1</w:t>
      </w:r>
      <w:r w:rsidRPr="006B3D8C">
        <w:noBreakHyphen/>
        <w:t>1 analys</w:t>
      </w:r>
      <w:r>
        <w:t>e</w:t>
      </w:r>
      <w:r w:rsidRPr="006B3D8C">
        <w:t>s evaluate the ability of the system to meet design criteria after a critical element has already been lost. For N</w:t>
      </w:r>
      <w:r w:rsidRPr="006B3D8C">
        <w:noBreakHyphen/>
        <w:t>1</w:t>
      </w:r>
      <w:r w:rsidRPr="006B3D8C">
        <w:noBreakHyphen/>
        <w:t>0 and N</w:t>
      </w:r>
      <w:r w:rsidRPr="006B3D8C">
        <w:noBreakHyphen/>
        <w:t>1</w:t>
      </w:r>
      <w:r w:rsidRPr="006B3D8C">
        <w:noBreakHyphen/>
        <w:t>1 analysis, single element contingencies are evaluated as the first contingency</w:t>
      </w:r>
      <w:r>
        <w:t>. T</w:t>
      </w:r>
      <w:r w:rsidRPr="006B3D8C">
        <w:t>he second contingency (N</w:t>
      </w:r>
      <w:r w:rsidRPr="006B3D8C">
        <w:noBreakHyphen/>
        <w:t>1</w:t>
      </w:r>
      <w:r w:rsidRPr="006B3D8C">
        <w:noBreakHyphen/>
        <w:t>1) includes all applicable design criteria contingencies evaluated under N-1 conditions.</w:t>
      </w:r>
      <w:r>
        <w:t xml:space="preserve"> Certain areas of the Con Edison system are designed and operated for the occurrence of a second contingency. This type of combination can be described as N-1-1-0. For N-1-1-0 analysis, after the second contingency occurs, systems adjustments are allowed to secure the system back to normal ratings.  </w:t>
      </w:r>
      <w:r w:rsidRPr="001E7672">
        <w:t xml:space="preserve">The Con Edison planning criteria are contained in the </w:t>
      </w:r>
      <w:hyperlink r:id="rId41" w:history="1">
        <w:r w:rsidRPr="001E7672">
          <w:rPr>
            <w:rStyle w:val="Hyperlink"/>
          </w:rPr>
          <w:t>NYSRC Reliability Rules</w:t>
        </w:r>
      </w:hyperlink>
      <w:r w:rsidRPr="001E7672">
        <w:rPr>
          <w:rStyle w:val="Hyperlink"/>
        </w:rPr>
        <w:t>,</w:t>
      </w:r>
      <w:r>
        <w:rPr>
          <w:rStyle w:val="Hyperlink"/>
        </w:rPr>
        <w:t xml:space="preserve"> rule G.1.</w:t>
      </w:r>
      <w:r>
        <w:t xml:space="preserve">  Accordingly, a violation of the N-1-1-0 criterion on the BPTFs in Con Edison district will be identified as Reliability Need in the NYISO’s Reliability Needs Assessment.  </w:t>
      </w:r>
    </w:p>
    <w:p w14:paraId="357A5DFE" w14:textId="77777777" w:rsidR="000F7A65" w:rsidRPr="006B3D8C" w:rsidRDefault="000F7A65" w:rsidP="000F7A65">
      <w:pPr>
        <w:pStyle w:val="BodyText"/>
      </w:pPr>
      <w:r w:rsidRPr="006B3D8C">
        <w:t xml:space="preserve">The process </w:t>
      </w:r>
      <w:r>
        <w:t xml:space="preserve">of successive contingency testing (such as N-1-1) </w:t>
      </w:r>
      <w:r w:rsidRPr="006B3D8C">
        <w:t xml:space="preserve">allows for corrective actions including generator re-dispatch, PAR adjustments, and HVDC adjustments between the </w:t>
      </w:r>
      <w:r>
        <w:t>contingencies</w:t>
      </w:r>
      <w:r w:rsidRPr="006B3D8C">
        <w:t xml:space="preserve">. </w:t>
      </w:r>
      <w:r>
        <w:t xml:space="preserve">For example, for N-1-1 analysis allowable system adjustments occur between the first (N-1-0) and second (N-1-1) contingencies. </w:t>
      </w:r>
      <w:r w:rsidRPr="006B3D8C">
        <w:t>These corrective actions prepare the system for the next contingency by reducing the flow to normal rating after the first contingency. An N</w:t>
      </w:r>
      <w:r w:rsidRPr="006B3D8C">
        <w:noBreakHyphen/>
        <w:t>1</w:t>
      </w:r>
      <w:r w:rsidRPr="006B3D8C">
        <w:noBreakHyphen/>
        <w:t>0 violation occurs when the flow cannot be reduced to below the normal rating following the first contingency. An N</w:t>
      </w:r>
      <w:r w:rsidRPr="006B3D8C">
        <w:noBreakHyphen/>
        <w:t>1</w:t>
      </w:r>
      <w:r w:rsidRPr="006B3D8C">
        <w:noBreakHyphen/>
        <w:t>1 violation occurs when the facility is reduced to below the normal rating following the first contingency, but the power flow following the second contingency exceeds the applicable post-contingency rating.</w:t>
      </w:r>
    </w:p>
    <w:p w14:paraId="3274B67C" w14:textId="77777777" w:rsidR="000F7A65" w:rsidRPr="006B3D8C" w:rsidRDefault="000F7A65" w:rsidP="000F7A65">
      <w:pPr>
        <w:pStyle w:val="BodyText"/>
      </w:pPr>
      <w:r w:rsidRPr="006B3D8C">
        <w:t xml:space="preserve">Resource adequacy is the ability of the electric systems to supply the aggregate electrical demand and energy requirements of the customers at all times, taking into account scheduled and reasonably expected unscheduled outages of system elements. Resource adequacy considers the transmission systems, generation resources, and other capacity resources, such as demand response. The NYISO performs resource adequacy assessments on a probabilistic basis to capture the random natures of system element outages. If a system has sufficient transmission and generation, the probability of an unplanned disconnection of firm load is equal to or less than the system’s standard, which is expressed as a </w:t>
      </w:r>
      <w:r>
        <w:t>l</w:t>
      </w:r>
      <w:r w:rsidRPr="006B3D8C">
        <w:t xml:space="preserve">oss of </w:t>
      </w:r>
      <w:r>
        <w:t>l</w:t>
      </w:r>
      <w:r w:rsidRPr="006B3D8C">
        <w:t xml:space="preserve">oad </w:t>
      </w:r>
      <w:r>
        <w:t>e</w:t>
      </w:r>
      <w:r w:rsidRPr="006B3D8C">
        <w:t xml:space="preserve">xpectation (LOLE). The New York State bulk power system is planned to meet an LOLE that, at any given point in time, is less than or equal to an involuntary firm load disconnection that is not more frequent than once in every 10 years, or 0.1 events per year. This requirement forms the basis of New York’s Installed </w:t>
      </w:r>
      <w:r w:rsidRPr="006B3D8C">
        <w:lastRenderedPageBreak/>
        <w:t xml:space="preserve">Reserve Margin (IRM) requirement and is analyzed on a statewide basis. </w:t>
      </w:r>
    </w:p>
    <w:p w14:paraId="42898B63" w14:textId="77777777" w:rsidR="000F7A65" w:rsidRPr="006B3D8C" w:rsidRDefault="000F7A65" w:rsidP="000F7A65">
      <w:pPr>
        <w:pStyle w:val="BodyText"/>
      </w:pPr>
      <w:r w:rsidRPr="006B3D8C">
        <w:t xml:space="preserve">If Reliability Needs are identified, various amounts and locations of compensatory MW required for the NYCA to satisfy those needs are determined to translate the criteria violations to understandable quantities. Compensatory MW amounts are determined by adding generic capacity resources to </w:t>
      </w:r>
      <w:r>
        <w:t>NYISO Z</w:t>
      </w:r>
      <w:r w:rsidRPr="006B3D8C">
        <w:t xml:space="preserve">ones to effectively satisfy the needs. The compensatory MW amounts and locations are based on a review of binding transmission constraints and zonal LOLE determinations in an iterative process to determine various combinations that will result in Reliability Criteria being met. These additions are used to estimate the amount of resources generally needed to satisfy Reliability Needs. The compensatory MW additions are not intended to represent specific proposed solutions. Resource needs could potentially be met by other combinations of resources in other areas including generation, transmission and demand response measures. </w:t>
      </w:r>
    </w:p>
    <w:p w14:paraId="31B534B9" w14:textId="77777777" w:rsidR="000F7A65" w:rsidRPr="006B3D8C" w:rsidRDefault="000F7A65" w:rsidP="000F7A65">
      <w:pPr>
        <w:pStyle w:val="BodyText"/>
      </w:pPr>
      <w:r w:rsidRPr="006B3D8C">
        <w:t>Due to the different types of supply and demand-side resources</w:t>
      </w:r>
      <w:r>
        <w:t>,</w:t>
      </w:r>
      <w:r w:rsidRPr="006B3D8C">
        <w:t xml:space="preserve"> and also due to transmission constraints, the amounts and locations of resources necessary to match the level of compensatory MW needs identified will vary. Reliability Needs could be met in part by transmission system reconfigurations that increase transfer limits, or by changes in operating protocols. Operating protocols could include such actions as using dynamic ratings for certain facilities, invoking operating exceptions, or establishing special protection systems.</w:t>
      </w:r>
    </w:p>
    <w:p w14:paraId="0FB47C4B" w14:textId="77777777" w:rsidR="000F7A65" w:rsidRDefault="000F7A65" w:rsidP="000F7A65">
      <w:pPr>
        <w:pStyle w:val="BodyText"/>
      </w:pPr>
      <w:r w:rsidRPr="006B3D8C">
        <w:t xml:space="preserve">The procedure to quantify compensatory MW for BPTF transmission security violations is a separate process from calculating compensatory MW for resource adequacy violations. This quantification is performed by first calculating transfer distribution factors on the overloaded facilities. The power transfer used for this calculation is created by injecting power at existing buses within the </w:t>
      </w:r>
      <w:r>
        <w:t>Z</w:t>
      </w:r>
      <w:r w:rsidRPr="006B3D8C">
        <w:t>one where the violation occurs, and reducing power at an aggregate of existing generators outside of the area.</w:t>
      </w:r>
    </w:p>
    <w:p w14:paraId="7ECFF4C5" w14:textId="77777777" w:rsidR="00972D4C" w:rsidRPr="005E4C5B" w:rsidRDefault="00972D4C" w:rsidP="00972D4C">
      <w:pPr>
        <w:pStyle w:val="Heading2"/>
      </w:pPr>
      <w:bookmarkStart w:id="96" w:name="_Toc48252293"/>
      <w:r w:rsidRPr="005E4C5B">
        <w:t>Resource Adequacy Base Case Assessments</w:t>
      </w:r>
      <w:bookmarkEnd w:id="96"/>
      <w:r w:rsidRPr="005E4C5B">
        <w:t xml:space="preserve"> </w:t>
      </w:r>
    </w:p>
    <w:p w14:paraId="0AEE3769" w14:textId="5A377AE5" w:rsidR="00972D4C" w:rsidRPr="000C7947" w:rsidRDefault="00972D4C" w:rsidP="00972D4C">
      <w:pPr>
        <w:pStyle w:val="BodyText"/>
      </w:pPr>
      <w:bookmarkStart w:id="97" w:name="_Ref506984149"/>
      <w:bookmarkStart w:id="98" w:name="_Ref506897465"/>
      <w:bookmarkStart w:id="99" w:name="_Toc506966647"/>
      <w:r w:rsidRPr="000C7947">
        <w:t>The NYISO conducts its resource adequacy analysis using the GE-MARS</w:t>
      </w:r>
      <w:r>
        <w:t xml:space="preserve"> </w:t>
      </w:r>
      <w:r w:rsidRPr="000C7947">
        <w:t xml:space="preserve">software package, which performs probabilistic simulations of outages of capacity and select transmission resources. </w:t>
      </w:r>
      <w:r w:rsidRPr="000C7947">
        <w:rPr>
          <w:lang w:bidi="en-US"/>
        </w:rPr>
        <w:t xml:space="preserve">The program </w:t>
      </w:r>
      <w:r>
        <w:t>employs a sequential Monte Carlo simulation method</w:t>
      </w:r>
      <w:r w:rsidRPr="000C7947">
        <w:rPr>
          <w:lang w:bidi="en-US"/>
        </w:rPr>
        <w:t xml:space="preserve"> </w:t>
      </w:r>
      <w:r>
        <w:rPr>
          <w:lang w:bidi="en-US"/>
        </w:rPr>
        <w:t xml:space="preserve">and </w:t>
      </w:r>
      <w:r w:rsidRPr="000C7947">
        <w:rPr>
          <w:lang w:bidi="en-US"/>
        </w:rPr>
        <w:t xml:space="preserve">calculates expected values of reliability indices such as LOLE </w:t>
      </w:r>
      <w:r w:rsidR="001974B2">
        <w:rPr>
          <w:lang w:bidi="en-US"/>
        </w:rPr>
        <w:t>(</w:t>
      </w:r>
      <w:r w:rsidRPr="000C7947">
        <w:rPr>
          <w:lang w:bidi="en-US"/>
        </w:rPr>
        <w:t>days/year) and includes load, generation, and transmission representation</w:t>
      </w:r>
      <w:r w:rsidR="00E14B4F">
        <w:rPr>
          <w:lang w:bidi="en-US"/>
        </w:rPr>
        <w:t>.</w:t>
      </w:r>
      <w:r>
        <w:rPr>
          <w:lang w:bidi="en-US"/>
        </w:rPr>
        <w:t xml:space="preserve"> </w:t>
      </w:r>
      <w:r w:rsidR="00E14B4F">
        <w:rPr>
          <w:lang w:bidi="en-US"/>
        </w:rPr>
        <w:t>A</w:t>
      </w:r>
      <w:r>
        <w:rPr>
          <w:lang w:bidi="en-US"/>
        </w:rPr>
        <w:t>dditional modeling details and links to various stakeholders’ presentations are in the assumptions matrix, Appendix D.</w:t>
      </w:r>
      <w:r w:rsidRPr="000C7947">
        <w:rPr>
          <w:lang w:bidi="en-US"/>
        </w:rPr>
        <w:t xml:space="preserve"> The four external Control Areas interconnected to the NYCA </w:t>
      </w:r>
      <w:r w:rsidR="00E14B4F">
        <w:rPr>
          <w:lang w:bidi="en-US"/>
        </w:rPr>
        <w:t xml:space="preserve">(ISO-New England, PJM, Ontario and Quebec) </w:t>
      </w:r>
      <w:r w:rsidRPr="000C7947">
        <w:rPr>
          <w:lang w:bidi="en-US"/>
        </w:rPr>
        <w:t>are also modeled.</w:t>
      </w:r>
      <w:r>
        <w:t xml:space="preserve"> </w:t>
      </w:r>
      <w:r w:rsidRPr="00517241">
        <w:t xml:space="preserve">In determining the reliability of a system, there are several types of randomly occurring events that </w:t>
      </w:r>
      <w:r>
        <w:t>are</w:t>
      </w:r>
      <w:r w:rsidRPr="00517241">
        <w:t xml:space="preserve"> taken into consideration. Among these are the forced outages of generating units, the forced outages of transmission capacity, and deviations from in the forecasted loads. </w:t>
      </w:r>
    </w:p>
    <w:p w14:paraId="6FD064C6" w14:textId="77777777" w:rsidR="00972D4C" w:rsidRDefault="00972D4C" w:rsidP="00972D4C">
      <w:pPr>
        <w:pStyle w:val="Heading4"/>
        <w:rPr>
          <w:color w:val="C00000"/>
        </w:rPr>
      </w:pPr>
      <w:r>
        <w:lastRenderedPageBreak/>
        <w:t xml:space="preserve">Generation Model </w:t>
      </w:r>
    </w:p>
    <w:p w14:paraId="28B6F186" w14:textId="5C69AE9A" w:rsidR="00972D4C" w:rsidRPr="00BE6903" w:rsidRDefault="00972D4C" w:rsidP="00972D4C">
      <w:pPr>
        <w:pStyle w:val="BodyText"/>
      </w:pPr>
      <w:r w:rsidRPr="000C7947">
        <w:t xml:space="preserve">The NYISO models the </w:t>
      </w:r>
      <w:r>
        <w:t>generation</w:t>
      </w:r>
      <w:r w:rsidRPr="000C7947">
        <w:t xml:space="preserve"> system in GE-MARS using </w:t>
      </w:r>
      <w:r>
        <w:t>several types of units. Thermal units considerations include: random forced outages as determined by Generator Availability Data System (GADS) -calculated EFORd and the Monte Carlo draw, scheduled and unplanned maintenance</w:t>
      </w:r>
      <w:r w:rsidR="00E14B4F">
        <w:t>,</w:t>
      </w:r>
      <w:r>
        <w:t xml:space="preserve"> and thermal derates. Renewable </w:t>
      </w:r>
      <w:r w:rsidR="00E14B4F">
        <w:t xml:space="preserve">resource </w:t>
      </w:r>
      <w:r>
        <w:t>units (</w:t>
      </w:r>
      <w:r w:rsidRPr="00B47652">
        <w:rPr>
          <w:i/>
        </w:rPr>
        <w:t>i.e.</w:t>
      </w:r>
      <w:r>
        <w:t xml:space="preserve"> solar PV, wind, run-of-river hydro and landfill gas) are modeled using five years of historical production data. Co-generation units are also modeled using a capacity and load profile for each unit.</w:t>
      </w:r>
    </w:p>
    <w:p w14:paraId="0D5C633F" w14:textId="77777777" w:rsidR="00972D4C" w:rsidRDefault="00972D4C" w:rsidP="00972D4C">
      <w:pPr>
        <w:pStyle w:val="Heading4"/>
      </w:pPr>
      <w:r>
        <w:t>Load Model</w:t>
      </w:r>
    </w:p>
    <w:p w14:paraId="2C5818E4" w14:textId="77777777" w:rsidR="00972D4C" w:rsidRPr="007B5A5C" w:rsidRDefault="00972D4C" w:rsidP="00972D4C">
      <w:pPr>
        <w:pStyle w:val="BodyText"/>
      </w:pPr>
      <w:r>
        <w:t>The load model in the NYISO GE-MARS model consists of historical load shapes and load forecast uncertainty (LFU). The NYISO uses three historical load shapes in the GE-MARS model (2002, 2006 and 2007) in seven different load levels using a normal distribution. LFU is applied to every hour of these historical shapes and each of the seven load levels are run through the GE-MARS model.</w:t>
      </w:r>
    </w:p>
    <w:p w14:paraId="4ABFB4B9" w14:textId="77777777" w:rsidR="00972D4C" w:rsidRDefault="00972D4C" w:rsidP="00972D4C">
      <w:pPr>
        <w:pStyle w:val="Heading4"/>
      </w:pPr>
      <w:r>
        <w:t xml:space="preserve">MARS Topology  </w:t>
      </w:r>
    </w:p>
    <w:p w14:paraId="37850B81" w14:textId="77777777" w:rsidR="00972D4C" w:rsidRPr="000C7947" w:rsidRDefault="00972D4C" w:rsidP="00972D4C">
      <w:pPr>
        <w:pStyle w:val="BodyText"/>
      </w:pPr>
      <w:r w:rsidRPr="000C7947">
        <w:t xml:space="preserve">The NYISO models the </w:t>
      </w:r>
      <w:r>
        <w:t>amount of power that could be transferred across the system</w:t>
      </w:r>
      <w:r w:rsidRPr="000C7947">
        <w:t xml:space="preserve"> in GE-MARS using interface transfer limits applied to the connections between the GE-MARS areas</w:t>
      </w:r>
      <w:r>
        <w:rPr>
          <w:rStyle w:val="FootnoteReference"/>
        </w:rPr>
        <w:footnoteReference w:id="11"/>
      </w:r>
      <w:r w:rsidRPr="000C7947">
        <w:t xml:space="preserve"> (“bubble-and-pipe” model).</w:t>
      </w:r>
    </w:p>
    <w:p w14:paraId="061715BB" w14:textId="77777777" w:rsidR="00972D4C" w:rsidRPr="0000180A" w:rsidRDefault="00972D4C" w:rsidP="00972D4C">
      <w:pPr>
        <w:pStyle w:val="BodyText"/>
      </w:pPr>
      <w:r w:rsidRPr="0000180A">
        <w:t xml:space="preserve">Summary of </w:t>
      </w:r>
      <w:r>
        <w:t>m</w:t>
      </w:r>
      <w:r w:rsidRPr="0000180A">
        <w:t xml:space="preserve">ajor </w:t>
      </w:r>
      <w:r>
        <w:t xml:space="preserve">GE-MARS </w:t>
      </w:r>
      <w:r w:rsidRPr="0000180A">
        <w:t>topology changes</w:t>
      </w:r>
      <w:r>
        <w:rPr>
          <w:rStyle w:val="FootnoteReference"/>
        </w:rPr>
        <w:footnoteReference w:id="12"/>
      </w:r>
      <w:r>
        <w:t xml:space="preserve"> (as compared with the 2019-2028 CRP</w:t>
      </w:r>
      <w:r w:rsidRPr="0000180A">
        <w:t>):</w:t>
      </w:r>
    </w:p>
    <w:p w14:paraId="3EA94D72" w14:textId="77777777" w:rsidR="00972D4C" w:rsidRPr="00C93632" w:rsidRDefault="00972D4C" w:rsidP="00972D4C">
      <w:pPr>
        <w:pStyle w:val="BodyText"/>
        <w:numPr>
          <w:ilvl w:val="0"/>
          <w:numId w:val="48"/>
        </w:numPr>
        <w:spacing w:line="276" w:lineRule="auto"/>
      </w:pPr>
      <w:r w:rsidRPr="00C93632">
        <w:t>Marion-Farragut 345kV cables (B and C) assumed out-of-service</w:t>
      </w:r>
    </w:p>
    <w:p w14:paraId="000CF632" w14:textId="699E5231" w:rsidR="00972D4C" w:rsidRPr="00C93632" w:rsidRDefault="00972D4C" w:rsidP="00972D4C">
      <w:pPr>
        <w:pStyle w:val="BodyText"/>
        <w:numPr>
          <w:ilvl w:val="0"/>
          <w:numId w:val="48"/>
        </w:numPr>
        <w:spacing w:line="276" w:lineRule="auto"/>
      </w:pPr>
      <w:r w:rsidRPr="00C93632">
        <w:t xml:space="preserve">71, 72, M51, M52 series reactors assumed bypassed after deactivation of Indian Point </w:t>
      </w:r>
      <w:r w:rsidR="00E14B4F">
        <w:t>Unit Nos. 2 and 3</w:t>
      </w:r>
    </w:p>
    <w:p w14:paraId="0C4D7F3C" w14:textId="77777777" w:rsidR="00972D4C" w:rsidRPr="00C93632" w:rsidRDefault="00972D4C" w:rsidP="00972D4C">
      <w:pPr>
        <w:pStyle w:val="BodyText"/>
        <w:numPr>
          <w:ilvl w:val="0"/>
          <w:numId w:val="48"/>
        </w:numPr>
        <w:spacing w:line="276" w:lineRule="auto"/>
      </w:pPr>
      <w:r w:rsidRPr="00C93632">
        <w:t xml:space="preserve">Rainey – Corona transmission project in-service impacting J to K limits </w:t>
      </w:r>
    </w:p>
    <w:p w14:paraId="1416D494" w14:textId="79C40C0C" w:rsidR="00972D4C" w:rsidRPr="00C93632" w:rsidRDefault="00972D4C" w:rsidP="00972D4C">
      <w:pPr>
        <w:pStyle w:val="BodyText"/>
        <w:numPr>
          <w:ilvl w:val="0"/>
          <w:numId w:val="48"/>
        </w:numPr>
        <w:spacing w:line="276" w:lineRule="auto"/>
      </w:pPr>
      <w:r w:rsidRPr="00C93632">
        <w:t xml:space="preserve">AC Transmission </w:t>
      </w:r>
      <w:r w:rsidR="00EC3846">
        <w:t>Public Policy</w:t>
      </w:r>
      <w:r w:rsidR="00EC3846" w:rsidRPr="00C93632">
        <w:t xml:space="preserve"> </w:t>
      </w:r>
      <w:r w:rsidRPr="00C93632">
        <w:t xml:space="preserve">Segment A and B Projects added starting </w:t>
      </w:r>
      <w:r w:rsidR="00EC3846">
        <w:t xml:space="preserve">January </w:t>
      </w:r>
      <w:r w:rsidRPr="00C93632">
        <w:t>2024</w:t>
      </w:r>
    </w:p>
    <w:p w14:paraId="4AE5E03D" w14:textId="77777777" w:rsidR="00972D4C" w:rsidRPr="00C93632" w:rsidRDefault="00972D4C" w:rsidP="00972D4C">
      <w:pPr>
        <w:pStyle w:val="BodyText"/>
        <w:numPr>
          <w:ilvl w:val="0"/>
          <w:numId w:val="48"/>
        </w:numPr>
        <w:spacing w:line="276" w:lineRule="auto"/>
      </w:pPr>
      <w:r w:rsidRPr="00C93632">
        <w:t>Removal of Cedars bubble/tie to Zone D model; adding the MW from the bubble to the tie HQ to D tie limit.</w:t>
      </w:r>
    </w:p>
    <w:p w14:paraId="6FD86DD3" w14:textId="77777777" w:rsidR="00972D4C" w:rsidRPr="00C93632" w:rsidRDefault="00972D4C" w:rsidP="00972D4C">
      <w:pPr>
        <w:pStyle w:val="BodyText"/>
        <w:numPr>
          <w:ilvl w:val="0"/>
          <w:numId w:val="48"/>
        </w:numPr>
        <w:spacing w:line="276" w:lineRule="auto"/>
      </w:pPr>
      <w:r w:rsidRPr="00C93632">
        <w:t>Updates to Zone K Imports/Exports</w:t>
      </w:r>
    </w:p>
    <w:p w14:paraId="5CFA3455" w14:textId="77777777" w:rsidR="00972D4C" w:rsidRPr="00C93632" w:rsidRDefault="00972D4C" w:rsidP="00972D4C">
      <w:pPr>
        <w:pStyle w:val="BodyText"/>
        <w:numPr>
          <w:ilvl w:val="0"/>
          <w:numId w:val="48"/>
        </w:numPr>
        <w:spacing w:line="276" w:lineRule="auto"/>
      </w:pPr>
      <w:r w:rsidRPr="00C93632">
        <w:t>Somerset retirement impacts</w:t>
      </w:r>
    </w:p>
    <w:p w14:paraId="05B68450" w14:textId="77777777" w:rsidR="00972D4C" w:rsidRPr="00C93632" w:rsidRDefault="00972D4C" w:rsidP="00972D4C">
      <w:pPr>
        <w:pStyle w:val="BodyText"/>
        <w:numPr>
          <w:ilvl w:val="0"/>
          <w:numId w:val="48"/>
        </w:numPr>
        <w:spacing w:line="276" w:lineRule="auto"/>
      </w:pPr>
      <w:r w:rsidRPr="00C93632">
        <w:t xml:space="preserve">The external areas model for PJM and ISO-NE were </w:t>
      </w:r>
      <w:hyperlink r:id="rId42" w:history="1">
        <w:r w:rsidRPr="00C93632">
          <w:rPr>
            <w:rStyle w:val="Hyperlink"/>
            <w:color w:val="auto"/>
            <w:u w:val="none"/>
          </w:rPr>
          <w:t xml:space="preserve">simplified </w:t>
        </w:r>
      </w:hyperlink>
      <w:r w:rsidRPr="00C93632">
        <w:t xml:space="preserve">by consolidating the five PJM areas (bubbles) into one, and the eight ISO-NE areas into one. </w:t>
      </w:r>
    </w:p>
    <w:p w14:paraId="45FEA5F6" w14:textId="77777777" w:rsidR="00972D4C" w:rsidRPr="000C7947" w:rsidRDefault="00972D4C" w:rsidP="00972D4C"/>
    <w:p w14:paraId="5531B159" w14:textId="0C8416F8" w:rsidR="00972D4C" w:rsidRPr="00EF6F18" w:rsidRDefault="00972D4C" w:rsidP="00972D4C">
      <w:pPr>
        <w:pStyle w:val="BodyText"/>
      </w:pPr>
      <w:r w:rsidRPr="00EF6F18">
        <w:t xml:space="preserve">The emergency transfer criteria limits used in the GE-MARS model were developed from an </w:t>
      </w:r>
      <w:r w:rsidRPr="00EF6F18">
        <w:lastRenderedPageBreak/>
        <w:t>assessment of analysis of the 2020 RNA power flow base case</w:t>
      </w:r>
      <w:r>
        <w:t>s</w:t>
      </w:r>
      <w:r w:rsidRPr="00EF6F18">
        <w:t xml:space="preserve">, and analysis performed for other studies. </w:t>
      </w:r>
      <w:r w:rsidRPr="008B6C23">
        <w:fldChar w:fldCharType="begin"/>
      </w:r>
      <w:r w:rsidRPr="008B6C23">
        <w:instrText xml:space="preserve"> REF _Ref520204991 \h  \* MERGEFORMAT </w:instrText>
      </w:r>
      <w:r w:rsidRPr="008B6C23">
        <w:fldChar w:fldCharType="separate"/>
      </w:r>
      <w:r w:rsidR="00E8147A" w:rsidRPr="00BD7536">
        <w:t xml:space="preserve">Figure </w:t>
      </w:r>
      <w:r w:rsidR="00E8147A">
        <w:t>22</w:t>
      </w:r>
      <w:r w:rsidRPr="008B6C23">
        <w:fldChar w:fldCharType="end"/>
      </w:r>
      <w:r w:rsidRPr="008B6C23">
        <w:t xml:space="preserve">, </w:t>
      </w:r>
      <w:r w:rsidRPr="008B6C23">
        <w:fldChar w:fldCharType="begin"/>
      </w:r>
      <w:r w:rsidRPr="008B6C23">
        <w:instrText xml:space="preserve"> REF _Ref506984164 \h  \* MERGEFORMAT </w:instrText>
      </w:r>
      <w:r w:rsidRPr="008B6C23">
        <w:fldChar w:fldCharType="separate"/>
      </w:r>
      <w:r w:rsidR="00E8147A" w:rsidRPr="00BD7536">
        <w:t xml:space="preserve">Figure </w:t>
      </w:r>
      <w:r w:rsidR="00E8147A">
        <w:t>23</w:t>
      </w:r>
      <w:r w:rsidRPr="008B6C23">
        <w:fldChar w:fldCharType="end"/>
      </w:r>
      <w:r w:rsidRPr="008B6C23">
        <w:t xml:space="preserve"> and </w:t>
      </w:r>
      <w:r w:rsidRPr="008B6C23">
        <w:fldChar w:fldCharType="begin"/>
      </w:r>
      <w:r w:rsidRPr="008B6C23">
        <w:instrText xml:space="preserve"> REF _Ref506984177 \h  \* MERGEFORMAT </w:instrText>
      </w:r>
      <w:r w:rsidRPr="008B6C23">
        <w:fldChar w:fldCharType="separate"/>
      </w:r>
      <w:r w:rsidR="00E8147A" w:rsidRPr="0069447F">
        <w:t xml:space="preserve">Figure </w:t>
      </w:r>
      <w:r w:rsidR="00E8147A">
        <w:t>24</w:t>
      </w:r>
      <w:r w:rsidRPr="008B6C23">
        <w:fldChar w:fldCharType="end"/>
      </w:r>
      <w:r w:rsidRPr="00EF6F18">
        <w:rPr>
          <w:color w:val="FF0000"/>
        </w:rPr>
        <w:t xml:space="preserve"> </w:t>
      </w:r>
      <w:r w:rsidRPr="00EF6F18">
        <w:t>provide the thermal and voltage emergency transfer limits for the major NYCA interfaces. The 2018 RNA transfer limits are pre</w:t>
      </w:r>
      <w:bookmarkStart w:id="100" w:name="_Ref517169018"/>
      <w:r w:rsidRPr="00EF6F18">
        <w:t>sented for comparison purposes.</w:t>
      </w:r>
    </w:p>
    <w:p w14:paraId="6E6D7B25" w14:textId="77777777" w:rsidR="00972D4C" w:rsidRPr="00243349" w:rsidRDefault="00972D4C" w:rsidP="00972D4C">
      <w:pPr>
        <w:rPr>
          <w:rFonts w:ascii="Cambria" w:eastAsia="Arial Narrow" w:hAnsi="Cambria"/>
          <w:bCs/>
          <w:color w:val="FF0000"/>
          <w:sz w:val="22"/>
          <w:lang w:bidi="ar-SA"/>
        </w:rPr>
      </w:pPr>
      <w:r w:rsidRPr="00243349">
        <w:rPr>
          <w:color w:val="FF0000"/>
        </w:rPr>
        <w:br w:type="page"/>
      </w:r>
    </w:p>
    <w:p w14:paraId="791A3625" w14:textId="2F85A85D" w:rsidR="00972D4C" w:rsidRPr="00BD7536" w:rsidRDefault="00972D4C" w:rsidP="00972D4C">
      <w:pPr>
        <w:pStyle w:val="Figure"/>
      </w:pPr>
      <w:bookmarkStart w:id="101" w:name="_Ref520204991"/>
      <w:bookmarkStart w:id="102" w:name="_Toc48251341"/>
      <w:r w:rsidRPr="00BD7536">
        <w:lastRenderedPageBreak/>
        <w:t xml:space="preserve">Figure </w:t>
      </w:r>
      <w:r w:rsidR="00D517E4">
        <w:fldChar w:fldCharType="begin"/>
      </w:r>
      <w:r w:rsidR="00D517E4">
        <w:instrText xml:space="preserve"> SEQ Figure \* ARABIC </w:instrText>
      </w:r>
      <w:r w:rsidR="00D517E4">
        <w:fldChar w:fldCharType="separate"/>
      </w:r>
      <w:r w:rsidR="00F94268">
        <w:rPr>
          <w:noProof/>
        </w:rPr>
        <w:t>22</w:t>
      </w:r>
      <w:r w:rsidR="00D517E4">
        <w:rPr>
          <w:noProof/>
        </w:rPr>
        <w:fldChar w:fldCharType="end"/>
      </w:r>
      <w:bookmarkEnd w:id="97"/>
      <w:bookmarkEnd w:id="100"/>
      <w:bookmarkEnd w:id="101"/>
      <w:r w:rsidRPr="00BD7536">
        <w:t>: Transmission System Thermal Emergency Transfer Limits</w:t>
      </w:r>
      <w:bookmarkEnd w:id="98"/>
      <w:bookmarkEnd w:id="99"/>
      <w:bookmarkEnd w:id="102"/>
    </w:p>
    <w:p w14:paraId="7D9C2572" w14:textId="77777777" w:rsidR="00972D4C" w:rsidRDefault="00972D4C" w:rsidP="00972D4C">
      <w:pPr>
        <w:pStyle w:val="Figure"/>
        <w:jc w:val="center"/>
      </w:pPr>
      <w:r w:rsidRPr="00994536">
        <w:rPr>
          <w:noProof/>
        </w:rPr>
        <w:drawing>
          <wp:inline distT="0" distB="0" distL="0" distR="0" wp14:anchorId="4AB5ED30" wp14:editId="40593A02">
            <wp:extent cx="6385560" cy="1551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40" r="49825" b="47420"/>
                    <a:stretch/>
                  </pic:blipFill>
                  <pic:spPr bwMode="auto">
                    <a:xfrm>
                      <a:off x="0" y="0"/>
                      <a:ext cx="6433995" cy="1563072"/>
                    </a:xfrm>
                    <a:prstGeom prst="rect">
                      <a:avLst/>
                    </a:prstGeom>
                    <a:noFill/>
                    <a:ln>
                      <a:noFill/>
                    </a:ln>
                    <a:extLst>
                      <a:ext uri="{53640926-AAD7-44D8-BBD7-CCE9431645EC}">
                        <a14:shadowObscured xmlns:a14="http://schemas.microsoft.com/office/drawing/2010/main"/>
                      </a:ext>
                    </a:extLst>
                  </pic:spPr>
                </pic:pic>
              </a:graphicData>
            </a:graphic>
          </wp:inline>
        </w:drawing>
      </w:r>
    </w:p>
    <w:p w14:paraId="6A5577EE" w14:textId="77777777" w:rsidR="00972D4C" w:rsidRDefault="00972D4C" w:rsidP="00972D4C">
      <w:pPr>
        <w:pStyle w:val="caption10"/>
        <w:spacing w:after="0"/>
        <w:rPr>
          <w:sz w:val="18"/>
          <w:szCs w:val="18"/>
        </w:rPr>
      </w:pPr>
      <w:r w:rsidRPr="00582653">
        <w:rPr>
          <w:b/>
          <w:sz w:val="18"/>
          <w:szCs w:val="18"/>
        </w:rPr>
        <w:t>Notes</w:t>
      </w:r>
      <w:r w:rsidRPr="00582653">
        <w:rPr>
          <w:sz w:val="18"/>
          <w:szCs w:val="18"/>
        </w:rPr>
        <w:t xml:space="preserve">: </w:t>
      </w:r>
    </w:p>
    <w:p w14:paraId="6BE6C67E" w14:textId="77777777" w:rsidR="00972D4C" w:rsidRPr="00582653" w:rsidRDefault="00972D4C" w:rsidP="00972D4C">
      <w:pPr>
        <w:pStyle w:val="caption10"/>
        <w:rPr>
          <w:color w:val="A6A6A6" w:themeColor="background1" w:themeShade="A6"/>
          <w:sz w:val="18"/>
          <w:szCs w:val="18"/>
        </w:rPr>
      </w:pPr>
      <w:r w:rsidRPr="00582653">
        <w:rPr>
          <w:color w:val="A6A6A6" w:themeColor="background1" w:themeShade="A6"/>
          <w:sz w:val="18"/>
          <w:szCs w:val="18"/>
        </w:rPr>
        <w:t>Grey italic font: Limit was not calculated</w:t>
      </w:r>
    </w:p>
    <w:p w14:paraId="0F59B23C" w14:textId="77777777" w:rsidR="00972D4C" w:rsidRPr="00582653" w:rsidRDefault="00972D4C" w:rsidP="00972D4C">
      <w:pPr>
        <w:pStyle w:val="caption10"/>
        <w:spacing w:after="240"/>
        <w:rPr>
          <w:sz w:val="18"/>
          <w:szCs w:val="18"/>
        </w:rPr>
      </w:pPr>
      <w:r w:rsidRPr="00582653">
        <w:rPr>
          <w:sz w:val="18"/>
          <w:szCs w:val="18"/>
        </w:rPr>
        <w:t>*change in limit between 2018 RNA and 2020 RNA is due to different modeling method used in GE-MARS. Additional t</w:t>
      </w:r>
      <w:r>
        <w:rPr>
          <w:sz w:val="18"/>
          <w:szCs w:val="18"/>
        </w:rPr>
        <w:t xml:space="preserve">opology changes details are in </w:t>
      </w:r>
      <w:r w:rsidRPr="00582653">
        <w:rPr>
          <w:sz w:val="18"/>
          <w:szCs w:val="18"/>
        </w:rPr>
        <w:t xml:space="preserve">Appendix D. </w:t>
      </w:r>
    </w:p>
    <w:p w14:paraId="7F174EFB" w14:textId="5C4C49EB" w:rsidR="00972D4C" w:rsidRPr="00BD7536" w:rsidRDefault="00972D4C" w:rsidP="00972D4C">
      <w:pPr>
        <w:pStyle w:val="Figure"/>
      </w:pPr>
      <w:bookmarkStart w:id="103" w:name="_Ref506984164"/>
      <w:bookmarkStart w:id="104" w:name="_Ref506897471"/>
      <w:bookmarkStart w:id="105" w:name="_Toc506966648"/>
      <w:bookmarkStart w:id="106" w:name="_Toc48251342"/>
      <w:r w:rsidRPr="00BD7536">
        <w:t xml:space="preserve">Figure </w:t>
      </w:r>
      <w:r w:rsidR="00D517E4">
        <w:fldChar w:fldCharType="begin"/>
      </w:r>
      <w:r w:rsidR="00D517E4">
        <w:instrText xml:space="preserve"> SEQ Figure \* ARABIC </w:instrText>
      </w:r>
      <w:r w:rsidR="00D517E4">
        <w:fldChar w:fldCharType="separate"/>
      </w:r>
      <w:r w:rsidR="00F94268">
        <w:rPr>
          <w:noProof/>
        </w:rPr>
        <w:t>23</w:t>
      </w:r>
      <w:r w:rsidR="00D517E4">
        <w:rPr>
          <w:noProof/>
        </w:rPr>
        <w:fldChar w:fldCharType="end"/>
      </w:r>
      <w:bookmarkEnd w:id="103"/>
      <w:r w:rsidRPr="00BD7536">
        <w:t>: Transmission System Voltage Emergency Transfer Limits</w:t>
      </w:r>
      <w:bookmarkEnd w:id="104"/>
      <w:bookmarkEnd w:id="105"/>
      <w:bookmarkEnd w:id="106"/>
    </w:p>
    <w:p w14:paraId="3C3DF350" w14:textId="77777777" w:rsidR="00972D4C" w:rsidRDefault="00972D4C" w:rsidP="00972D4C">
      <w:pPr>
        <w:pStyle w:val="Figure"/>
        <w:spacing w:after="160" w:line="240" w:lineRule="auto"/>
        <w:jc w:val="center"/>
      </w:pPr>
      <w:r w:rsidRPr="00994536">
        <w:rPr>
          <w:noProof/>
        </w:rPr>
        <w:drawing>
          <wp:inline distT="0" distB="0" distL="0" distR="0" wp14:anchorId="3A1323F6" wp14:editId="0B5767EA">
            <wp:extent cx="6346369" cy="1257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r="49522" b="47826"/>
                    <a:stretch/>
                  </pic:blipFill>
                  <pic:spPr bwMode="auto">
                    <a:xfrm>
                      <a:off x="0" y="0"/>
                      <a:ext cx="6355875" cy="1259183"/>
                    </a:xfrm>
                    <a:prstGeom prst="rect">
                      <a:avLst/>
                    </a:prstGeom>
                    <a:noFill/>
                    <a:ln>
                      <a:noFill/>
                    </a:ln>
                    <a:extLst>
                      <a:ext uri="{53640926-AAD7-44D8-BBD7-CCE9431645EC}">
                        <a14:shadowObscured xmlns:a14="http://schemas.microsoft.com/office/drawing/2010/main"/>
                      </a:ext>
                    </a:extLst>
                  </pic:spPr>
                </pic:pic>
              </a:graphicData>
            </a:graphic>
          </wp:inline>
        </w:drawing>
      </w:r>
    </w:p>
    <w:p w14:paraId="2FAC0EEB" w14:textId="77777777" w:rsidR="00972D4C" w:rsidRPr="00582653" w:rsidRDefault="00972D4C" w:rsidP="00972D4C">
      <w:pPr>
        <w:pStyle w:val="caption10"/>
        <w:spacing w:after="240"/>
        <w:rPr>
          <w:color w:val="A6A6A6" w:themeColor="background1" w:themeShade="A6"/>
          <w:sz w:val="18"/>
          <w:szCs w:val="18"/>
        </w:rPr>
      </w:pPr>
      <w:r w:rsidRPr="00582653">
        <w:rPr>
          <w:sz w:val="18"/>
          <w:szCs w:val="18"/>
        </w:rPr>
        <w:t>Note</w:t>
      </w:r>
      <w:r w:rsidRPr="00582653">
        <w:rPr>
          <w:color w:val="A6A6A6" w:themeColor="background1" w:themeShade="A6"/>
          <w:sz w:val="18"/>
          <w:szCs w:val="18"/>
        </w:rPr>
        <w:t>: Grey italic font: Limit was not calculated</w:t>
      </w:r>
    </w:p>
    <w:p w14:paraId="76C51274" w14:textId="1DE59F44" w:rsidR="00972D4C" w:rsidRPr="0069447F" w:rsidRDefault="00972D4C" w:rsidP="00972D4C">
      <w:pPr>
        <w:pStyle w:val="Figure"/>
      </w:pPr>
      <w:bookmarkStart w:id="107" w:name="_Ref506984177"/>
      <w:bookmarkStart w:id="108" w:name="_Ref506897478"/>
      <w:bookmarkStart w:id="109" w:name="_Toc506966649"/>
      <w:bookmarkStart w:id="110" w:name="_Toc48251343"/>
      <w:r w:rsidRPr="0069447F">
        <w:t xml:space="preserve">Figure </w:t>
      </w:r>
      <w:r w:rsidR="00D517E4">
        <w:fldChar w:fldCharType="begin"/>
      </w:r>
      <w:r w:rsidR="00D517E4">
        <w:instrText xml:space="preserve"> SEQ Figure \* ARABIC </w:instrText>
      </w:r>
      <w:r w:rsidR="00D517E4">
        <w:fldChar w:fldCharType="separate"/>
      </w:r>
      <w:r w:rsidR="00F94268">
        <w:rPr>
          <w:noProof/>
        </w:rPr>
        <w:t>24</w:t>
      </w:r>
      <w:r w:rsidR="00D517E4">
        <w:rPr>
          <w:noProof/>
        </w:rPr>
        <w:fldChar w:fldCharType="end"/>
      </w:r>
      <w:bookmarkEnd w:id="107"/>
      <w:r w:rsidRPr="0069447F">
        <w:t>: Transmission System Base Case Emergency Transfer Limits</w:t>
      </w:r>
      <w:bookmarkEnd w:id="108"/>
      <w:bookmarkEnd w:id="109"/>
      <w:bookmarkEnd w:id="110"/>
    </w:p>
    <w:p w14:paraId="0161D81E" w14:textId="77777777" w:rsidR="00972D4C" w:rsidRDefault="00972D4C" w:rsidP="00972D4C">
      <w:pPr>
        <w:pStyle w:val="Figure"/>
        <w:jc w:val="center"/>
      </w:pPr>
      <w:r w:rsidRPr="00994536">
        <w:rPr>
          <w:noProof/>
        </w:rPr>
        <w:drawing>
          <wp:inline distT="0" distB="0" distL="0" distR="0" wp14:anchorId="333A43CA" wp14:editId="5D4776AC">
            <wp:extent cx="6248400" cy="1643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462" r="49755" b="49172"/>
                    <a:stretch/>
                  </pic:blipFill>
                  <pic:spPr bwMode="auto">
                    <a:xfrm>
                      <a:off x="0" y="0"/>
                      <a:ext cx="6266133" cy="1648199"/>
                    </a:xfrm>
                    <a:prstGeom prst="rect">
                      <a:avLst/>
                    </a:prstGeom>
                    <a:noFill/>
                    <a:ln>
                      <a:noFill/>
                    </a:ln>
                    <a:extLst>
                      <a:ext uri="{53640926-AAD7-44D8-BBD7-CCE9431645EC}">
                        <a14:shadowObscured xmlns:a14="http://schemas.microsoft.com/office/drawing/2010/main"/>
                      </a:ext>
                    </a:extLst>
                  </pic:spPr>
                </pic:pic>
              </a:graphicData>
            </a:graphic>
          </wp:inline>
        </w:drawing>
      </w:r>
    </w:p>
    <w:p w14:paraId="21ACA0A3" w14:textId="77777777" w:rsidR="00972D4C" w:rsidRPr="00582653" w:rsidRDefault="00972D4C" w:rsidP="00972D4C">
      <w:pPr>
        <w:pStyle w:val="caption10"/>
        <w:spacing w:after="0"/>
        <w:rPr>
          <w:sz w:val="18"/>
          <w:szCs w:val="18"/>
        </w:rPr>
      </w:pPr>
      <w:r w:rsidRPr="00582653">
        <w:rPr>
          <w:sz w:val="18"/>
          <w:szCs w:val="18"/>
        </w:rPr>
        <w:t>Notes:</w:t>
      </w:r>
    </w:p>
    <w:p w14:paraId="769B475B" w14:textId="77777777" w:rsidR="00972D4C" w:rsidRPr="00582653" w:rsidRDefault="00972D4C" w:rsidP="00972D4C">
      <w:pPr>
        <w:pStyle w:val="caption10"/>
        <w:spacing w:after="240"/>
        <w:rPr>
          <w:sz w:val="18"/>
          <w:szCs w:val="18"/>
        </w:rPr>
      </w:pPr>
      <w:r w:rsidRPr="00582653">
        <w:rPr>
          <w:sz w:val="18"/>
          <w:szCs w:val="18"/>
        </w:rPr>
        <w:t>T - The</w:t>
      </w:r>
      <w:r>
        <w:rPr>
          <w:sz w:val="18"/>
          <w:szCs w:val="18"/>
        </w:rPr>
        <w:t>rmal, V - Voltage, C – Combined</w:t>
      </w:r>
    </w:p>
    <w:p w14:paraId="3E0D77F7" w14:textId="77B26311" w:rsidR="00972D4C" w:rsidRDefault="00972D4C" w:rsidP="00972D4C">
      <w:pPr>
        <w:pStyle w:val="BodyText"/>
      </w:pPr>
      <w:bookmarkStart w:id="111" w:name="_Ref506897800"/>
      <w:r>
        <w:t xml:space="preserve">There are large increases in transfer capability modeled starting in year 2024 in the 2020 RNA. The increases reflect the impact of including the AC Transmission Public Policy projects. Comparing limits in year 2023 to year 2024 increases </w:t>
      </w:r>
      <w:r w:rsidR="00635767">
        <w:t xml:space="preserve">are represented </w:t>
      </w:r>
      <w:r>
        <w:t xml:space="preserve">to the thermal limits of 550 MW for the E to G interface, 1,925 MW for the F to G interface, and 1,900 MW for the UPNY-SENY MARS interface. There are also </w:t>
      </w:r>
      <w:r>
        <w:lastRenderedPageBreak/>
        <w:t>increases to the voltage limits of 825 MW for the Central East MARS interface, 650 MW for the Central East Group interface, and 375 MW for the UPNY-Con Ed interface.</w:t>
      </w:r>
    </w:p>
    <w:p w14:paraId="25C01161" w14:textId="77777777" w:rsidR="00972D4C" w:rsidRDefault="00972D4C" w:rsidP="00972D4C">
      <w:pPr>
        <w:pStyle w:val="BodyText"/>
      </w:pPr>
      <w:r>
        <w:t>A decrease in the thermal transfer limit for Dysinger East of 100 MW was modeled in the 2020 RNA. The primary cause for the change was the retirement of the Somerset generation unit in Zone A.</w:t>
      </w:r>
    </w:p>
    <w:p w14:paraId="54677720" w14:textId="07E3C02C" w:rsidR="00972D4C" w:rsidRDefault="00972D4C" w:rsidP="00972D4C">
      <w:pPr>
        <w:pStyle w:val="BodyText"/>
      </w:pPr>
      <w:r>
        <w:t>Comparing the transfer limits reported for year 2021 through 2023 to the previous RNA</w:t>
      </w:r>
      <w:r w:rsidR="00635767">
        <w:t>,</w:t>
      </w:r>
      <w:r>
        <w:t xml:space="preserve"> there is an increase of 750 MW on the UPNY-Con Ed voltage limit for the 2020 RNA. The primary cause for this increase is a change in the study assumption for the operation of the series reactors on the Dunwoodie – Mott Haven 345 kV cables (71, 72) and the Sprain Brook – W. 49</w:t>
      </w:r>
      <w:r w:rsidRPr="00B665E9">
        <w:rPr>
          <w:vertAlign w:val="superscript"/>
        </w:rPr>
        <w:t>th</w:t>
      </w:r>
      <w:r>
        <w:t xml:space="preserve"> Street cables (M51, M52). For the 2020 RNA</w:t>
      </w:r>
      <w:r w:rsidR="00635767">
        <w:t>,</w:t>
      </w:r>
      <w:r>
        <w:t xml:space="preserve"> these series reactors were modeled as bypassed. This study assumption also resulted in a decrease of 50 MW in the I to J interface thermal limit.</w:t>
      </w:r>
    </w:p>
    <w:p w14:paraId="2051EC01" w14:textId="3A8F7A01" w:rsidR="00972D4C" w:rsidRDefault="00972D4C" w:rsidP="00972D4C">
      <w:pPr>
        <w:pStyle w:val="BodyText"/>
      </w:pPr>
      <w:r>
        <w:t>The E to G interface thermal limit was modeled using a dynamic limit table in the 2020 RNA MARS topology. The interface limit ranged from 1750 MW to a maximum of 2250 MW based on the availability of the CPV Valley generation units. Starting in year 2024 the dynamic limit table was replaced with a single interface limit of 2300 MW. The increase in the limit is the result of transmission facility upgrades included in the AC Transmission Public Policy projects. Similarly, the UPNY-SENY MARS interface was modeled using a dynamic limit table ranging from 5100 MW to a maximum of 5350 MW. With the large increase in transfer capability when including the AC Transmission projects in  2024</w:t>
      </w:r>
      <w:r w:rsidR="00635767">
        <w:t>,</w:t>
      </w:r>
      <w:r>
        <w:t xml:space="preserve"> the model was simplified by using a single limit of 7150 MW, and does not constrain the flow of power in the GE-MARS simulation.</w:t>
      </w:r>
    </w:p>
    <w:p w14:paraId="01D7B2FE" w14:textId="71B9F610" w:rsidR="00972D4C" w:rsidRDefault="00972D4C" w:rsidP="00972D4C">
      <w:pPr>
        <w:pStyle w:val="BodyText"/>
      </w:pPr>
      <w:r>
        <w:t xml:space="preserve">The topology used in the GE-MARS model for the 2020 RNA Base Case is represented in </w:t>
      </w:r>
      <w:r>
        <w:fldChar w:fldCharType="begin"/>
      </w:r>
      <w:r>
        <w:instrText xml:space="preserve"> REF _Ref47079403 \h </w:instrText>
      </w:r>
      <w:r>
        <w:fldChar w:fldCharType="separate"/>
      </w:r>
      <w:r w:rsidR="00E8147A" w:rsidRPr="002A031A">
        <w:t xml:space="preserve">Figure </w:t>
      </w:r>
      <w:r w:rsidR="00E8147A">
        <w:rPr>
          <w:noProof/>
        </w:rPr>
        <w:t>25</w:t>
      </w:r>
      <w:r>
        <w:fldChar w:fldCharType="end"/>
      </w:r>
      <w:r>
        <w:t xml:space="preserve">. </w:t>
      </w:r>
    </w:p>
    <w:p w14:paraId="4AFA5878" w14:textId="77777777" w:rsidR="00972D4C" w:rsidRPr="00243349" w:rsidRDefault="00972D4C" w:rsidP="00972D4C">
      <w:pPr>
        <w:rPr>
          <w:color w:val="FF0000"/>
        </w:rPr>
        <w:sectPr w:rsidR="00972D4C" w:rsidRPr="00243349" w:rsidSect="00857B02">
          <w:pgSz w:w="12240" w:h="15840" w:code="1"/>
          <w:pgMar w:top="1440" w:right="1080" w:bottom="1440" w:left="1080" w:header="720" w:footer="58" w:gutter="0"/>
          <w:cols w:space="720"/>
          <w:docGrid w:linePitch="360"/>
        </w:sectPr>
      </w:pPr>
      <w:r w:rsidRPr="00243349">
        <w:rPr>
          <w:color w:val="FF0000"/>
        </w:rPr>
        <w:br w:type="page"/>
      </w:r>
    </w:p>
    <w:p w14:paraId="0120D528" w14:textId="16A08649" w:rsidR="00972D4C" w:rsidRDefault="00972D4C" w:rsidP="00972D4C">
      <w:pPr>
        <w:pStyle w:val="Figure"/>
        <w:keepNext/>
        <w:keepLines/>
      </w:pPr>
      <w:bookmarkStart w:id="112" w:name="_Ref47079403"/>
      <w:bookmarkStart w:id="113" w:name="_Toc48251344"/>
      <w:bookmarkStart w:id="114" w:name="_Ref47079397"/>
      <w:bookmarkEnd w:id="111"/>
      <w:r w:rsidRPr="002A031A">
        <w:lastRenderedPageBreak/>
        <w:t xml:space="preserve">Figure </w:t>
      </w:r>
      <w:r w:rsidR="00D517E4">
        <w:fldChar w:fldCharType="begin"/>
      </w:r>
      <w:r w:rsidR="00D517E4">
        <w:instrText xml:space="preserve"> SEQ Figure \* ARABIC </w:instrText>
      </w:r>
      <w:r w:rsidR="00D517E4">
        <w:fldChar w:fldCharType="separate"/>
      </w:r>
      <w:r w:rsidR="00F94268">
        <w:rPr>
          <w:noProof/>
        </w:rPr>
        <w:t>25</w:t>
      </w:r>
      <w:r w:rsidR="00D517E4">
        <w:rPr>
          <w:noProof/>
        </w:rPr>
        <w:fldChar w:fldCharType="end"/>
      </w:r>
      <w:bookmarkEnd w:id="112"/>
      <w:r w:rsidRPr="002A031A">
        <w:t>: 2020 RNA Topology Year 4 -10 (2024 -2030)</w:t>
      </w:r>
      <w:bookmarkEnd w:id="113"/>
    </w:p>
    <w:p w14:paraId="639E16AD" w14:textId="77777777" w:rsidR="00972D4C" w:rsidRDefault="00972D4C" w:rsidP="00972D4C">
      <w:pPr>
        <w:pStyle w:val="BodyText"/>
        <w:jc w:val="center"/>
      </w:pPr>
      <w:r w:rsidRPr="000C64BD">
        <w:rPr>
          <w:noProof/>
        </w:rPr>
        <w:drawing>
          <wp:inline distT="0" distB="0" distL="0" distR="0" wp14:anchorId="19A0799B" wp14:editId="3C65EFF9">
            <wp:extent cx="7909560" cy="56863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t="100" r="49565" b="49083"/>
                    <a:stretch/>
                  </pic:blipFill>
                  <pic:spPr bwMode="auto">
                    <a:xfrm>
                      <a:off x="0" y="0"/>
                      <a:ext cx="7921340" cy="5694862"/>
                    </a:xfrm>
                    <a:prstGeom prst="rect">
                      <a:avLst/>
                    </a:prstGeom>
                    <a:noFill/>
                    <a:ln>
                      <a:noFill/>
                    </a:ln>
                    <a:extLst>
                      <a:ext uri="{53640926-AAD7-44D8-BBD7-CCE9431645EC}">
                        <a14:shadowObscured xmlns:a14="http://schemas.microsoft.com/office/drawing/2010/main"/>
                      </a:ext>
                    </a:extLst>
                  </pic:spPr>
                </pic:pic>
              </a:graphicData>
            </a:graphic>
          </wp:inline>
        </w:drawing>
      </w:r>
    </w:p>
    <w:p w14:paraId="42D8DF10" w14:textId="6267973F" w:rsidR="00972D4C" w:rsidRPr="00871C51" w:rsidRDefault="00972D4C" w:rsidP="00972D4C">
      <w:pPr>
        <w:pStyle w:val="BodyText"/>
      </w:pPr>
      <w:r w:rsidRPr="00871C51">
        <w:t>Additionally,</w:t>
      </w:r>
      <w:r w:rsidR="00635767">
        <w:t xml:space="preserve"> for information only,</w:t>
      </w:r>
      <w:r w:rsidRPr="00871C51">
        <w:t xml:space="preserve"> </w:t>
      </w:r>
      <w:r>
        <w:fldChar w:fldCharType="begin"/>
      </w:r>
      <w:r>
        <w:instrText xml:space="preserve"> REF _Ref47513299 \h </w:instrText>
      </w:r>
      <w:r>
        <w:fldChar w:fldCharType="separate"/>
      </w:r>
      <w:r w:rsidR="00E8147A" w:rsidRPr="00A409F0">
        <w:t xml:space="preserve">Figure </w:t>
      </w:r>
      <w:r w:rsidR="00E8147A">
        <w:rPr>
          <w:noProof/>
        </w:rPr>
        <w:t>26</w:t>
      </w:r>
      <w:r>
        <w:fldChar w:fldCharType="end"/>
      </w:r>
      <w:r>
        <w:t xml:space="preserve"> </w:t>
      </w:r>
      <w:r w:rsidRPr="00871C51">
        <w:t xml:space="preserve">and </w:t>
      </w:r>
      <w:r w:rsidRPr="00871C51">
        <w:fldChar w:fldCharType="begin"/>
      </w:r>
      <w:r w:rsidRPr="00871C51">
        <w:instrText xml:space="preserve"> REF _Ref47079399 \h  \* MERGEFORMAT </w:instrText>
      </w:r>
      <w:r w:rsidRPr="00871C51">
        <w:fldChar w:fldCharType="separate"/>
      </w:r>
      <w:r w:rsidR="00E8147A" w:rsidRPr="002A031A">
        <w:t xml:space="preserve">Figure </w:t>
      </w:r>
      <w:r w:rsidR="00E8147A">
        <w:t>27</w:t>
      </w:r>
      <w:r w:rsidRPr="00871C51">
        <w:fldChar w:fldCharType="end"/>
      </w:r>
      <w:r w:rsidRPr="00871C51">
        <w:t xml:space="preserve"> </w:t>
      </w:r>
      <w:r w:rsidR="00635767">
        <w:t>represent</w:t>
      </w:r>
      <w:r w:rsidRPr="00871C51">
        <w:t xml:space="preserve"> </w:t>
      </w:r>
      <w:r>
        <w:t xml:space="preserve">the </w:t>
      </w:r>
      <w:r w:rsidRPr="00871C51">
        <w:t xml:space="preserve">initial three years </w:t>
      </w:r>
      <w:r>
        <w:t>preceding the newly</w:t>
      </w:r>
      <w:r w:rsidR="00635767">
        <w:t>-</w:t>
      </w:r>
      <w:r>
        <w:t xml:space="preserve">defined RNA Study </w:t>
      </w:r>
      <w:r>
        <w:lastRenderedPageBreak/>
        <w:t>Period</w:t>
      </w:r>
      <w:r w:rsidRPr="00871C51">
        <w:t>.</w:t>
      </w:r>
    </w:p>
    <w:p w14:paraId="14F2438E" w14:textId="4B94E523" w:rsidR="00972D4C" w:rsidRPr="002A031A" w:rsidRDefault="00972D4C" w:rsidP="00972D4C">
      <w:pPr>
        <w:pStyle w:val="Figure"/>
        <w:keepNext/>
      </w:pPr>
      <w:bookmarkStart w:id="115" w:name="_Ref47513299"/>
      <w:bookmarkStart w:id="116" w:name="_Toc48251345"/>
      <w:r w:rsidRPr="00A409F0">
        <w:t xml:space="preserve">Figure </w:t>
      </w:r>
      <w:r w:rsidR="00D517E4">
        <w:fldChar w:fldCharType="begin"/>
      </w:r>
      <w:r w:rsidR="00D517E4">
        <w:instrText xml:space="preserve"> SEQ Figure \* ARABIC </w:instrText>
      </w:r>
      <w:r w:rsidR="00D517E4">
        <w:fldChar w:fldCharType="separate"/>
      </w:r>
      <w:r w:rsidR="00F94268">
        <w:rPr>
          <w:noProof/>
        </w:rPr>
        <w:t>26</w:t>
      </w:r>
      <w:r w:rsidR="00D517E4">
        <w:rPr>
          <w:noProof/>
        </w:rPr>
        <w:fldChar w:fldCharType="end"/>
      </w:r>
      <w:bookmarkEnd w:id="114"/>
      <w:bookmarkEnd w:id="115"/>
      <w:r w:rsidRPr="00A409F0">
        <w:t>: Topology Year 1 (2021</w:t>
      </w:r>
      <w:r w:rsidRPr="002A031A">
        <w:t>)</w:t>
      </w:r>
      <w:bookmarkEnd w:id="116"/>
      <w:r>
        <w:t xml:space="preserve"> </w:t>
      </w:r>
    </w:p>
    <w:p w14:paraId="2D1650CA" w14:textId="77777777" w:rsidR="00972D4C" w:rsidRDefault="00972D4C" w:rsidP="00972D4C">
      <w:pPr>
        <w:pStyle w:val="BodyText10"/>
        <w:jc w:val="center"/>
      </w:pPr>
      <w:bookmarkStart w:id="117" w:name="_Ref516580722"/>
      <w:r w:rsidRPr="00130ACD">
        <w:rPr>
          <w:noProof/>
        </w:rPr>
        <w:drawing>
          <wp:inline distT="0" distB="0" distL="0" distR="0" wp14:anchorId="2DB3F3EE" wp14:editId="6BA1CE72">
            <wp:extent cx="8076660" cy="527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r="49256" b="48635"/>
                    <a:stretch/>
                  </pic:blipFill>
                  <pic:spPr bwMode="auto">
                    <a:xfrm>
                      <a:off x="0" y="0"/>
                      <a:ext cx="8077580" cy="5273641"/>
                    </a:xfrm>
                    <a:prstGeom prst="rect">
                      <a:avLst/>
                    </a:prstGeom>
                    <a:noFill/>
                    <a:ln>
                      <a:noFill/>
                    </a:ln>
                    <a:extLst>
                      <a:ext uri="{53640926-AAD7-44D8-BBD7-CCE9431645EC}">
                        <a14:shadowObscured xmlns:a14="http://schemas.microsoft.com/office/drawing/2010/main"/>
                      </a:ext>
                    </a:extLst>
                  </pic:spPr>
                </pic:pic>
              </a:graphicData>
            </a:graphic>
          </wp:inline>
        </w:drawing>
      </w:r>
    </w:p>
    <w:p w14:paraId="4C2623AF" w14:textId="77777777" w:rsidR="00972D4C" w:rsidRDefault="00972D4C" w:rsidP="00972D4C">
      <w:pPr>
        <w:rPr>
          <w:rFonts w:ascii="Franklin Gothic Demi" w:eastAsia="Arial Narrow" w:hAnsi="Franklin Gothic Demi"/>
          <w:bCs/>
          <w:szCs w:val="20"/>
          <w:lang w:bidi="ar-SA"/>
        </w:rPr>
      </w:pPr>
      <w:r>
        <w:br w:type="page"/>
      </w:r>
    </w:p>
    <w:p w14:paraId="6E33C34B" w14:textId="4DC7AD41" w:rsidR="00972D4C" w:rsidRDefault="00972D4C" w:rsidP="00972D4C">
      <w:pPr>
        <w:pStyle w:val="Figure"/>
        <w:keepNext/>
      </w:pPr>
      <w:bookmarkStart w:id="118" w:name="_Ref47079399"/>
      <w:bookmarkStart w:id="119" w:name="_Toc48251346"/>
      <w:r w:rsidRPr="002A031A">
        <w:lastRenderedPageBreak/>
        <w:t xml:space="preserve">Figure </w:t>
      </w:r>
      <w:r w:rsidR="00D517E4">
        <w:fldChar w:fldCharType="begin"/>
      </w:r>
      <w:r w:rsidR="00D517E4">
        <w:instrText xml:space="preserve"> SEQ Figure \* ARABIC </w:instrText>
      </w:r>
      <w:r w:rsidR="00D517E4">
        <w:fldChar w:fldCharType="separate"/>
      </w:r>
      <w:r w:rsidR="00F94268">
        <w:rPr>
          <w:noProof/>
        </w:rPr>
        <w:t>27</w:t>
      </w:r>
      <w:r w:rsidR="00D517E4">
        <w:rPr>
          <w:noProof/>
        </w:rPr>
        <w:fldChar w:fldCharType="end"/>
      </w:r>
      <w:bookmarkEnd w:id="118"/>
      <w:r w:rsidRPr="002A031A">
        <w:t xml:space="preserve">: Topology Year </w:t>
      </w:r>
      <w:r>
        <w:t xml:space="preserve">2- 3 </w:t>
      </w:r>
      <w:r w:rsidRPr="002A031A">
        <w:t>(202</w:t>
      </w:r>
      <w:r>
        <w:t>2- 2023</w:t>
      </w:r>
      <w:r w:rsidRPr="002A031A">
        <w:t>)</w:t>
      </w:r>
      <w:bookmarkEnd w:id="119"/>
    </w:p>
    <w:p w14:paraId="52D80277" w14:textId="77777777" w:rsidR="00972D4C" w:rsidRDefault="00972D4C" w:rsidP="00972D4C">
      <w:pPr>
        <w:pStyle w:val="BodyText"/>
        <w:jc w:val="center"/>
      </w:pPr>
      <w:r w:rsidRPr="00130ACD">
        <w:rPr>
          <w:noProof/>
        </w:rPr>
        <w:drawing>
          <wp:inline distT="0" distB="0" distL="0" distR="0" wp14:anchorId="3979D537" wp14:editId="11F564BE">
            <wp:extent cx="8321040" cy="58852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130" r="49072" b="49545"/>
                    <a:stretch/>
                  </pic:blipFill>
                  <pic:spPr bwMode="auto">
                    <a:xfrm>
                      <a:off x="0" y="0"/>
                      <a:ext cx="8326649" cy="5889212"/>
                    </a:xfrm>
                    <a:prstGeom prst="rect">
                      <a:avLst/>
                    </a:prstGeom>
                    <a:noFill/>
                    <a:ln>
                      <a:noFill/>
                    </a:ln>
                    <a:extLst>
                      <a:ext uri="{53640926-AAD7-44D8-BBD7-CCE9431645EC}">
                        <a14:shadowObscured xmlns:a14="http://schemas.microsoft.com/office/drawing/2010/main"/>
                      </a:ext>
                    </a:extLst>
                  </pic:spPr>
                </pic:pic>
              </a:graphicData>
            </a:graphic>
          </wp:inline>
        </w:drawing>
      </w:r>
    </w:p>
    <w:bookmarkEnd w:id="117"/>
    <w:p w14:paraId="43E37090" w14:textId="77777777" w:rsidR="00972D4C" w:rsidRPr="006D1557" w:rsidRDefault="00972D4C" w:rsidP="00972D4C">
      <w:pPr>
        <w:pStyle w:val="Figure"/>
        <w:rPr>
          <w:color w:val="FF0000"/>
        </w:rPr>
        <w:sectPr w:rsidR="00972D4C" w:rsidRPr="006D1557" w:rsidSect="00B936B7">
          <w:pgSz w:w="15840" w:h="12240" w:orient="landscape" w:code="1"/>
          <w:pgMar w:top="1080" w:right="1440" w:bottom="1080" w:left="1440" w:header="720" w:footer="58" w:gutter="0"/>
          <w:cols w:space="720"/>
          <w:docGrid w:linePitch="360"/>
        </w:sectPr>
      </w:pPr>
    </w:p>
    <w:p w14:paraId="767B9263" w14:textId="77777777" w:rsidR="0043166F" w:rsidRDefault="0043166F" w:rsidP="00972D4C">
      <w:pPr>
        <w:pStyle w:val="Heading4"/>
      </w:pPr>
    </w:p>
    <w:p w14:paraId="07621C48" w14:textId="04316851" w:rsidR="00972D4C" w:rsidRDefault="00972D4C" w:rsidP="00972D4C">
      <w:pPr>
        <w:pStyle w:val="Heading4"/>
      </w:pPr>
      <w:r>
        <w:t>Resource Adequacy Base Case Results</w:t>
      </w:r>
    </w:p>
    <w:p w14:paraId="59E3B312" w14:textId="363EDCB8" w:rsidR="00972D4C" w:rsidRPr="000127EE" w:rsidRDefault="00972D4C" w:rsidP="00972D4C">
      <w:pPr>
        <w:pStyle w:val="BodyText"/>
      </w:pPr>
      <w:r w:rsidRPr="000127EE">
        <w:t>The results of the 2020 RNA Base Case resource adequacy studies show that</w:t>
      </w:r>
      <w:r>
        <w:t xml:space="preserve"> the LOLE for the NYCA is at or above </w:t>
      </w:r>
      <w:r w:rsidRPr="000127EE">
        <w:t>the criterion of 0.</w:t>
      </w:r>
      <w:r>
        <w:t>1 days/year, starting 2026</w:t>
      </w:r>
      <w:r w:rsidRPr="000127EE">
        <w:t xml:space="preserve">. The NYCA LOLE results are presented </w:t>
      </w:r>
      <w:r w:rsidRPr="00871C51">
        <w:t xml:space="preserve">in </w:t>
      </w:r>
      <w:r w:rsidRPr="00871C51">
        <w:fldChar w:fldCharType="begin"/>
      </w:r>
      <w:r w:rsidRPr="00871C51">
        <w:instrText xml:space="preserve"> REF _Ref516498182 \h  \* MERGEFORMAT </w:instrText>
      </w:r>
      <w:r w:rsidRPr="00871C51">
        <w:fldChar w:fldCharType="separate"/>
      </w:r>
      <w:r w:rsidR="00E8147A" w:rsidRPr="000127EE">
        <w:t xml:space="preserve">Figure </w:t>
      </w:r>
      <w:r w:rsidR="00E8147A">
        <w:t>28</w:t>
      </w:r>
      <w:r w:rsidRPr="00871C51">
        <w:fldChar w:fldCharType="end"/>
      </w:r>
      <w:r w:rsidRPr="00871C51">
        <w:t xml:space="preserve"> below</w:t>
      </w:r>
      <w:r w:rsidRPr="000127EE">
        <w:t>.</w:t>
      </w:r>
    </w:p>
    <w:p w14:paraId="0F59AD3B" w14:textId="14EC4187" w:rsidR="00972D4C" w:rsidRPr="000127EE" w:rsidRDefault="00972D4C" w:rsidP="00972D4C">
      <w:pPr>
        <w:pStyle w:val="Figure"/>
        <w:keepNext/>
      </w:pPr>
      <w:bookmarkStart w:id="120" w:name="_Ref516498182"/>
      <w:bookmarkStart w:id="121" w:name="_Ref506897915"/>
      <w:bookmarkStart w:id="122" w:name="_Toc506966650"/>
      <w:bookmarkStart w:id="123" w:name="_Toc48251347"/>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28</w:t>
      </w:r>
      <w:r w:rsidRPr="000127EE">
        <w:rPr>
          <w:noProof/>
        </w:rPr>
        <w:fldChar w:fldCharType="end"/>
      </w:r>
      <w:bookmarkEnd w:id="120"/>
      <w:r w:rsidRPr="000127EE">
        <w:t>: NY</w:t>
      </w:r>
      <w:r>
        <w:t xml:space="preserve">CA Resource Adequacy </w:t>
      </w:r>
      <w:bookmarkEnd w:id="121"/>
      <w:bookmarkEnd w:id="122"/>
      <w:r>
        <w:t>Results</w:t>
      </w:r>
      <w:bookmarkEnd w:id="123"/>
      <w:r w:rsidRPr="000127EE">
        <w:t xml:space="preserve"> </w:t>
      </w:r>
    </w:p>
    <w:p w14:paraId="7E57754A" w14:textId="77777777" w:rsidR="00972D4C" w:rsidRDefault="00972D4C" w:rsidP="00972D4C">
      <w:pPr>
        <w:pStyle w:val="BodyText"/>
        <w:spacing w:after="0" w:line="240" w:lineRule="auto"/>
        <w:jc w:val="center"/>
      </w:pPr>
      <w:r w:rsidRPr="00F82857">
        <w:rPr>
          <w:noProof/>
        </w:rPr>
        <w:drawing>
          <wp:inline distT="0" distB="0" distL="0" distR="0" wp14:anchorId="0E2684A0" wp14:editId="76BA990E">
            <wp:extent cx="3512820" cy="24688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2820" cy="2468880"/>
                    </a:xfrm>
                    <a:prstGeom prst="rect">
                      <a:avLst/>
                    </a:prstGeom>
                    <a:noFill/>
                    <a:ln>
                      <a:noFill/>
                    </a:ln>
                  </pic:spPr>
                </pic:pic>
              </a:graphicData>
            </a:graphic>
          </wp:inline>
        </w:drawing>
      </w:r>
    </w:p>
    <w:p w14:paraId="7C3B954F" w14:textId="23BC4892" w:rsidR="00972D4C" w:rsidRPr="00922C50" w:rsidRDefault="00972D4C" w:rsidP="00972D4C">
      <w:pPr>
        <w:pStyle w:val="caption10"/>
        <w:ind w:left="2160"/>
        <w:rPr>
          <w:sz w:val="18"/>
          <w:szCs w:val="18"/>
        </w:rPr>
      </w:pPr>
      <w:r w:rsidRPr="00922C50">
        <w:rPr>
          <w:b/>
          <w:sz w:val="18"/>
          <w:szCs w:val="18"/>
        </w:rPr>
        <w:t>Note</w:t>
      </w:r>
      <w:r w:rsidRPr="00922C50">
        <w:rPr>
          <w:sz w:val="18"/>
          <w:szCs w:val="18"/>
        </w:rPr>
        <w:t xml:space="preserve">: NYCA load values represent baseline coincident summer peak demand. Zones J and K load </w:t>
      </w:r>
      <w:r>
        <w:rPr>
          <w:sz w:val="18"/>
          <w:szCs w:val="18"/>
        </w:rPr>
        <w:t xml:space="preserve">    </w:t>
      </w:r>
      <w:r w:rsidRPr="00922C50">
        <w:rPr>
          <w:sz w:val="18"/>
          <w:szCs w:val="18"/>
        </w:rPr>
        <w:t xml:space="preserve">values represent non-coincident summer peak demand. Aggregate Zones G-J values represent </w:t>
      </w:r>
      <w:r w:rsidR="00635767">
        <w:rPr>
          <w:sz w:val="18"/>
          <w:szCs w:val="18"/>
        </w:rPr>
        <w:t xml:space="preserve">the </w:t>
      </w:r>
      <w:r w:rsidRPr="00922C50">
        <w:rPr>
          <w:sz w:val="18"/>
          <w:szCs w:val="18"/>
        </w:rPr>
        <w:t xml:space="preserve">G-J peak </w:t>
      </w:r>
      <w:r w:rsidR="00635767">
        <w:rPr>
          <w:sz w:val="18"/>
          <w:szCs w:val="18"/>
        </w:rPr>
        <w:t>demand.</w:t>
      </w:r>
    </w:p>
    <w:p w14:paraId="14DBFA9A" w14:textId="77777777" w:rsidR="00972D4C" w:rsidRDefault="00972D4C" w:rsidP="00972D4C">
      <w:pPr>
        <w:pStyle w:val="caption10"/>
        <w:ind w:left="432"/>
      </w:pPr>
    </w:p>
    <w:p w14:paraId="5629A602" w14:textId="7580DE64" w:rsidR="00972D4C" w:rsidRDefault="00972D4C" w:rsidP="00972D4C">
      <w:pPr>
        <w:pStyle w:val="BodyText"/>
      </w:pPr>
      <w:r w:rsidRPr="00CE3D39">
        <w:t xml:space="preserve">The LOLE is at or above NYSRC’s and NPCC’s criterion of </w:t>
      </w:r>
      <w:r>
        <w:t>one</w:t>
      </w:r>
      <w:r w:rsidRPr="00CE3D39">
        <w:t xml:space="preserve"> day in 10 years, or 0.1 days per year, starting year 6 (2026) of the RNA Study Period</w:t>
      </w:r>
      <w:r>
        <w:t>, and increas</w:t>
      </w:r>
      <w:r w:rsidR="00635767">
        <w:t>es</w:t>
      </w:r>
      <w:r>
        <w:t xml:space="preserve"> through year 10 (2030). T</w:t>
      </w:r>
      <w:r w:rsidRPr="00192DD6">
        <w:t>herefore, the NYISO identifies resource adequacy Reliability Needs</w:t>
      </w:r>
      <w:r>
        <w:t xml:space="preserve"> starting 2027 (with 2026 being at the 0.10 days/year criterion)</w:t>
      </w:r>
      <w:r w:rsidRPr="00CE3D39">
        <w:t>.</w:t>
      </w:r>
    </w:p>
    <w:p w14:paraId="16D2802F" w14:textId="2BABCE40" w:rsidR="00972D4C" w:rsidRDefault="00972D4C" w:rsidP="00972D4C">
      <w:pPr>
        <w:pStyle w:val="BodyText"/>
      </w:pPr>
      <w:r>
        <w:t>The deficiencies identified in this 2020 RNA are driven by the compound effect of increasing load forecast (</w:t>
      </w:r>
      <w:r w:rsidRPr="00922C50">
        <w:rPr>
          <w:i/>
        </w:rPr>
        <w:t>e.g.,</w:t>
      </w:r>
      <w:r>
        <w:t xml:space="preserve"> +495 MW in 2030) and loss of generation in Zone J (</w:t>
      </w:r>
      <w:r w:rsidRPr="00922C50">
        <w:rPr>
          <w:i/>
        </w:rPr>
        <w:t>e.g</w:t>
      </w:r>
      <w:r>
        <w:t xml:space="preserve">., –1372 MW in 2030) </w:t>
      </w:r>
      <w:r w:rsidRPr="00C94712">
        <w:t xml:space="preserve">see </w:t>
      </w:r>
      <w:r w:rsidRPr="00C94712">
        <w:fldChar w:fldCharType="begin"/>
      </w:r>
      <w:r w:rsidRPr="00C94712">
        <w:instrText xml:space="preserve"> REF _Ref47365335 \h </w:instrText>
      </w:r>
      <w:r>
        <w:instrText xml:space="preserve"> \* MERGEFORMAT </w:instrText>
      </w:r>
      <w:r w:rsidRPr="00C94712">
        <w:fldChar w:fldCharType="separate"/>
      </w:r>
      <w:r w:rsidR="00E8147A" w:rsidRPr="00E8147A">
        <w:t>Figure 29</w:t>
      </w:r>
      <w:r w:rsidRPr="00C94712">
        <w:fldChar w:fldCharType="end"/>
      </w:r>
      <w:r>
        <w:t xml:space="preserve"> </w:t>
      </w:r>
      <w:r>
        <w:fldChar w:fldCharType="begin"/>
      </w:r>
      <w:r>
        <w:instrText xml:space="preserve"> REF _Ref47365365 \p \h </w:instrText>
      </w:r>
      <w:r>
        <w:fldChar w:fldCharType="separate"/>
      </w:r>
      <w:r w:rsidR="00E8147A">
        <w:t>below</w:t>
      </w:r>
      <w:r>
        <w:fldChar w:fldCharType="end"/>
      </w:r>
      <w:r w:rsidR="00635767">
        <w:t>. C</w:t>
      </w:r>
      <w:r w:rsidRPr="00325E3D">
        <w:t>ompared to the 2019</w:t>
      </w:r>
      <w:r>
        <w:t xml:space="preserve"> - 2028</w:t>
      </w:r>
      <w:r w:rsidRPr="00325E3D">
        <w:t xml:space="preserve"> CRP, the system has less overall net resources</w:t>
      </w:r>
      <w:r>
        <w:t xml:space="preserve">.  The 2020 RNA Base Cases models reflect the application of the </w:t>
      </w:r>
      <w:r w:rsidR="00AE527C">
        <w:t xml:space="preserve">generator compliance plans for the </w:t>
      </w:r>
      <w:r>
        <w:t xml:space="preserve">DEC’s </w:t>
      </w:r>
      <w:r w:rsidR="00635767">
        <w:t>P</w:t>
      </w:r>
      <w:r>
        <w:t xml:space="preserve">eaker </w:t>
      </w:r>
      <w:r w:rsidR="00635767">
        <w:t>R</w:t>
      </w:r>
      <w:r>
        <w:t xml:space="preserve">ule </w:t>
      </w:r>
      <w:r w:rsidR="00635767">
        <w:t xml:space="preserve">to </w:t>
      </w:r>
      <w:r w:rsidR="00195698">
        <w:t xml:space="preserve">affected </w:t>
      </w:r>
      <w:r>
        <w:t>plants in New York City</w:t>
      </w:r>
      <w:r w:rsidR="00195698">
        <w:t xml:space="preserve"> (Zone J</w:t>
      </w:r>
      <w:r>
        <w:t>), Long Island</w:t>
      </w:r>
      <w:r w:rsidR="00195698">
        <w:t xml:space="preserve"> (Zone K</w:t>
      </w:r>
      <w:r>
        <w:t xml:space="preserve">), and </w:t>
      </w:r>
      <w:r w:rsidR="00195698">
        <w:t>Hudson Valley (</w:t>
      </w:r>
      <w:r>
        <w:t>Zone G</w:t>
      </w:r>
      <w:r w:rsidR="00195698">
        <w:t>)</w:t>
      </w:r>
      <w:r>
        <w:t xml:space="preserve">. In </w:t>
      </w:r>
      <w:r w:rsidRPr="00C94712">
        <w:fldChar w:fldCharType="begin"/>
      </w:r>
      <w:r w:rsidRPr="00C94712">
        <w:instrText xml:space="preserve"> REF _Ref47365335 \h </w:instrText>
      </w:r>
      <w:r>
        <w:instrText xml:space="preserve"> \* MERGEFORMAT </w:instrText>
      </w:r>
      <w:r w:rsidRPr="00C94712">
        <w:fldChar w:fldCharType="separate"/>
      </w:r>
      <w:r w:rsidR="00E8147A" w:rsidRPr="00E8147A">
        <w:t>Figure 29</w:t>
      </w:r>
      <w:r w:rsidRPr="00C94712">
        <w:fldChar w:fldCharType="end"/>
      </w:r>
      <w:r>
        <w:t xml:space="preserve"> </w:t>
      </w:r>
      <w:r>
        <w:fldChar w:fldCharType="begin"/>
      </w:r>
      <w:r>
        <w:instrText xml:space="preserve"> REF _Ref47365365 \p \h </w:instrText>
      </w:r>
      <w:r>
        <w:fldChar w:fldCharType="separate"/>
      </w:r>
      <w:r w:rsidR="00E8147A">
        <w:t>below</w:t>
      </w:r>
      <w:r>
        <w:fldChar w:fldCharType="end"/>
      </w:r>
      <w:r>
        <w:t xml:space="preserve">, </w:t>
      </w:r>
      <w:r w:rsidR="00690AB1">
        <w:t xml:space="preserve">the </w:t>
      </w:r>
      <w:r>
        <w:t>n</w:t>
      </w:r>
      <w:r w:rsidRPr="00325E3D">
        <w:t>egative net margin shows deterioration in the relative capability to serve load, when compa</w:t>
      </w:r>
      <w:r>
        <w:t>ring the</w:t>
      </w:r>
      <w:r w:rsidR="00690AB1">
        <w:t xml:space="preserve"> assumptions in the</w:t>
      </w:r>
      <w:r>
        <w:t xml:space="preserve"> two studies. </w:t>
      </w:r>
    </w:p>
    <w:p w14:paraId="248C3C4E" w14:textId="7B4C49C4" w:rsidR="00972D4C" w:rsidRDefault="00972D4C" w:rsidP="00972D4C">
      <w:pPr>
        <w:pStyle w:val="Figure"/>
        <w:keepNext/>
        <w:keepLines/>
        <w:rPr>
          <w:rStyle w:val="FigureChar"/>
        </w:rPr>
      </w:pPr>
      <w:bookmarkStart w:id="124" w:name="_Ref47365335"/>
      <w:bookmarkStart w:id="125" w:name="_Ref47365365"/>
      <w:bookmarkStart w:id="126" w:name="_Toc48251348"/>
      <w:r w:rsidRPr="00061668">
        <w:rPr>
          <w:rStyle w:val="FigureChar"/>
        </w:rPr>
        <w:lastRenderedPageBreak/>
        <w:t xml:space="preserve">Figure </w:t>
      </w:r>
      <w:r w:rsidRPr="00061668">
        <w:rPr>
          <w:rStyle w:val="FigureChar"/>
        </w:rPr>
        <w:fldChar w:fldCharType="begin"/>
      </w:r>
      <w:r w:rsidRPr="00061668">
        <w:rPr>
          <w:rStyle w:val="FigureChar"/>
        </w:rPr>
        <w:instrText xml:space="preserve"> SEQ Figure \* ARABIC </w:instrText>
      </w:r>
      <w:r w:rsidRPr="00061668">
        <w:rPr>
          <w:rStyle w:val="FigureChar"/>
        </w:rPr>
        <w:fldChar w:fldCharType="separate"/>
      </w:r>
      <w:r w:rsidR="00F94268">
        <w:rPr>
          <w:rStyle w:val="FigureChar"/>
          <w:noProof/>
        </w:rPr>
        <w:t>29</w:t>
      </w:r>
      <w:r w:rsidRPr="00061668">
        <w:rPr>
          <w:rStyle w:val="FigureChar"/>
        </w:rPr>
        <w:fldChar w:fldCharType="end"/>
      </w:r>
      <w:bookmarkEnd w:id="124"/>
      <w:r w:rsidRPr="00061668">
        <w:rPr>
          <w:rStyle w:val="FigureChar"/>
        </w:rPr>
        <w:t xml:space="preserve">: 2020 RNA Zone J Load and Capacity Comparison with the 2019 </w:t>
      </w:r>
      <w:r>
        <w:rPr>
          <w:rStyle w:val="FigureChar"/>
        </w:rPr>
        <w:t xml:space="preserve">– 2028 </w:t>
      </w:r>
      <w:r w:rsidRPr="00061668">
        <w:rPr>
          <w:rStyle w:val="FigureChar"/>
        </w:rPr>
        <w:t>CRP</w:t>
      </w:r>
      <w:bookmarkEnd w:id="125"/>
      <w:bookmarkEnd w:id="126"/>
    </w:p>
    <w:p w14:paraId="32F23CC7" w14:textId="77777777" w:rsidR="00972D4C" w:rsidRDefault="00972D4C" w:rsidP="00972D4C">
      <w:pPr>
        <w:pStyle w:val="BodyText"/>
        <w:ind w:firstLine="0"/>
        <w:jc w:val="center"/>
      </w:pPr>
      <w:r w:rsidRPr="007B0FBA">
        <w:rPr>
          <w:noProof/>
        </w:rPr>
        <w:drawing>
          <wp:inline distT="0" distB="0" distL="0" distR="0" wp14:anchorId="6F8EB15C" wp14:editId="5036F940">
            <wp:extent cx="5151120" cy="13792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0">
                      <a:extLst>
                        <a:ext uri="{28A0092B-C50C-407E-A947-70E740481C1C}">
                          <a14:useLocalDpi xmlns:a14="http://schemas.microsoft.com/office/drawing/2010/main" val="0"/>
                        </a:ext>
                      </a:extLst>
                    </a:blip>
                    <a:srcRect t="-871" r="49357" b="48397"/>
                    <a:stretch/>
                  </pic:blipFill>
                  <pic:spPr bwMode="auto">
                    <a:xfrm>
                      <a:off x="0" y="0"/>
                      <a:ext cx="5161202" cy="1381919"/>
                    </a:xfrm>
                    <a:prstGeom prst="rect">
                      <a:avLst/>
                    </a:prstGeom>
                    <a:noFill/>
                    <a:ln>
                      <a:noFill/>
                    </a:ln>
                    <a:extLst>
                      <a:ext uri="{53640926-AAD7-44D8-BBD7-CCE9431645EC}">
                        <a14:shadowObscured xmlns:a14="http://schemas.microsoft.com/office/drawing/2010/main"/>
                      </a:ext>
                    </a:extLst>
                  </pic:spPr>
                </pic:pic>
              </a:graphicData>
            </a:graphic>
          </wp:inline>
        </w:drawing>
      </w:r>
    </w:p>
    <w:p w14:paraId="121259DD" w14:textId="77777777" w:rsidR="00972D4C" w:rsidRPr="00E56623" w:rsidRDefault="00972D4C" w:rsidP="00972D4C">
      <w:pPr>
        <w:pStyle w:val="caption10"/>
        <w:ind w:left="1080"/>
        <w:rPr>
          <w:sz w:val="18"/>
          <w:szCs w:val="18"/>
        </w:rPr>
      </w:pPr>
      <w:r w:rsidRPr="00E56623">
        <w:rPr>
          <w:sz w:val="18"/>
          <w:szCs w:val="18"/>
        </w:rPr>
        <w:t>Notes:</w:t>
      </w:r>
    </w:p>
    <w:p w14:paraId="650E3645" w14:textId="77777777" w:rsidR="00972D4C" w:rsidRPr="00B47652" w:rsidRDefault="00972D4C" w:rsidP="00972D4C">
      <w:pPr>
        <w:pStyle w:val="caption10"/>
        <w:numPr>
          <w:ilvl w:val="0"/>
          <w:numId w:val="41"/>
        </w:numPr>
        <w:ind w:left="1800"/>
        <w:rPr>
          <w:sz w:val="18"/>
          <w:szCs w:val="18"/>
        </w:rPr>
      </w:pPr>
      <w:r w:rsidRPr="00B47652">
        <w:rPr>
          <w:sz w:val="18"/>
          <w:szCs w:val="18"/>
        </w:rPr>
        <w:t xml:space="preserve">Includes the reductions due to projected energy efficiency programs, building codes and standards, distribution energy resources and behind-the-meter solar photovoltaic power; it also reflects expected impacts (increases) from projected electric vehicle usage. </w:t>
      </w:r>
    </w:p>
    <w:p w14:paraId="6D44DDBD" w14:textId="6E2391C0" w:rsidR="00972D4C" w:rsidRPr="00B47652" w:rsidRDefault="00972D4C" w:rsidP="00972D4C">
      <w:pPr>
        <w:pStyle w:val="caption10"/>
        <w:numPr>
          <w:ilvl w:val="0"/>
          <w:numId w:val="41"/>
        </w:numPr>
        <w:ind w:left="1800"/>
        <w:rPr>
          <w:sz w:val="18"/>
          <w:szCs w:val="18"/>
        </w:rPr>
      </w:pPr>
      <w:r w:rsidRPr="00B47652">
        <w:rPr>
          <w:sz w:val="18"/>
          <w:szCs w:val="18"/>
        </w:rPr>
        <w:t>Does not includes the total SCRs, and UDRs from the Gold Book</w:t>
      </w:r>
    </w:p>
    <w:p w14:paraId="05FB925A" w14:textId="77777777" w:rsidR="00972D4C" w:rsidRDefault="00972D4C" w:rsidP="00972D4C">
      <w:pPr>
        <w:pStyle w:val="Heading4"/>
      </w:pPr>
      <w:r>
        <w:t>Resource Adequacy Compensatory MW</w:t>
      </w:r>
    </w:p>
    <w:p w14:paraId="1F2A2F62" w14:textId="7E6FF9B0" w:rsidR="00972D4C" w:rsidRDefault="00972D4C" w:rsidP="00972D4C">
      <w:pPr>
        <w:pStyle w:val="BodyText"/>
      </w:pPr>
      <w:r w:rsidRPr="0094081D">
        <w:t xml:space="preserve">Resource adequacy compensatory MW amounts are determined by adding generic “perfect capacity” resources to each </w:t>
      </w:r>
      <w:r w:rsidR="00D11CD0">
        <w:t>Z</w:t>
      </w:r>
      <w:r w:rsidRPr="0094081D">
        <w:t xml:space="preserve">one </w:t>
      </w:r>
      <w:r w:rsidR="00D11CD0">
        <w:t>individually</w:t>
      </w:r>
      <w:r w:rsidR="009F516D">
        <w:t>,</w:t>
      </w:r>
      <w:r w:rsidR="00D11CD0">
        <w:t xml:space="preserve"> </w:t>
      </w:r>
      <w:r>
        <w:t xml:space="preserve">or </w:t>
      </w:r>
      <w:r w:rsidR="00D11CD0">
        <w:t xml:space="preserve">in </w:t>
      </w:r>
      <w:r>
        <w:t xml:space="preserve">combinations of </w:t>
      </w:r>
      <w:r w:rsidR="00D11CD0">
        <w:t>Z</w:t>
      </w:r>
      <w:r>
        <w:t>ones</w:t>
      </w:r>
      <w:r w:rsidR="009F516D">
        <w:t>,</w:t>
      </w:r>
      <w:r>
        <w:t xml:space="preserve"> </w:t>
      </w:r>
      <w:r w:rsidRPr="0094081D">
        <w:t xml:space="preserve">to address the shortfall. </w:t>
      </w:r>
    </w:p>
    <w:p w14:paraId="30688E48" w14:textId="77777777" w:rsidR="00972D4C" w:rsidRDefault="00972D4C" w:rsidP="00972D4C">
      <w:pPr>
        <w:pStyle w:val="BodyText"/>
      </w:pPr>
      <w:r w:rsidRPr="00EC745D">
        <w:t xml:space="preserve"> “Perfect capacity” is capacity that is not derated (</w:t>
      </w:r>
      <w:r w:rsidRPr="00D7537E">
        <w:rPr>
          <w:i/>
        </w:rPr>
        <w:t>e.g.,</w:t>
      </w:r>
      <w:r w:rsidRPr="00EC745D">
        <w:t xml:space="preserve"> due to ambient temperature or unit unavailability), not subject to energy duration limitations, and not tested for transmission security or interface impacts.  Actual resources would need to be larger in order to achieve the same impact as perfect-capacity resources.</w:t>
      </w:r>
      <w:r>
        <w:t xml:space="preserve">  </w:t>
      </w:r>
    </w:p>
    <w:p w14:paraId="3627252B" w14:textId="41989EC1" w:rsidR="00972D4C" w:rsidRPr="00EC745D" w:rsidRDefault="00972D4C" w:rsidP="00972D4C">
      <w:pPr>
        <w:pStyle w:val="BodyText"/>
      </w:pPr>
      <w:r w:rsidRPr="00EC745D">
        <w:t>The compensatory MW additions are not intended to represent specific solutions, as the impact of specific solutions can depend on the type of the solution and its location on the grid</w:t>
      </w:r>
      <w:r w:rsidR="00411EF5">
        <w:t>.  Rather</w:t>
      </w:r>
      <w:r w:rsidR="00D11CD0">
        <w:t>, the compensatory MW levels provide</w:t>
      </w:r>
      <w:r>
        <w:t xml:space="preserve"> a generic order-of-magnitude measure to guide solutions.  </w:t>
      </w:r>
      <w:r w:rsidRPr="00EC745D">
        <w:t>Resource needs could potentially be met by combinations of solutions including generation, transmission, energy efficiency, and demand response measures</w:t>
      </w:r>
      <w:r>
        <w:t>.</w:t>
      </w:r>
    </w:p>
    <w:p w14:paraId="16C9A144" w14:textId="013DF571" w:rsidR="00972D4C" w:rsidRPr="001E3599" w:rsidRDefault="00972D4C" w:rsidP="00972D4C">
      <w:pPr>
        <w:pStyle w:val="Figure"/>
        <w:keepNext/>
        <w:keepLines/>
        <w:rPr>
          <w:bCs w:val="0"/>
          <w:sz w:val="22"/>
          <w:szCs w:val="22"/>
        </w:rPr>
      </w:pPr>
      <w:bookmarkStart w:id="127" w:name="_Ref47367021"/>
      <w:bookmarkStart w:id="128" w:name="_Ref47367014"/>
      <w:bookmarkStart w:id="129" w:name="_Toc48251349"/>
      <w:r w:rsidRPr="00061668">
        <w:rPr>
          <w:rStyle w:val="FigureChar"/>
        </w:rPr>
        <w:lastRenderedPageBreak/>
        <w:t xml:space="preserve">Figure </w:t>
      </w:r>
      <w:r w:rsidRPr="00061668">
        <w:rPr>
          <w:rStyle w:val="FigureChar"/>
        </w:rPr>
        <w:fldChar w:fldCharType="begin"/>
      </w:r>
      <w:r w:rsidRPr="00061668">
        <w:rPr>
          <w:rStyle w:val="FigureChar"/>
        </w:rPr>
        <w:instrText xml:space="preserve"> SEQ Figure \* ARABIC </w:instrText>
      </w:r>
      <w:r w:rsidRPr="00061668">
        <w:rPr>
          <w:rStyle w:val="FigureChar"/>
        </w:rPr>
        <w:fldChar w:fldCharType="separate"/>
      </w:r>
      <w:r w:rsidR="00F94268">
        <w:rPr>
          <w:rStyle w:val="FigureChar"/>
          <w:noProof/>
        </w:rPr>
        <w:t>30</w:t>
      </w:r>
      <w:r w:rsidRPr="00061668">
        <w:rPr>
          <w:rStyle w:val="FigureChar"/>
        </w:rPr>
        <w:fldChar w:fldCharType="end"/>
      </w:r>
      <w:bookmarkEnd w:id="127"/>
      <w:r>
        <w:rPr>
          <w:rStyle w:val="FigureChar"/>
        </w:rPr>
        <w:t>: Compensatory MW Additions for Resource Adequacy Violations</w:t>
      </w:r>
      <w:bookmarkEnd w:id="128"/>
      <w:bookmarkEnd w:id="129"/>
    </w:p>
    <w:p w14:paraId="503C5B7C" w14:textId="77777777" w:rsidR="00972D4C" w:rsidRDefault="00972D4C" w:rsidP="00972D4C">
      <w:pPr>
        <w:pStyle w:val="BodyText"/>
        <w:ind w:firstLine="0"/>
        <w:jc w:val="center"/>
      </w:pPr>
      <w:r w:rsidRPr="007238A1">
        <w:rPr>
          <w:noProof/>
        </w:rPr>
        <w:drawing>
          <wp:inline distT="0" distB="0" distL="0" distR="0" wp14:anchorId="6804FC91" wp14:editId="225A2B3B">
            <wp:extent cx="4533900" cy="21274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a:extLst>
                        <a:ext uri="{28A0092B-C50C-407E-A947-70E740481C1C}">
                          <a14:useLocalDpi xmlns:a14="http://schemas.microsoft.com/office/drawing/2010/main" val="0"/>
                        </a:ext>
                      </a:extLst>
                    </a:blip>
                    <a:srcRect l="-595" t="-1305" r="49007" b="48261"/>
                    <a:stretch/>
                  </pic:blipFill>
                  <pic:spPr bwMode="auto">
                    <a:xfrm>
                      <a:off x="0" y="0"/>
                      <a:ext cx="4550083" cy="2135039"/>
                    </a:xfrm>
                    <a:prstGeom prst="rect">
                      <a:avLst/>
                    </a:prstGeom>
                    <a:noFill/>
                    <a:ln>
                      <a:noFill/>
                    </a:ln>
                    <a:extLst>
                      <a:ext uri="{53640926-AAD7-44D8-BBD7-CCE9431645EC}">
                        <a14:shadowObscured xmlns:a14="http://schemas.microsoft.com/office/drawing/2010/main"/>
                      </a:ext>
                    </a:extLst>
                  </pic:spPr>
                </pic:pic>
              </a:graphicData>
            </a:graphic>
          </wp:inline>
        </w:drawing>
      </w:r>
    </w:p>
    <w:p w14:paraId="368E7D36" w14:textId="77777777" w:rsidR="00972D4C" w:rsidRDefault="00972D4C" w:rsidP="00972D4C">
      <w:pPr>
        <w:pStyle w:val="BodyText"/>
      </w:pPr>
      <w:r>
        <w:t>Observations:</w:t>
      </w:r>
    </w:p>
    <w:p w14:paraId="1366604E" w14:textId="3EB7F43A" w:rsidR="00972D4C" w:rsidRDefault="00972D4C" w:rsidP="00972D4C">
      <w:pPr>
        <w:pStyle w:val="BodyText"/>
        <w:numPr>
          <w:ilvl w:val="0"/>
          <w:numId w:val="47"/>
        </w:numPr>
      </w:pPr>
      <w:r>
        <w:t>Adequate compensatory MW must be located within, or injected into, Zone J because of transmission constraints into Zone J observed starting in 2029</w:t>
      </w:r>
      <w:r w:rsidR="00D11CD0">
        <w:t xml:space="preserve">.  This result is </w:t>
      </w:r>
      <w:r>
        <w:t xml:space="preserve">exemplified by the fact that no compensatory MW in any of the other NYCA </w:t>
      </w:r>
      <w:r w:rsidR="00D11CD0">
        <w:t>Z</w:t>
      </w:r>
      <w:r>
        <w:t xml:space="preserve">ones will help bring the LOLE back below 0.1 days/year.  </w:t>
      </w:r>
    </w:p>
    <w:p w14:paraId="59894216" w14:textId="77777777" w:rsidR="00972D4C" w:rsidRDefault="00972D4C" w:rsidP="00972D4C">
      <w:pPr>
        <w:pStyle w:val="BodyText"/>
        <w:numPr>
          <w:ilvl w:val="0"/>
          <w:numId w:val="47"/>
        </w:numPr>
      </w:pPr>
      <w:r>
        <w:t>Potential solutions to address the 350 compensatory MW resource adequacy deficiency in Zone J by 2030 (100 MW in 2027) could include a combination of additional transfer capability into Zone J and/or resources located within Zone J, and/or demand-side solutions.  However, solutions would also need to address the Zone J local</w:t>
      </w:r>
      <w:r>
        <w:rPr>
          <w:rStyle w:val="FootnoteReference"/>
        </w:rPr>
        <w:footnoteReference w:id="13"/>
      </w:r>
      <w:r>
        <w:t xml:space="preserve"> transmission load area deficiencies identified in the transmission security evaluations.</w:t>
      </w:r>
    </w:p>
    <w:p w14:paraId="01B93737" w14:textId="77777777" w:rsidR="00972D4C" w:rsidRDefault="00972D4C" w:rsidP="00972D4C">
      <w:pPr>
        <w:pStyle w:val="Heading4"/>
      </w:pPr>
      <w:r>
        <w:t xml:space="preserve">Topology Limits Variations </w:t>
      </w:r>
      <w:r w:rsidRPr="00A85DF8">
        <w:rPr>
          <w:i/>
        </w:rPr>
        <w:t>(e.g.</w:t>
      </w:r>
      <w:r>
        <w:t>, NYCA Free Flow) Simulations Results</w:t>
      </w:r>
    </w:p>
    <w:p w14:paraId="3987D7B4" w14:textId="77777777" w:rsidR="00972D4C" w:rsidRDefault="00972D4C" w:rsidP="00972D4C">
      <w:pPr>
        <w:pStyle w:val="BodyText"/>
      </w:pPr>
      <w:r>
        <w:t>To determine if transmission reinforcements would be beneficial, a “NYCA free flow” test was executed. A free flow simulation is one in which NYCA LOLEs are determined without considering any transmission transfer limitations within the NYCA system.  This provides an indication of whether any LOLE violations identified are purely resource related or if they are caused by limitations in the transmission system. </w:t>
      </w:r>
    </w:p>
    <w:p w14:paraId="2B6ADA01" w14:textId="770A40DF" w:rsidR="00972D4C" w:rsidRDefault="00D11CD0" w:rsidP="00972D4C">
      <w:pPr>
        <w:pStyle w:val="BodyText"/>
      </w:pPr>
      <w:r>
        <w:t>Following removal of</w:t>
      </w:r>
      <w:r w:rsidR="00972D4C">
        <w:t xml:space="preserve"> the NYCA internal limits</w:t>
      </w:r>
      <w:r>
        <w:t>,</w:t>
      </w:r>
      <w:r w:rsidR="00972D4C">
        <w:t xml:space="preserve"> the NYCA LOLE </w:t>
      </w:r>
      <w:r>
        <w:t>decreased to</w:t>
      </w:r>
      <w:r w:rsidR="00972D4C">
        <w:t xml:space="preserve"> well below </w:t>
      </w:r>
      <w:r>
        <w:t xml:space="preserve">the </w:t>
      </w:r>
      <w:r w:rsidR="00972D4C">
        <w:t xml:space="preserve">criterion throughout the Study Period, indicating that there is no statewide resource deficiency and </w:t>
      </w:r>
      <w:r>
        <w:t xml:space="preserve">that </w:t>
      </w:r>
      <w:r w:rsidR="00972D4C">
        <w:t>transmission reinforcement</w:t>
      </w:r>
      <w:r>
        <w:t xml:space="preserve"> that would inject resources </w:t>
      </w:r>
      <w:r w:rsidR="00972D4C">
        <w:t>into Zone J where the deficiency is</w:t>
      </w:r>
      <w:r>
        <w:t xml:space="preserve"> located,</w:t>
      </w:r>
      <w:r w:rsidR="00972D4C">
        <w:t xml:space="preserve"> is a </w:t>
      </w:r>
      <w:r w:rsidR="00972D4C">
        <w:lastRenderedPageBreak/>
        <w:t>potential option to resolve the identified</w:t>
      </w:r>
      <w:r>
        <w:t xml:space="preserve"> resource adequacy</w:t>
      </w:r>
      <w:r w:rsidR="00972D4C">
        <w:t xml:space="preserve"> Reliability Need. </w:t>
      </w:r>
    </w:p>
    <w:p w14:paraId="3D3A1907" w14:textId="4A66583B" w:rsidR="00972D4C" w:rsidRPr="00A25C7D" w:rsidRDefault="00972D4C" w:rsidP="00972D4C">
      <w:pPr>
        <w:pStyle w:val="BodyText"/>
      </w:pPr>
      <w:r>
        <w:t xml:space="preserve">The results are in </w:t>
      </w:r>
      <w:r w:rsidRPr="00D06888">
        <w:fldChar w:fldCharType="begin"/>
      </w:r>
      <w:r w:rsidRPr="00D06888">
        <w:instrText xml:space="preserve"> REF _Ref47378752 \h  \* MERGEFORMAT </w:instrText>
      </w:r>
      <w:r w:rsidRPr="00D06888">
        <w:fldChar w:fldCharType="separate"/>
      </w:r>
      <w:r w:rsidR="00E8147A" w:rsidRPr="000127EE">
        <w:t xml:space="preserve">Figure </w:t>
      </w:r>
      <w:r w:rsidR="00E8147A">
        <w:t>31</w:t>
      </w:r>
      <w:r w:rsidRPr="00D06888">
        <w:fldChar w:fldCharType="end"/>
      </w:r>
      <w:r w:rsidRPr="00D06888">
        <w:t xml:space="preserve"> </w:t>
      </w:r>
      <w:r w:rsidRPr="00D06888">
        <w:fldChar w:fldCharType="begin"/>
      </w:r>
      <w:r w:rsidRPr="00D06888">
        <w:instrText xml:space="preserve"> REF _Ref47378756 \p \h  \* MERGEFORMAT </w:instrText>
      </w:r>
      <w:r w:rsidRPr="00D06888">
        <w:fldChar w:fldCharType="separate"/>
      </w:r>
      <w:r w:rsidR="00E8147A">
        <w:t>below</w:t>
      </w:r>
      <w:r w:rsidRPr="00D06888">
        <w:fldChar w:fldCharType="end"/>
      </w:r>
      <w:r>
        <w:t>, and indicate that transmission improvements can also eliminate the LOLE violations.</w:t>
      </w:r>
    </w:p>
    <w:p w14:paraId="78DEF203" w14:textId="7E634A9C" w:rsidR="00972D4C" w:rsidRDefault="00972D4C" w:rsidP="00972D4C">
      <w:pPr>
        <w:pStyle w:val="Figure"/>
        <w:keepNext/>
      </w:pPr>
      <w:bookmarkStart w:id="130" w:name="_Ref47378752"/>
      <w:bookmarkStart w:id="131" w:name="_Ref47378756"/>
      <w:bookmarkStart w:id="132" w:name="_Toc48251350"/>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31</w:t>
      </w:r>
      <w:r w:rsidRPr="000127EE">
        <w:rPr>
          <w:noProof/>
        </w:rPr>
        <w:fldChar w:fldCharType="end"/>
      </w:r>
      <w:bookmarkEnd w:id="130"/>
      <w:r w:rsidRPr="00A25C7D">
        <w:t xml:space="preserve">: </w:t>
      </w:r>
      <w:r>
        <w:t xml:space="preserve">NYCA </w:t>
      </w:r>
      <w:r w:rsidRPr="00A25C7D">
        <w:t>Free Flow Simulation Results</w:t>
      </w:r>
      <w:bookmarkEnd w:id="131"/>
      <w:bookmarkEnd w:id="132"/>
    </w:p>
    <w:p w14:paraId="1BF76071" w14:textId="77777777" w:rsidR="00972D4C" w:rsidRPr="003E0FD4" w:rsidRDefault="00972D4C" w:rsidP="00972D4C">
      <w:pPr>
        <w:pStyle w:val="BodyText"/>
        <w:jc w:val="center"/>
      </w:pPr>
      <w:r w:rsidRPr="00D2121F">
        <w:rPr>
          <w:noProof/>
        </w:rPr>
        <w:drawing>
          <wp:inline distT="0" distB="0" distL="0" distR="0" wp14:anchorId="78394721" wp14:editId="486AAEE1">
            <wp:extent cx="2631831" cy="20849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1130" t="-1149" r="48981" b="48557"/>
                    <a:stretch/>
                  </pic:blipFill>
                  <pic:spPr bwMode="auto">
                    <a:xfrm>
                      <a:off x="0" y="0"/>
                      <a:ext cx="2659518" cy="2106862"/>
                    </a:xfrm>
                    <a:prstGeom prst="rect">
                      <a:avLst/>
                    </a:prstGeom>
                    <a:noFill/>
                    <a:ln>
                      <a:noFill/>
                    </a:ln>
                    <a:extLst>
                      <a:ext uri="{53640926-AAD7-44D8-BBD7-CCE9431645EC}">
                        <a14:shadowObscured xmlns:a14="http://schemas.microsoft.com/office/drawing/2010/main"/>
                      </a:ext>
                    </a:extLst>
                  </pic:spPr>
                </pic:pic>
              </a:graphicData>
            </a:graphic>
          </wp:inline>
        </w:drawing>
      </w:r>
    </w:p>
    <w:p w14:paraId="7C3B928F" w14:textId="77777777" w:rsidR="00972D4C" w:rsidRDefault="00972D4C" w:rsidP="00972D4C">
      <w:pPr>
        <w:pStyle w:val="BodyText"/>
      </w:pPr>
      <w:r>
        <w:t>Additional topology limits variations were performed to identify which specific interfaces help the most, and provide additional insights to support solutions development:</w:t>
      </w:r>
    </w:p>
    <w:p w14:paraId="14726B0B" w14:textId="1EC81E70" w:rsidR="00972D4C" w:rsidRDefault="00972D4C" w:rsidP="00972D4C">
      <w:pPr>
        <w:pStyle w:val="BodyText"/>
        <w:numPr>
          <w:ilvl w:val="0"/>
          <w:numId w:val="50"/>
        </w:numPr>
      </w:pPr>
      <w:r>
        <w:t xml:space="preserve">Increasing the transfer limits on the interface between </w:t>
      </w:r>
      <w:r w:rsidR="00D11CD0">
        <w:t>Z</w:t>
      </w:r>
      <w:r>
        <w:t xml:space="preserve">ones I and J only (I_to_J or Dunwoodie South interface): </w:t>
      </w:r>
      <w:r w:rsidR="00A14C1B">
        <w:t xml:space="preserve"> A</w:t>
      </w:r>
      <w:r>
        <w:t xml:space="preserve">n increase of 450 MW resolved the needs in 2030. This value is larger than the identified Compensatory MW value of 350 MW because the I_to_J interface is not always fully available due to partial outage states. </w:t>
      </w:r>
    </w:p>
    <w:p w14:paraId="0481387A" w14:textId="68C5D708" w:rsidR="00972D4C" w:rsidRDefault="00972D4C" w:rsidP="00972D4C">
      <w:pPr>
        <w:pStyle w:val="BodyText"/>
        <w:numPr>
          <w:ilvl w:val="0"/>
          <w:numId w:val="50"/>
        </w:numPr>
      </w:pPr>
      <w:r>
        <w:t xml:space="preserve">Modeling the I_to_J (Dunwoodie South) interface with no limit: </w:t>
      </w:r>
      <w:r w:rsidR="00A14C1B">
        <w:t xml:space="preserve"> T</w:t>
      </w:r>
      <w:r>
        <w:t xml:space="preserve">he NYCA LOLE decreased to 0.05 days/year in 2030, which is close to the 0.04 days/year NYCA free flow result. This </w:t>
      </w:r>
      <w:r w:rsidR="00A14C1B">
        <w:t xml:space="preserve">result </w:t>
      </w:r>
      <w:r>
        <w:t>confirms that Zone J is the critical area in the GE-MARS analysis RNA Base Case, and that any injection from any interface into Zone J would mitigate the resource adequacy zonal deficiency.</w:t>
      </w:r>
    </w:p>
    <w:p w14:paraId="6C604BA0" w14:textId="77777777" w:rsidR="00972D4C" w:rsidRDefault="00972D4C" w:rsidP="00972D4C">
      <w:pPr>
        <w:pStyle w:val="BodyText"/>
        <w:numPr>
          <w:ilvl w:val="0"/>
          <w:numId w:val="50"/>
        </w:numPr>
      </w:pPr>
      <w:r>
        <w:t>Additional free flow variations results are in Appendix D.</w:t>
      </w:r>
    </w:p>
    <w:p w14:paraId="454238E1" w14:textId="7E448321" w:rsidR="00972D4C" w:rsidRDefault="00972D4C" w:rsidP="00972D4C">
      <w:pPr>
        <w:pStyle w:val="BodyText"/>
      </w:pPr>
      <w:r>
        <w:t xml:space="preserve">Free flow simulations conclusion: </w:t>
      </w:r>
      <w:r w:rsidR="00A14C1B">
        <w:t xml:space="preserve"> Beyond</w:t>
      </w:r>
      <w:r>
        <w:t xml:space="preserve"> adding capacity or decreasing load in Zone J, increasing the interface limits into Zone J would mitigate or fully address the resource adequacy deficiency. However, solutions would also need to address the Zone J local</w:t>
      </w:r>
      <w:r>
        <w:rPr>
          <w:rStyle w:val="FootnoteReference"/>
        </w:rPr>
        <w:footnoteReference w:id="14"/>
      </w:r>
      <w:r>
        <w:t xml:space="preserve"> transmission load area deficiencies identified in the transmission security evaluations.</w:t>
      </w:r>
    </w:p>
    <w:p w14:paraId="188CDE0B" w14:textId="77777777" w:rsidR="00972D4C" w:rsidRDefault="00972D4C" w:rsidP="00972D4C">
      <w:pPr>
        <w:pStyle w:val="Heading3"/>
      </w:pPr>
      <w:bookmarkStart w:id="133" w:name="_Toc48252294"/>
      <w:r>
        <w:lastRenderedPageBreak/>
        <w:t>Resource Adequacy Simulations Conclusions</w:t>
      </w:r>
      <w:bookmarkEnd w:id="133"/>
    </w:p>
    <w:p w14:paraId="6F2EF85A" w14:textId="77777777" w:rsidR="00972D4C" w:rsidRDefault="00972D4C" w:rsidP="00972D4C">
      <w:pPr>
        <w:pStyle w:val="BodyText"/>
        <w:numPr>
          <w:ilvl w:val="0"/>
          <w:numId w:val="51"/>
        </w:numPr>
      </w:pPr>
      <w:r w:rsidRPr="00CE3D39">
        <w:t xml:space="preserve">The Loss of Load Expectation (LOLE) is at or above NYSRC’s and NPCC’s criterion of </w:t>
      </w:r>
      <w:r>
        <w:t>one</w:t>
      </w:r>
      <w:r w:rsidRPr="00CE3D39">
        <w:t xml:space="preserve"> day in 10 years, or 0.1 days per year, starting year 6 (2026) of the RNA Study Period</w:t>
      </w:r>
      <w:r>
        <w:t>, and increasing through year 10 (2030). T</w:t>
      </w:r>
      <w:r w:rsidRPr="00192DD6">
        <w:t>herefore, the NYISO identifies resource adequacy Reliability Needs</w:t>
      </w:r>
      <w:r>
        <w:t xml:space="preserve"> starting 2027 (with 2026 being at the 0.10 days/year criterion)</w:t>
      </w:r>
      <w:r w:rsidRPr="00CE3D39">
        <w:t>.</w:t>
      </w:r>
    </w:p>
    <w:p w14:paraId="77FA82E9" w14:textId="6CE20F11" w:rsidR="00972D4C" w:rsidRDefault="00972D4C" w:rsidP="00972D4C">
      <w:pPr>
        <w:pStyle w:val="BodyText"/>
        <w:numPr>
          <w:ilvl w:val="0"/>
          <w:numId w:val="51"/>
        </w:numPr>
      </w:pPr>
      <w:r>
        <w:t xml:space="preserve">The deficiencies identified in this 2020 RNA are driven by the compound effect of </w:t>
      </w:r>
      <w:r w:rsidR="00A14C1B">
        <w:t xml:space="preserve">the </w:t>
      </w:r>
      <w:r>
        <w:t>increasing load forecast (</w:t>
      </w:r>
      <w:r w:rsidR="00A14C1B">
        <w:rPr>
          <w:i/>
        </w:rPr>
        <w:t>i.e</w:t>
      </w:r>
      <w:r w:rsidRPr="00922C50">
        <w:rPr>
          <w:i/>
        </w:rPr>
        <w:t>.,</w:t>
      </w:r>
      <w:r>
        <w:t xml:space="preserve"> +495 MW in 2030) and loss of generation in Zone J (</w:t>
      </w:r>
      <w:r w:rsidR="00A14C1B">
        <w:rPr>
          <w:i/>
        </w:rPr>
        <w:t>i.e</w:t>
      </w:r>
      <w:r>
        <w:t>., –1</w:t>
      </w:r>
      <w:r w:rsidR="00A14C1B">
        <w:t>,</w:t>
      </w:r>
      <w:r>
        <w:t>372 MW in 2030).</w:t>
      </w:r>
    </w:p>
    <w:p w14:paraId="607D2C57" w14:textId="77777777" w:rsidR="00972D4C" w:rsidRDefault="00972D4C" w:rsidP="00972D4C">
      <w:pPr>
        <w:pStyle w:val="BodyText"/>
        <w:numPr>
          <w:ilvl w:val="0"/>
          <w:numId w:val="51"/>
        </w:numPr>
      </w:pPr>
      <w:r>
        <w:t>Potential solutions to address the 350 compensatory MW resource adequacy deficiency in Zone J by 2030 (100 MW in 2027) could include a combination of increased transfer capability into Zone J and/or resources located within Zone J, and/or demand-side solutions.  However, solutions would also need to address the Zone J local</w:t>
      </w:r>
      <w:r>
        <w:rPr>
          <w:rStyle w:val="FootnoteReference"/>
        </w:rPr>
        <w:footnoteReference w:id="15"/>
      </w:r>
      <w:r>
        <w:t xml:space="preserve"> transmission load area deficiencies identified in the transmission security evaluations.</w:t>
      </w:r>
    </w:p>
    <w:p w14:paraId="5057D92F" w14:textId="0BB02DC4" w:rsidR="00685386" w:rsidRPr="00CA059E" w:rsidRDefault="00D141B1" w:rsidP="00EE65A3">
      <w:pPr>
        <w:pStyle w:val="Heading2"/>
      </w:pPr>
      <w:bookmarkStart w:id="134" w:name="_Toc48252295"/>
      <w:r>
        <w:t xml:space="preserve">Transmission Security </w:t>
      </w:r>
      <w:r w:rsidR="006B45AF">
        <w:t xml:space="preserve">Base Case </w:t>
      </w:r>
      <w:r>
        <w:t>Assessments</w:t>
      </w:r>
      <w:bookmarkEnd w:id="134"/>
    </w:p>
    <w:p w14:paraId="5533BDBC" w14:textId="3ACEA247" w:rsidR="0084324A" w:rsidRPr="00B255C5" w:rsidRDefault="005D5672" w:rsidP="00EE65A3">
      <w:pPr>
        <w:pStyle w:val="BodyText"/>
      </w:pPr>
      <w:r>
        <w:t xml:space="preserve">The </w:t>
      </w:r>
      <w:r w:rsidR="00481C75">
        <w:t xml:space="preserve">following </w:t>
      </w:r>
      <w:r>
        <w:t>discussion reviews</w:t>
      </w:r>
      <w:r w:rsidR="0084324A" w:rsidRPr="00B255C5">
        <w:t xml:space="preserve"> the </w:t>
      </w:r>
      <w:r w:rsidR="00D141B1">
        <w:t>main</w:t>
      </w:r>
      <w:r w:rsidR="0084324A" w:rsidRPr="00B255C5">
        <w:t xml:space="preserve"> findings of the 20</w:t>
      </w:r>
      <w:r w:rsidR="00B255C5" w:rsidRPr="00B255C5">
        <w:t>20</w:t>
      </w:r>
      <w:r w:rsidR="0084324A" w:rsidRPr="00B255C5">
        <w:t xml:space="preserve"> RNA </w:t>
      </w:r>
      <w:r w:rsidR="00D141B1" w:rsidRPr="00B255C5">
        <w:t>transmission security assessment</w:t>
      </w:r>
      <w:r w:rsidR="00D141B1">
        <w:t>s (</w:t>
      </w:r>
      <w:r w:rsidR="00D141B1" w:rsidRPr="00B255C5">
        <w:t>steady state, stability and short circuit assessment</w:t>
      </w:r>
      <w:r w:rsidR="00D141B1">
        <w:t>s)</w:t>
      </w:r>
      <w:r w:rsidR="00D141B1" w:rsidRPr="00B255C5">
        <w:t xml:space="preserve"> </w:t>
      </w:r>
      <w:r w:rsidR="0084324A" w:rsidRPr="00B255C5">
        <w:t>applicable to the Base Case conditions f</w:t>
      </w:r>
      <w:r w:rsidR="00D141B1">
        <w:t>or the Study Period.</w:t>
      </w:r>
    </w:p>
    <w:p w14:paraId="3D02B116" w14:textId="7F6E95F3" w:rsidR="0084324A" w:rsidRPr="00AA1DD5" w:rsidRDefault="00F152C9" w:rsidP="00AA1DD5">
      <w:pPr>
        <w:pStyle w:val="Heading3"/>
      </w:pPr>
      <w:bookmarkStart w:id="135" w:name="_Ref506897268"/>
      <w:bookmarkStart w:id="136" w:name="_Toc48252296"/>
      <w:r w:rsidRPr="00AA1DD5">
        <w:t>Steady-</w:t>
      </w:r>
      <w:r w:rsidR="001974DB" w:rsidRPr="00AA1DD5">
        <w:t>S</w:t>
      </w:r>
      <w:r w:rsidRPr="00AA1DD5">
        <w:t>tate</w:t>
      </w:r>
      <w:r w:rsidR="0084324A" w:rsidRPr="00AA1DD5">
        <w:t xml:space="preserve"> Assessment</w:t>
      </w:r>
      <w:bookmarkEnd w:id="135"/>
      <w:r w:rsidRPr="00AA1DD5">
        <w:t>s</w:t>
      </w:r>
      <w:bookmarkEnd w:id="136"/>
    </w:p>
    <w:p w14:paraId="67CD8C53" w14:textId="25C86C38" w:rsidR="002234E7" w:rsidRPr="002234E7" w:rsidRDefault="002234E7" w:rsidP="002234E7">
      <w:pPr>
        <w:pStyle w:val="BodyText"/>
      </w:pPr>
      <w:r w:rsidRPr="002234E7">
        <w:t>The RNA requires analysis of the security of the BPTF throughout the Study Period. The BPTF, as defined in this assessment, include all of the facilities designated by the NYISO as a Bulk Power System (BPS) element as defined by the NYSRC and NPCC, as well as other transmission facilities that are relevant to planning the New York State transmission system. To assist in the assessment, the NYISO reviewed previously completed transmission security assessments and used the most recent FERC Form No. 715 power flow cases</w:t>
      </w:r>
      <w:r w:rsidR="005D5672">
        <w:t>.  The</w:t>
      </w:r>
      <w:r w:rsidRPr="002234E7">
        <w:t xml:space="preserve"> NYISO filed </w:t>
      </w:r>
      <w:r w:rsidR="005D5672">
        <w:t xml:space="preserve">those cases </w:t>
      </w:r>
      <w:r w:rsidRPr="002234E7">
        <w:t>with FERC on April 1, 2020 with updates to the models as described in earlier sections of this report.</w:t>
      </w:r>
    </w:p>
    <w:p w14:paraId="538D2936" w14:textId="2A2930C9" w:rsidR="002234E7" w:rsidRPr="002234E7" w:rsidRDefault="002234E7" w:rsidP="002234E7">
      <w:pPr>
        <w:pStyle w:val="BodyText"/>
      </w:pPr>
      <w:r w:rsidRPr="002234E7">
        <w:t>For the 2020 RNA transmission security assessment, several transmission security violations (</w:t>
      </w:r>
      <w:r w:rsidRPr="009F516D">
        <w:rPr>
          <w:i/>
        </w:rPr>
        <w:t>i.e.</w:t>
      </w:r>
      <w:r w:rsidR="009607F9" w:rsidRPr="009F516D">
        <w:rPr>
          <w:i/>
        </w:rPr>
        <w:t>,</w:t>
      </w:r>
      <w:r w:rsidRPr="002234E7">
        <w:t xml:space="preserve"> Reliability Needs) were id</w:t>
      </w:r>
      <w:r>
        <w:t xml:space="preserve">entified for the Study period. </w:t>
      </w:r>
      <w:r w:rsidRPr="002234E7">
        <w:t>The transmission security Reliability Needs include both thermal loading cr</w:t>
      </w:r>
      <w:r>
        <w:t xml:space="preserve">iteria violations on the BPTF. </w:t>
      </w:r>
      <w:r w:rsidRPr="002234E7">
        <w:t>For the thermal loading violations, several 345 kV circuits in the Con Edison service territory are overloaded under N-1-1 conditions beginning in year 2</w:t>
      </w:r>
      <w:r>
        <w:t xml:space="preserve">025 </w:t>
      </w:r>
      <w:r>
        <w:lastRenderedPageBreak/>
        <w:t>and increas</w:t>
      </w:r>
      <w:r w:rsidR="009607F9">
        <w:t>ing</w:t>
      </w:r>
      <w:r>
        <w:t xml:space="preserve"> through 2030. </w:t>
      </w:r>
      <w:r w:rsidRPr="002234E7">
        <w:t xml:space="preserve">Additionally, the Con Edison 345 kV system has 345 kV circuit overloads under N-1-1-0 conditions beginning in </w:t>
      </w:r>
      <w:r w:rsidR="0019381A">
        <w:t>2025 and increas</w:t>
      </w:r>
      <w:r w:rsidR="009607F9">
        <w:t>ing</w:t>
      </w:r>
      <w:r w:rsidR="0019381A">
        <w:t xml:space="preserve"> through 2030.</w:t>
      </w:r>
      <w:r w:rsidRPr="002234E7">
        <w:t xml:space="preserve"> </w:t>
      </w:r>
      <w:r>
        <w:fldChar w:fldCharType="begin"/>
      </w:r>
      <w:r>
        <w:instrText xml:space="preserve"> REF _Ref506896702 \h </w:instrText>
      </w:r>
      <w:r>
        <w:fldChar w:fldCharType="separate"/>
      </w:r>
      <w:r w:rsidR="000E0897" w:rsidRPr="002234E7">
        <w:t xml:space="preserve">Figure </w:t>
      </w:r>
      <w:r w:rsidR="000E0897">
        <w:rPr>
          <w:noProof/>
        </w:rPr>
        <w:t>32</w:t>
      </w:r>
      <w:r>
        <w:fldChar w:fldCharType="end"/>
      </w:r>
      <w:r>
        <w:t xml:space="preserve"> </w:t>
      </w:r>
      <w:r w:rsidRPr="002234E7">
        <w:t>summar</w:t>
      </w:r>
      <w:r w:rsidR="00411EF5">
        <w:t>izes</w:t>
      </w:r>
      <w:r w:rsidRPr="002234E7">
        <w:t xml:space="preserve"> of the worst overload for each BPTF element with a thermal criteria vio</w:t>
      </w:r>
      <w:r>
        <w:t xml:space="preserve">lation under N-1-1 </w:t>
      </w:r>
      <w:r w:rsidRPr="008930A0">
        <w:t xml:space="preserve">conditions. Appendix </w:t>
      </w:r>
      <w:r w:rsidR="008930A0" w:rsidRPr="008930A0">
        <w:t xml:space="preserve">D </w:t>
      </w:r>
      <w:r w:rsidRPr="008930A0">
        <w:t>provides the details of additional contingency combinations that also result in thermal criteria violations</w:t>
      </w:r>
      <w:r>
        <w:t xml:space="preserve"> for these BPTF</w:t>
      </w:r>
      <w:r w:rsidR="00411EF5">
        <w:t>s</w:t>
      </w:r>
      <w:r>
        <w:t>.</w:t>
      </w:r>
      <w:r w:rsidRPr="002234E7">
        <w:t xml:space="preserve"> </w:t>
      </w:r>
      <w:r>
        <w:fldChar w:fldCharType="begin"/>
      </w:r>
      <w:r>
        <w:instrText xml:space="preserve"> REF _Ref47508525 \h </w:instrText>
      </w:r>
      <w:r>
        <w:fldChar w:fldCharType="separate"/>
      </w:r>
      <w:r w:rsidR="000E0897" w:rsidRPr="002234E7">
        <w:t xml:space="preserve">Figure </w:t>
      </w:r>
      <w:r w:rsidR="000E0897">
        <w:rPr>
          <w:noProof/>
        </w:rPr>
        <w:t>33</w:t>
      </w:r>
      <w:r>
        <w:fldChar w:fldCharType="end"/>
      </w:r>
      <w:r>
        <w:t xml:space="preserve"> </w:t>
      </w:r>
      <w:r w:rsidRPr="002234E7">
        <w:t>provides a summary of the BPTF thermal criteria violations under N-1-1-0 conditions.  No BPTF voltage violations are observed for this assessment.</w:t>
      </w:r>
    </w:p>
    <w:p w14:paraId="18A2980D" w14:textId="0F87C673" w:rsidR="00BF7D40" w:rsidRDefault="00AE7515" w:rsidP="002234E7">
      <w:pPr>
        <w:pStyle w:val="Figure"/>
      </w:pPr>
      <w:bookmarkStart w:id="137" w:name="_Ref506896702"/>
      <w:bookmarkStart w:id="138" w:name="_Ref517876210"/>
      <w:bookmarkStart w:id="139" w:name="_Toc48251351"/>
      <w:r w:rsidRPr="002234E7">
        <w:t xml:space="preserve">Figure </w:t>
      </w:r>
      <w:r w:rsidR="00D517E4">
        <w:fldChar w:fldCharType="begin"/>
      </w:r>
      <w:r w:rsidR="00D517E4">
        <w:instrText xml:space="preserve"> SEQ Figure \* ARABIC </w:instrText>
      </w:r>
      <w:r w:rsidR="00D517E4">
        <w:fldChar w:fldCharType="separate"/>
      </w:r>
      <w:r w:rsidR="00F94268">
        <w:rPr>
          <w:noProof/>
        </w:rPr>
        <w:t>32</w:t>
      </w:r>
      <w:r w:rsidR="00D517E4">
        <w:rPr>
          <w:noProof/>
        </w:rPr>
        <w:fldChar w:fldCharType="end"/>
      </w:r>
      <w:bookmarkEnd w:id="137"/>
      <w:bookmarkEnd w:id="138"/>
      <w:r w:rsidRPr="002234E7">
        <w:t xml:space="preserve">: </w:t>
      </w:r>
      <w:r w:rsidR="002234E7">
        <w:t xml:space="preserve">Steady State </w:t>
      </w:r>
      <w:r w:rsidR="002234E7" w:rsidRPr="002234E7">
        <w:t xml:space="preserve">Transmission Security </w:t>
      </w:r>
      <w:r w:rsidR="002234E7">
        <w:t>N-1-1 Violations</w:t>
      </w:r>
      <w:bookmarkEnd w:id="139"/>
    </w:p>
    <w:p w14:paraId="2A7087A7" w14:textId="333FA2EB" w:rsidR="0019381A" w:rsidRDefault="00E45460" w:rsidP="008F4438">
      <w:pPr>
        <w:pStyle w:val="BodyText"/>
        <w:jc w:val="center"/>
      </w:pPr>
      <w:r w:rsidRPr="00E45460">
        <w:rPr>
          <w:noProof/>
        </w:rPr>
        <w:drawing>
          <wp:inline distT="0" distB="0" distL="0" distR="0" wp14:anchorId="649CF527" wp14:editId="3B98AE4D">
            <wp:extent cx="6247664" cy="377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t="-1231" r="48926" b="48058"/>
                    <a:stretch/>
                  </pic:blipFill>
                  <pic:spPr bwMode="auto">
                    <a:xfrm>
                      <a:off x="0" y="0"/>
                      <a:ext cx="6264153" cy="3781855"/>
                    </a:xfrm>
                    <a:prstGeom prst="rect">
                      <a:avLst/>
                    </a:prstGeom>
                    <a:noFill/>
                    <a:ln>
                      <a:noFill/>
                    </a:ln>
                    <a:extLst>
                      <a:ext uri="{53640926-AAD7-44D8-BBD7-CCE9431645EC}">
                        <a14:shadowObscured xmlns:a14="http://schemas.microsoft.com/office/drawing/2010/main"/>
                      </a:ext>
                    </a:extLst>
                  </pic:spPr>
                </pic:pic>
              </a:graphicData>
            </a:graphic>
          </wp:inline>
        </w:drawing>
      </w:r>
    </w:p>
    <w:p w14:paraId="7655DAD9" w14:textId="68103B28" w:rsidR="002234E7" w:rsidRDefault="002234E7" w:rsidP="0019381A">
      <w:pPr>
        <w:pStyle w:val="Figure"/>
        <w:keepNext/>
        <w:keepLines/>
      </w:pPr>
      <w:bookmarkStart w:id="140" w:name="_Ref47508525"/>
      <w:bookmarkStart w:id="141" w:name="_Toc48251352"/>
      <w:r w:rsidRPr="002234E7">
        <w:t xml:space="preserve">Figure </w:t>
      </w:r>
      <w:r w:rsidR="00D517E4">
        <w:fldChar w:fldCharType="begin"/>
      </w:r>
      <w:r w:rsidR="00D517E4">
        <w:instrText xml:space="preserve"> SEQ Figure \* ARABIC </w:instrText>
      </w:r>
      <w:r w:rsidR="00D517E4">
        <w:fldChar w:fldCharType="separate"/>
      </w:r>
      <w:r w:rsidR="00F94268">
        <w:rPr>
          <w:noProof/>
        </w:rPr>
        <w:t>33</w:t>
      </w:r>
      <w:r w:rsidR="00D517E4">
        <w:rPr>
          <w:noProof/>
        </w:rPr>
        <w:fldChar w:fldCharType="end"/>
      </w:r>
      <w:bookmarkEnd w:id="140"/>
      <w:r w:rsidRPr="002234E7">
        <w:t xml:space="preserve">: </w:t>
      </w:r>
      <w:r>
        <w:t xml:space="preserve">Steady State </w:t>
      </w:r>
      <w:r w:rsidRPr="002234E7">
        <w:t xml:space="preserve">Transmission Security </w:t>
      </w:r>
      <w:r>
        <w:t>N-1-1-0 Violations</w:t>
      </w:r>
      <w:bookmarkEnd w:id="141"/>
    </w:p>
    <w:p w14:paraId="6E89EDBA" w14:textId="6F72088D" w:rsidR="0019381A" w:rsidRPr="002234E7" w:rsidRDefault="00E45460" w:rsidP="008F4438">
      <w:pPr>
        <w:pStyle w:val="BodyText"/>
        <w:jc w:val="center"/>
      </w:pPr>
      <w:r w:rsidRPr="00E45460">
        <w:rPr>
          <w:noProof/>
        </w:rPr>
        <w:drawing>
          <wp:inline distT="0" distB="0" distL="0" distR="0" wp14:anchorId="24DB68AD" wp14:editId="58CCA2ED">
            <wp:extent cx="6201983" cy="147066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t="-1668" r="49778" b="48640"/>
                    <a:stretch/>
                  </pic:blipFill>
                  <pic:spPr bwMode="auto">
                    <a:xfrm>
                      <a:off x="0" y="0"/>
                      <a:ext cx="6216071" cy="1474001"/>
                    </a:xfrm>
                    <a:prstGeom prst="rect">
                      <a:avLst/>
                    </a:prstGeom>
                    <a:noFill/>
                    <a:ln>
                      <a:noFill/>
                    </a:ln>
                    <a:extLst>
                      <a:ext uri="{53640926-AAD7-44D8-BBD7-CCE9431645EC}">
                        <a14:shadowObscured xmlns:a14="http://schemas.microsoft.com/office/drawing/2010/main"/>
                      </a:ext>
                    </a:extLst>
                  </pic:spPr>
                </pic:pic>
              </a:graphicData>
            </a:graphic>
          </wp:inline>
        </w:drawing>
      </w:r>
    </w:p>
    <w:p w14:paraId="41C93942" w14:textId="77777777" w:rsidR="00AA1DD5" w:rsidRPr="00AA1DD5" w:rsidRDefault="0084324A" w:rsidP="00AA1DD5">
      <w:pPr>
        <w:pStyle w:val="Heading4"/>
      </w:pPr>
      <w:r w:rsidRPr="00AA1DD5">
        <w:t xml:space="preserve"> </w:t>
      </w:r>
      <w:r w:rsidR="00AA1DD5" w:rsidRPr="00AA1DD5">
        <w:t>Steady State Compensatory MW</w:t>
      </w:r>
    </w:p>
    <w:p w14:paraId="5FA65E5C" w14:textId="7A85488B" w:rsidR="00AA1DD5" w:rsidRPr="008930A0" w:rsidRDefault="00AA1DD5" w:rsidP="00AA1DD5">
      <w:pPr>
        <w:pStyle w:val="BodyText"/>
      </w:pPr>
      <w:r>
        <w:t xml:space="preserve">Transmission security compensatory MW amounts are determined by adding generic resources to </w:t>
      </w:r>
      <w:r>
        <w:lastRenderedPageBreak/>
        <w:t>locations of need (</w:t>
      </w:r>
      <w:r w:rsidR="00E45460">
        <w:t xml:space="preserve">or </w:t>
      </w:r>
      <w:r w:rsidR="00E45460" w:rsidRPr="008930A0">
        <w:t xml:space="preserve">combinations of locations). </w:t>
      </w:r>
      <w:r w:rsidRPr="008930A0">
        <w:t>The compensatory MW additions are not intended to represent specific solutions, as the impact of specific solutions can depend on the type of the solution and its location on the grid</w:t>
      </w:r>
      <w:r w:rsidR="00411EF5" w:rsidRPr="008930A0">
        <w:t>. R</w:t>
      </w:r>
      <w:r w:rsidRPr="008930A0">
        <w:t xml:space="preserve">ather, </w:t>
      </w:r>
      <w:r w:rsidR="00411EF5" w:rsidRPr="008930A0">
        <w:t>the compensatory MW provide</w:t>
      </w:r>
      <w:r w:rsidRPr="008930A0">
        <w:t xml:space="preserve"> a generic order-of-magnitu</w:t>
      </w:r>
      <w:r w:rsidR="00E45460" w:rsidRPr="008930A0">
        <w:t>de measure to guide</w:t>
      </w:r>
      <w:r w:rsidR="00411EF5" w:rsidRPr="008930A0">
        <w:t xml:space="preserve"> the formulation of</w:t>
      </w:r>
      <w:r w:rsidR="00E45460" w:rsidRPr="008930A0">
        <w:t xml:space="preserve"> solutions. </w:t>
      </w:r>
      <w:r w:rsidRPr="008930A0">
        <w:t>Transmission security needs could potentially be met by combinations of solutions including generation, transmission, energy efficiency, and demand response measures</w:t>
      </w:r>
      <w:r w:rsidR="00E45460" w:rsidRPr="008930A0">
        <w:t xml:space="preserve">. </w:t>
      </w:r>
    </w:p>
    <w:p w14:paraId="0C7ED0E8" w14:textId="663CF534" w:rsidR="00AA1DD5" w:rsidRDefault="00AA1DD5" w:rsidP="00AA1DD5">
      <w:pPr>
        <w:pStyle w:val="BodyText"/>
      </w:pPr>
      <w:r w:rsidRPr="008930A0">
        <w:t xml:space="preserve">The BPTF transmission security violations begin </w:t>
      </w:r>
      <w:r w:rsidR="005C04DA" w:rsidRPr="008930A0">
        <w:t xml:space="preserve">at </w:t>
      </w:r>
      <w:r w:rsidR="008930A0" w:rsidRPr="008930A0">
        <w:t>700</w:t>
      </w:r>
      <w:r w:rsidR="008930A0" w:rsidRPr="008930A0">
        <w:rPr>
          <w:color w:val="FF0000"/>
        </w:rPr>
        <w:t xml:space="preserve"> </w:t>
      </w:r>
      <w:r w:rsidR="005C04DA" w:rsidRPr="008930A0">
        <w:t xml:space="preserve">MW </w:t>
      </w:r>
      <w:r w:rsidRPr="008930A0">
        <w:t>in year 2025 and increase in magnitude through year 2030.  The maximum observed compensatory</w:t>
      </w:r>
      <w:r>
        <w:t xml:space="preserve"> MW amount needed to address the BPTF thermal issues described above is 1,075 MW in 2030.</w:t>
      </w:r>
    </w:p>
    <w:p w14:paraId="716DC8A9" w14:textId="77777777" w:rsidR="00E45460" w:rsidRPr="00E45460" w:rsidRDefault="00E45460" w:rsidP="00E45460">
      <w:pPr>
        <w:pStyle w:val="Heading3"/>
      </w:pPr>
      <w:bookmarkStart w:id="142" w:name="_Toc48252297"/>
      <w:r w:rsidRPr="00E45460">
        <w:t>System Stability Assessments</w:t>
      </w:r>
      <w:bookmarkEnd w:id="142"/>
      <w:r w:rsidRPr="00E45460">
        <w:t xml:space="preserve"> </w:t>
      </w:r>
    </w:p>
    <w:p w14:paraId="1BB7E6B2" w14:textId="24515C67" w:rsidR="00E45460" w:rsidRDefault="00E45460" w:rsidP="00E45460">
      <w:pPr>
        <w:pStyle w:val="BodyText"/>
      </w:pPr>
      <w:r>
        <w:t>The dynamic stability criteria Reliability Needs are observed for the entire study period. The criteria violations include transient voltage response violations and loss of generator synchronism. The transient voltage response violations are primarily in the Con Edison area but extending into areas adjacent to their service territory. The loss of generator synchronism is observed in generators within or near the Astoria and Greenwood load pockets</w:t>
      </w:r>
      <w:r w:rsidR="00411EF5">
        <w:t>,</w:t>
      </w:r>
      <w:r>
        <w:t xml:space="preserve"> and is primarily driven by the </w:t>
      </w:r>
      <w:r w:rsidR="006974D7">
        <w:t>transient voltage response</w:t>
      </w:r>
      <w:r>
        <w:t xml:space="preserve"> in the local area.  </w:t>
      </w:r>
      <w:r w:rsidR="002660C7">
        <w:fldChar w:fldCharType="begin"/>
      </w:r>
      <w:r w:rsidR="002660C7">
        <w:instrText xml:space="preserve"> REF _Ref47510252 \h </w:instrText>
      </w:r>
      <w:r w:rsidR="002660C7">
        <w:fldChar w:fldCharType="separate"/>
      </w:r>
      <w:r w:rsidR="000E0897" w:rsidRPr="00857106">
        <w:rPr>
          <w:color w:val="FF0000"/>
        </w:rPr>
        <w:t xml:space="preserve">Figure </w:t>
      </w:r>
      <w:r w:rsidR="000E0897">
        <w:rPr>
          <w:noProof/>
          <w:color w:val="FF0000"/>
        </w:rPr>
        <w:t>34</w:t>
      </w:r>
      <w:r w:rsidR="002660C7">
        <w:fldChar w:fldCharType="end"/>
      </w:r>
      <w:r w:rsidR="002660C7">
        <w:t xml:space="preserve"> </w:t>
      </w:r>
      <w:r>
        <w:t xml:space="preserve">provides a summary of the dynamic stability criteria Reliability Needs under N-1 and </w:t>
      </w:r>
      <w:r w:rsidR="002660C7">
        <w:fldChar w:fldCharType="begin"/>
      </w:r>
      <w:r w:rsidR="002660C7">
        <w:instrText xml:space="preserve"> REF _Ref47510260 \h </w:instrText>
      </w:r>
      <w:r w:rsidR="002660C7">
        <w:fldChar w:fldCharType="separate"/>
      </w:r>
      <w:r w:rsidR="000E0897" w:rsidRPr="00857106">
        <w:rPr>
          <w:color w:val="FF0000"/>
        </w:rPr>
        <w:t xml:space="preserve">Figure </w:t>
      </w:r>
      <w:r w:rsidR="000E0897">
        <w:rPr>
          <w:noProof/>
          <w:color w:val="FF0000"/>
        </w:rPr>
        <w:t>35</w:t>
      </w:r>
      <w:r w:rsidR="002660C7">
        <w:fldChar w:fldCharType="end"/>
      </w:r>
      <w:r w:rsidR="002660C7">
        <w:t xml:space="preserve"> </w:t>
      </w:r>
      <w:r>
        <w:t>provides a summary for N-1-1.</w:t>
      </w:r>
    </w:p>
    <w:p w14:paraId="1DF21B3D" w14:textId="4C9B4FD0" w:rsidR="002660C7" w:rsidRPr="00857106" w:rsidRDefault="002660C7" w:rsidP="002660C7">
      <w:pPr>
        <w:pStyle w:val="Figure"/>
        <w:keepNext/>
        <w:keepLines/>
        <w:rPr>
          <w:color w:val="FF0000"/>
        </w:rPr>
      </w:pPr>
      <w:bookmarkStart w:id="143" w:name="_Ref47510252"/>
      <w:bookmarkStart w:id="144" w:name="_Toc48251353"/>
      <w:r w:rsidRPr="00857106">
        <w:rPr>
          <w:color w:val="FF0000"/>
        </w:rPr>
        <w:t xml:space="preserve">Figure </w:t>
      </w:r>
      <w:r w:rsidRPr="00857106">
        <w:rPr>
          <w:color w:val="FF0000"/>
        </w:rPr>
        <w:fldChar w:fldCharType="begin"/>
      </w:r>
      <w:r w:rsidRPr="00857106">
        <w:rPr>
          <w:color w:val="FF0000"/>
        </w:rPr>
        <w:instrText xml:space="preserve"> SEQ Figure \* ARABIC </w:instrText>
      </w:r>
      <w:r w:rsidRPr="00857106">
        <w:rPr>
          <w:color w:val="FF0000"/>
        </w:rPr>
        <w:fldChar w:fldCharType="separate"/>
      </w:r>
      <w:r w:rsidR="00F94268">
        <w:rPr>
          <w:noProof/>
          <w:color w:val="FF0000"/>
        </w:rPr>
        <w:t>34</w:t>
      </w:r>
      <w:r w:rsidRPr="00857106">
        <w:rPr>
          <w:color w:val="FF0000"/>
        </w:rPr>
        <w:fldChar w:fldCharType="end"/>
      </w:r>
      <w:bookmarkEnd w:id="143"/>
      <w:r w:rsidRPr="00857106">
        <w:rPr>
          <w:color w:val="FF0000"/>
        </w:rPr>
        <w:t>: Dynamic Stability Criteria N-1 Violations (placeholder)</w:t>
      </w:r>
      <w:bookmarkEnd w:id="144"/>
    </w:p>
    <w:p w14:paraId="3EF02AAA" w14:textId="3C2DB9AB" w:rsidR="002660C7" w:rsidRPr="00857106" w:rsidRDefault="002660C7" w:rsidP="002660C7">
      <w:pPr>
        <w:pStyle w:val="Figure"/>
        <w:keepNext/>
        <w:keepLines/>
        <w:rPr>
          <w:color w:val="FF0000"/>
        </w:rPr>
      </w:pPr>
      <w:bookmarkStart w:id="145" w:name="_Ref47510260"/>
      <w:bookmarkStart w:id="146" w:name="_Toc48251354"/>
      <w:r w:rsidRPr="00857106">
        <w:rPr>
          <w:color w:val="FF0000"/>
        </w:rPr>
        <w:t xml:space="preserve">Figure </w:t>
      </w:r>
      <w:r w:rsidRPr="00857106">
        <w:rPr>
          <w:color w:val="FF0000"/>
        </w:rPr>
        <w:fldChar w:fldCharType="begin"/>
      </w:r>
      <w:r w:rsidRPr="00857106">
        <w:rPr>
          <w:color w:val="FF0000"/>
        </w:rPr>
        <w:instrText xml:space="preserve"> SEQ Figure \* ARABIC </w:instrText>
      </w:r>
      <w:r w:rsidRPr="00857106">
        <w:rPr>
          <w:color w:val="FF0000"/>
        </w:rPr>
        <w:fldChar w:fldCharType="separate"/>
      </w:r>
      <w:r w:rsidR="00F94268">
        <w:rPr>
          <w:noProof/>
          <w:color w:val="FF0000"/>
        </w:rPr>
        <w:t>35</w:t>
      </w:r>
      <w:r w:rsidRPr="00857106">
        <w:rPr>
          <w:color w:val="FF0000"/>
        </w:rPr>
        <w:fldChar w:fldCharType="end"/>
      </w:r>
      <w:bookmarkEnd w:id="145"/>
      <w:r w:rsidRPr="00857106">
        <w:rPr>
          <w:color w:val="FF0000"/>
        </w:rPr>
        <w:t>: Dynamic Stability Criteria N-1-1 Violations (L/O Ravenswood 3 as First Level Event) (placeholder)</w:t>
      </w:r>
      <w:bookmarkEnd w:id="146"/>
    </w:p>
    <w:p w14:paraId="7B297A04" w14:textId="50FD04F8" w:rsidR="002660C7" w:rsidRPr="00B03680" w:rsidRDefault="00B03680" w:rsidP="00B03680">
      <w:pPr>
        <w:pStyle w:val="BodyText"/>
      </w:pPr>
      <w:r w:rsidRPr="00B03680">
        <w:fldChar w:fldCharType="begin"/>
      </w:r>
      <w:r w:rsidRPr="00B03680">
        <w:instrText xml:space="preserve"> REF _Ref47510479 \h </w:instrText>
      </w:r>
      <w:r>
        <w:instrText xml:space="preserve"> \* MERGEFORMAT </w:instrText>
      </w:r>
      <w:r w:rsidRPr="00B03680">
        <w:fldChar w:fldCharType="separate"/>
      </w:r>
      <w:r w:rsidR="000E0897" w:rsidRPr="00B03680">
        <w:t xml:space="preserve">Figure </w:t>
      </w:r>
      <w:r w:rsidR="000E0897">
        <w:t>36</w:t>
      </w:r>
      <w:r w:rsidRPr="00B03680">
        <w:fldChar w:fldCharType="end"/>
      </w:r>
      <w:r w:rsidRPr="00B03680">
        <w:t xml:space="preserve"> </w:t>
      </w:r>
      <w:r w:rsidR="002660C7" w:rsidRPr="00B03680">
        <w:t xml:space="preserve">shows the transient voltage response for a 345 kV bus in the Con Edison service territory that passes the stated criteria as observed in assessments that have the </w:t>
      </w:r>
      <w:r w:rsidR="006F545A">
        <w:t>p</w:t>
      </w:r>
      <w:r w:rsidR="002660C7" w:rsidRPr="00B03680">
        <w:t>eaker units in-service</w:t>
      </w:r>
      <w:r w:rsidR="00411EF5">
        <w:t>,</w:t>
      </w:r>
      <w:r w:rsidR="002660C7" w:rsidRPr="00B03680">
        <w:t xml:space="preserve"> as compared to the response </w:t>
      </w:r>
      <w:r w:rsidR="00411EF5">
        <w:t>observed</w:t>
      </w:r>
      <w:r w:rsidR="002660C7" w:rsidRPr="00B03680">
        <w:t xml:space="preserve"> w</w:t>
      </w:r>
      <w:r>
        <w:t xml:space="preserve">ith the </w:t>
      </w:r>
      <w:r w:rsidR="006F545A">
        <w:t>p</w:t>
      </w:r>
      <w:r>
        <w:t>eakers out-of-service.</w:t>
      </w:r>
      <w:r w:rsidR="002660C7" w:rsidRPr="00B03680">
        <w:t xml:space="preserve"> To pass the transient voltage response criteria, the post-fault value must settle to at least 0.9 p.u. voltage </w:t>
      </w:r>
      <w:r w:rsidR="00411EF5">
        <w:t>five</w:t>
      </w:r>
      <w:r w:rsidR="002660C7" w:rsidRPr="00B03680">
        <w:t xml:space="preserve"> second</w:t>
      </w:r>
      <w:r>
        <w:t xml:space="preserve">s after the fault has cleared. </w:t>
      </w:r>
      <w:r w:rsidR="002660C7" w:rsidRPr="00B03680">
        <w:t xml:space="preserve">When the transient voltage response fails the stated criteria (as shown in </w:t>
      </w:r>
      <w:r w:rsidRPr="00B03680">
        <w:fldChar w:fldCharType="begin"/>
      </w:r>
      <w:r w:rsidRPr="00B03680">
        <w:instrText xml:space="preserve"> REF _Ref47510479 \h </w:instrText>
      </w:r>
      <w:r>
        <w:instrText xml:space="preserve"> \* MERGEFORMAT </w:instrText>
      </w:r>
      <w:r w:rsidRPr="00B03680">
        <w:fldChar w:fldCharType="separate"/>
      </w:r>
      <w:r w:rsidR="000E0897" w:rsidRPr="00B03680">
        <w:t xml:space="preserve">Figure </w:t>
      </w:r>
      <w:r w:rsidR="000E0897">
        <w:t>36</w:t>
      </w:r>
      <w:r w:rsidRPr="00B03680">
        <w:fldChar w:fldCharType="end"/>
      </w:r>
      <w:r w:rsidR="002660C7" w:rsidRPr="00B03680">
        <w:t xml:space="preserve">) this is referred to as </w:t>
      </w:r>
      <w:r w:rsidR="006F545A" w:rsidRPr="00B03680">
        <w:t>fault induced del</w:t>
      </w:r>
      <w:r w:rsidR="006F545A">
        <w:t xml:space="preserve">ayed voltage recovery </w:t>
      </w:r>
      <w:r>
        <w:t xml:space="preserve">(FIDVR). </w:t>
      </w:r>
      <w:r w:rsidR="002660C7" w:rsidRPr="00B03680">
        <w:t>FIDVR events are driven by end-use load behavior and load composition</w:t>
      </w:r>
      <w:r w:rsidR="008930A0">
        <w:t>, primarily the induction motor loads.    When an induction motor stalls, the m</w:t>
      </w:r>
      <w:r w:rsidR="002660C7" w:rsidRPr="00B03680">
        <w:t>otors draw</w:t>
      </w:r>
      <w:r w:rsidR="008930A0">
        <w:t>s</w:t>
      </w:r>
      <w:r w:rsidR="002660C7" w:rsidRPr="00B03680">
        <w:t xml:space="preserve"> excessive reactive power from the grid and require five </w:t>
      </w:r>
      <w:r w:rsidR="00FD5F24">
        <w:t>to</w:t>
      </w:r>
      <w:r w:rsidR="00FD5F24" w:rsidRPr="00B03680">
        <w:t xml:space="preserve"> </w:t>
      </w:r>
      <w:r w:rsidR="002660C7" w:rsidRPr="00B03680">
        <w:t>six times their typical steady-state running current in this locked-rotor condition</w:t>
      </w:r>
      <w:r>
        <w:rPr>
          <w:rStyle w:val="FootnoteReference"/>
        </w:rPr>
        <w:footnoteReference w:id="16"/>
      </w:r>
      <w:r>
        <w:t xml:space="preserve"> </w:t>
      </w:r>
      <w:r w:rsidR="002660C7" w:rsidRPr="00B03680">
        <w:t>which can eventually lead to a significant loss of g</w:t>
      </w:r>
      <w:r>
        <w:t>eneration and load.</w:t>
      </w:r>
    </w:p>
    <w:p w14:paraId="2329EF39" w14:textId="15F53E13" w:rsidR="002660C7" w:rsidRPr="00B03680" w:rsidRDefault="002660C7" w:rsidP="00B03680">
      <w:pPr>
        <w:pStyle w:val="Figure"/>
        <w:keepNext/>
        <w:keepLines/>
      </w:pPr>
      <w:bookmarkStart w:id="147" w:name="_Ref47510479"/>
      <w:bookmarkStart w:id="148" w:name="_Toc48251355"/>
      <w:r w:rsidRPr="00B03680">
        <w:lastRenderedPageBreak/>
        <w:t xml:space="preserve">Figure </w:t>
      </w:r>
      <w:r w:rsidR="00D517E4">
        <w:fldChar w:fldCharType="begin"/>
      </w:r>
      <w:r w:rsidR="00D517E4">
        <w:instrText xml:space="preserve"> SEQ Figure \* ARABIC </w:instrText>
      </w:r>
      <w:r w:rsidR="00D517E4">
        <w:fldChar w:fldCharType="separate"/>
      </w:r>
      <w:r w:rsidR="00F94268">
        <w:rPr>
          <w:noProof/>
        </w:rPr>
        <w:t>36</w:t>
      </w:r>
      <w:r w:rsidR="00D517E4">
        <w:rPr>
          <w:noProof/>
        </w:rPr>
        <w:fldChar w:fldCharType="end"/>
      </w:r>
      <w:bookmarkEnd w:id="147"/>
      <w:r w:rsidRPr="00B03680">
        <w:t>: New York City (NYC) 345 kV Bus Voltage Recovery</w:t>
      </w:r>
      <w:bookmarkEnd w:id="148"/>
    </w:p>
    <w:p w14:paraId="6480D776" w14:textId="6060DFCC" w:rsidR="002660C7" w:rsidRPr="002660C7" w:rsidRDefault="002660C7" w:rsidP="008F4438">
      <w:pPr>
        <w:pStyle w:val="BodyText"/>
        <w:jc w:val="center"/>
        <w:rPr>
          <w:color w:val="F79646" w:themeColor="accent6"/>
        </w:rPr>
      </w:pPr>
      <w:r>
        <w:rPr>
          <w:noProof/>
        </w:rPr>
        <w:drawing>
          <wp:inline distT="0" distB="0" distL="0" distR="0" wp14:anchorId="7F769229" wp14:editId="02D2352C">
            <wp:extent cx="5675421" cy="41148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5421" cy="4114800"/>
                    </a:xfrm>
                    <a:prstGeom prst="rect">
                      <a:avLst/>
                    </a:prstGeom>
                    <a:noFill/>
                  </pic:spPr>
                </pic:pic>
              </a:graphicData>
            </a:graphic>
          </wp:inline>
        </w:drawing>
      </w:r>
    </w:p>
    <w:p w14:paraId="1E737BEA" w14:textId="03E7E782" w:rsidR="00B03680" w:rsidRDefault="00B03680" w:rsidP="00B03680">
      <w:pPr>
        <w:pStyle w:val="BodyText"/>
      </w:pPr>
      <w:r>
        <w:t>During a fault</w:t>
      </w:r>
      <w:r w:rsidR="00CB147C">
        <w:t>,</w:t>
      </w:r>
      <w:r>
        <w:t xml:space="preserve"> the observed voltage drop at a bus depends on the location of the fault on the system </w:t>
      </w:r>
      <w:r w:rsidR="00CB147C">
        <w:t xml:space="preserve">relative </w:t>
      </w:r>
      <w:r>
        <w:t xml:space="preserve">to the bus and the amount of time the fault remains on the system before </w:t>
      </w:r>
      <w:r w:rsidR="00CB147C">
        <w:t xml:space="preserve">it is </w:t>
      </w:r>
      <w:r>
        <w:t>cleared by protective relaying actions. Following the clearing of a fault on the system by protection system actions, the bus voltage and generator rotor usually enter an oscillatory period. The generator excitation system controls the generator terminal voltage to improve and stabilize the voltages; however, depending on the severity of voltages and generator size, the voltages may or may not stabilize. Generator rotor swings after a fault are caused by the accumulation of energy (</w:t>
      </w:r>
      <w:r w:rsidRPr="009F516D">
        <w:rPr>
          <w:i/>
        </w:rPr>
        <w:t>i.e.</w:t>
      </w:r>
      <w:r>
        <w:t xml:space="preserve"> </w:t>
      </w:r>
      <w:r w:rsidR="00CB147C">
        <w:t xml:space="preserve">an </w:t>
      </w:r>
      <w:r>
        <w:t xml:space="preserve">imbalance between electrical power and mechanical power) during the fault. After the clearing of the fault, the generator rotor swings (or </w:t>
      </w:r>
      <w:r w:rsidR="006974D7">
        <w:t>oscillations</w:t>
      </w:r>
      <w:r>
        <w:t>) dissipate that accumulated energy over time. For a stable system response, these oscillations damps out over time to an accep</w:t>
      </w:r>
      <w:r w:rsidR="006974D7">
        <w:t>table post-fault value. For an u</w:t>
      </w:r>
      <w:r>
        <w:t xml:space="preserve">nstable system response, the system may observe unacceptable damping, system separation, cascading, </w:t>
      </w:r>
      <w:r w:rsidR="00CB147C">
        <w:t xml:space="preserve">and </w:t>
      </w:r>
      <w:r>
        <w:t>generating units losing synchronism with the system</w:t>
      </w:r>
      <w:r w:rsidR="005D5F5A">
        <w:t>.</w:t>
      </w:r>
      <w:r>
        <w:t xml:space="preserve"> </w:t>
      </w:r>
    </w:p>
    <w:p w14:paraId="40E766FA" w14:textId="040A3790" w:rsidR="00B03680" w:rsidRDefault="00B03680" w:rsidP="00B03680">
      <w:pPr>
        <w:pStyle w:val="BodyText"/>
      </w:pPr>
      <w:r>
        <w:t xml:space="preserve">As shown in </w:t>
      </w:r>
      <w:r>
        <w:fldChar w:fldCharType="begin"/>
      </w:r>
      <w:r>
        <w:instrText xml:space="preserve"> REF _Ref47510252 \h </w:instrText>
      </w:r>
      <w:r>
        <w:fldChar w:fldCharType="separate"/>
      </w:r>
      <w:r w:rsidR="000E0897" w:rsidRPr="00857106">
        <w:rPr>
          <w:color w:val="FF0000"/>
        </w:rPr>
        <w:t xml:space="preserve">Figure </w:t>
      </w:r>
      <w:r w:rsidR="000E0897">
        <w:rPr>
          <w:noProof/>
          <w:color w:val="FF0000"/>
        </w:rPr>
        <w:t>34</w:t>
      </w:r>
      <w:r>
        <w:fldChar w:fldCharType="end"/>
      </w:r>
      <w:r>
        <w:t xml:space="preserve"> and </w:t>
      </w:r>
      <w:r>
        <w:fldChar w:fldCharType="begin"/>
      </w:r>
      <w:r>
        <w:instrText xml:space="preserve"> REF _Ref47510260 \h </w:instrText>
      </w:r>
      <w:r>
        <w:fldChar w:fldCharType="separate"/>
      </w:r>
      <w:r w:rsidR="000E0897" w:rsidRPr="00857106">
        <w:rPr>
          <w:color w:val="FF0000"/>
        </w:rPr>
        <w:t xml:space="preserve">Figure </w:t>
      </w:r>
      <w:r w:rsidR="000E0897">
        <w:rPr>
          <w:noProof/>
          <w:color w:val="FF0000"/>
        </w:rPr>
        <w:t>35</w:t>
      </w:r>
      <w:r>
        <w:fldChar w:fldCharType="end"/>
      </w:r>
      <w:r w:rsidR="00CB147C">
        <w:t>,</w:t>
      </w:r>
      <w:r>
        <w:t xml:space="preserve"> several contingencies result in loss of generator synchronism with the transmission system. A primary driver to the loss of synchronism for these machines is the sustained low voltages following the clearing of the fault. Examples of low voltages as observed from the </w:t>
      </w:r>
      <w:r>
        <w:lastRenderedPageBreak/>
        <w:t xml:space="preserve">high-side of the generator step-up (GSU) transformer are shown in </w:t>
      </w:r>
      <w:r>
        <w:fldChar w:fldCharType="begin"/>
      </w:r>
      <w:r>
        <w:instrText xml:space="preserve"> REF _Ref47511050 \h </w:instrText>
      </w:r>
      <w:r>
        <w:fldChar w:fldCharType="separate"/>
      </w:r>
      <w:r w:rsidR="000E0897" w:rsidRPr="00B03680">
        <w:t xml:space="preserve">Figure </w:t>
      </w:r>
      <w:r w:rsidR="000E0897">
        <w:rPr>
          <w:noProof/>
        </w:rPr>
        <w:t>37</w:t>
      </w:r>
      <w:r>
        <w:fldChar w:fldCharType="end"/>
      </w:r>
      <w:r>
        <w:t xml:space="preserve"> in response to a contingency. As can be seen in </w:t>
      </w:r>
      <w:r>
        <w:fldChar w:fldCharType="begin"/>
      </w:r>
      <w:r>
        <w:instrText xml:space="preserve"> REF _Ref47511050 \h </w:instrText>
      </w:r>
      <w:r>
        <w:fldChar w:fldCharType="separate"/>
      </w:r>
      <w:r w:rsidR="000E0897" w:rsidRPr="00B03680">
        <w:t xml:space="preserve">Figure </w:t>
      </w:r>
      <w:r w:rsidR="000E0897">
        <w:rPr>
          <w:noProof/>
        </w:rPr>
        <w:t>37</w:t>
      </w:r>
      <w:r>
        <w:fldChar w:fldCharType="end"/>
      </w:r>
      <w:r w:rsidR="00857106">
        <w:t>,</w:t>
      </w:r>
      <w:r>
        <w:t xml:space="preserve"> the sustained low voltages are also observed at the high side of the GSU and remain in the NERC PRC-024 </w:t>
      </w:r>
      <w:r w:rsidR="00CB147C">
        <w:t>“</w:t>
      </w:r>
      <w:r>
        <w:t>may trip</w:t>
      </w:r>
      <w:r w:rsidR="00CB147C">
        <w:t>”</w:t>
      </w:r>
      <w:r>
        <w:t xml:space="preserve"> zone</w:t>
      </w:r>
      <w:r w:rsidR="00625C7C">
        <w:t xml:space="preserve">.  </w:t>
      </w:r>
      <w:r w:rsidR="00857106">
        <w:t>I</w:t>
      </w:r>
      <w:r>
        <w:t xml:space="preserve">n this example, due to the sustained low voltages an equilibrium point for the generators is not reached and the generators </w:t>
      </w:r>
      <w:r w:rsidR="00CB147C">
        <w:t>lose</w:t>
      </w:r>
      <w:r>
        <w:t xml:space="preserve"> </w:t>
      </w:r>
      <w:r w:rsidR="00F01A9F">
        <w:t>synchronism</w:t>
      </w:r>
      <w:r w:rsidR="00CB147C">
        <w:t xml:space="preserve"> with the system</w:t>
      </w:r>
      <w:r w:rsidR="00F01A9F">
        <w:t xml:space="preserve">. </w:t>
      </w:r>
      <w:r>
        <w:t xml:space="preserve">As shown in </w:t>
      </w:r>
      <w:r w:rsidR="00F01A9F">
        <w:fldChar w:fldCharType="begin"/>
      </w:r>
      <w:r w:rsidR="00F01A9F">
        <w:instrText xml:space="preserve"> REF _Ref47511099 \h </w:instrText>
      </w:r>
      <w:r w:rsidR="00F01A9F">
        <w:fldChar w:fldCharType="separate"/>
      </w:r>
      <w:r w:rsidR="000E0897" w:rsidRPr="00B03680">
        <w:t xml:space="preserve">Figure </w:t>
      </w:r>
      <w:r w:rsidR="000E0897">
        <w:rPr>
          <w:noProof/>
        </w:rPr>
        <w:t>38</w:t>
      </w:r>
      <w:r w:rsidR="00F01A9F">
        <w:fldChar w:fldCharType="end"/>
      </w:r>
      <w:r w:rsidR="00857106">
        <w:t>,</w:t>
      </w:r>
      <w:r w:rsidR="00F01A9F">
        <w:t xml:space="preserve"> </w:t>
      </w:r>
      <w:r>
        <w:t xml:space="preserve">Generator 1 </w:t>
      </w:r>
      <w:r w:rsidR="00CB147C">
        <w:t>loses</w:t>
      </w:r>
      <w:r>
        <w:t xml:space="preserve"> synchronism and trips off line at about 3.5 seconds and Generator 2 goes out of synchronism and trips off line at about 10 seconds.  The rotor angles plotted in </w:t>
      </w:r>
      <w:r w:rsidR="00F01A9F">
        <w:fldChar w:fldCharType="begin"/>
      </w:r>
      <w:r w:rsidR="00F01A9F">
        <w:instrText xml:space="preserve"> REF _Ref47511099 \h </w:instrText>
      </w:r>
      <w:r w:rsidR="00F01A9F">
        <w:fldChar w:fldCharType="separate"/>
      </w:r>
      <w:r w:rsidR="000E0897" w:rsidRPr="00B03680">
        <w:t xml:space="preserve">Figure </w:t>
      </w:r>
      <w:r w:rsidR="000E0897">
        <w:rPr>
          <w:noProof/>
        </w:rPr>
        <w:t>38</w:t>
      </w:r>
      <w:r w:rsidR="00F01A9F">
        <w:fldChar w:fldCharType="end"/>
      </w:r>
      <w:r>
        <w:t xml:space="preserve"> are relative to the system average rotor angle.</w:t>
      </w:r>
    </w:p>
    <w:p w14:paraId="5B15C198" w14:textId="6341228D" w:rsidR="00B03680" w:rsidRPr="00B03680" w:rsidRDefault="00B03680" w:rsidP="00B03680">
      <w:pPr>
        <w:pStyle w:val="Figure"/>
        <w:keepNext/>
        <w:keepLines/>
      </w:pPr>
      <w:bookmarkStart w:id="149" w:name="_Ref47511050"/>
      <w:bookmarkStart w:id="150" w:name="_Toc48251356"/>
      <w:r w:rsidRPr="00B03680">
        <w:t xml:space="preserve">Figure </w:t>
      </w:r>
      <w:r w:rsidR="00D517E4">
        <w:fldChar w:fldCharType="begin"/>
      </w:r>
      <w:r w:rsidR="00D517E4">
        <w:instrText xml:space="preserve"> SEQ Figure \* ARABIC </w:instrText>
      </w:r>
      <w:r w:rsidR="00D517E4">
        <w:fldChar w:fldCharType="separate"/>
      </w:r>
      <w:r w:rsidR="00F94268">
        <w:rPr>
          <w:noProof/>
        </w:rPr>
        <w:t>37</w:t>
      </w:r>
      <w:r w:rsidR="00D517E4">
        <w:rPr>
          <w:noProof/>
        </w:rPr>
        <w:fldChar w:fldCharType="end"/>
      </w:r>
      <w:bookmarkEnd w:id="149"/>
      <w:r w:rsidRPr="00B03680">
        <w:t xml:space="preserve">: </w:t>
      </w:r>
      <w:r>
        <w:t>High Side of GSU Voltage</w:t>
      </w:r>
      <w:bookmarkEnd w:id="150"/>
    </w:p>
    <w:p w14:paraId="68714A2E" w14:textId="011038EE" w:rsidR="00E45460" w:rsidRDefault="00B03680" w:rsidP="008F4438">
      <w:pPr>
        <w:pStyle w:val="BodyText"/>
        <w:jc w:val="center"/>
      </w:pPr>
      <w:r w:rsidRPr="00B03680">
        <w:rPr>
          <w:noProof/>
        </w:rPr>
        <w:drawing>
          <wp:inline distT="0" distB="0" distL="0" distR="0" wp14:anchorId="7F99F379" wp14:editId="501E72AD">
            <wp:extent cx="5675421" cy="411480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5421" cy="4114800"/>
                    </a:xfrm>
                    <a:prstGeom prst="rect">
                      <a:avLst/>
                    </a:prstGeom>
                    <a:noFill/>
                  </pic:spPr>
                </pic:pic>
              </a:graphicData>
            </a:graphic>
          </wp:inline>
        </w:drawing>
      </w:r>
    </w:p>
    <w:p w14:paraId="0A1159AB" w14:textId="4AB566A5" w:rsidR="00B03680" w:rsidRPr="00B03680" w:rsidRDefault="00B03680" w:rsidP="00B03680">
      <w:pPr>
        <w:pStyle w:val="Figure"/>
        <w:keepNext/>
        <w:keepLines/>
      </w:pPr>
      <w:bookmarkStart w:id="151" w:name="_Ref47511099"/>
      <w:bookmarkStart w:id="152" w:name="_Toc48251357"/>
      <w:r w:rsidRPr="00B03680">
        <w:lastRenderedPageBreak/>
        <w:t xml:space="preserve">Figure </w:t>
      </w:r>
      <w:r w:rsidR="00D517E4">
        <w:fldChar w:fldCharType="begin"/>
      </w:r>
      <w:r w:rsidR="00D517E4">
        <w:instrText xml:space="preserve"> SEQ Figure \* ARABIC </w:instrText>
      </w:r>
      <w:r w:rsidR="00D517E4">
        <w:fldChar w:fldCharType="separate"/>
      </w:r>
      <w:r w:rsidR="00F94268">
        <w:rPr>
          <w:noProof/>
        </w:rPr>
        <w:t>38</w:t>
      </w:r>
      <w:r w:rsidR="00D517E4">
        <w:rPr>
          <w:noProof/>
        </w:rPr>
        <w:fldChar w:fldCharType="end"/>
      </w:r>
      <w:bookmarkEnd w:id="151"/>
      <w:r w:rsidRPr="00B03680">
        <w:t xml:space="preserve">: </w:t>
      </w:r>
      <w:r>
        <w:t>Generator Synchronism</w:t>
      </w:r>
      <w:bookmarkEnd w:id="152"/>
    </w:p>
    <w:p w14:paraId="6664A108" w14:textId="0D8C92F3" w:rsidR="00B03680" w:rsidRPr="00EC745D" w:rsidRDefault="00B03680" w:rsidP="008F4438">
      <w:pPr>
        <w:pStyle w:val="BodyText"/>
        <w:jc w:val="center"/>
      </w:pPr>
      <w:r w:rsidRPr="00B03680">
        <w:rPr>
          <w:noProof/>
        </w:rPr>
        <w:drawing>
          <wp:inline distT="0" distB="0" distL="0" distR="0" wp14:anchorId="64EE3577" wp14:editId="2185F11F">
            <wp:extent cx="5795247"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5247" cy="4114800"/>
                    </a:xfrm>
                    <a:prstGeom prst="rect">
                      <a:avLst/>
                    </a:prstGeom>
                    <a:noFill/>
                  </pic:spPr>
                </pic:pic>
              </a:graphicData>
            </a:graphic>
          </wp:inline>
        </w:drawing>
      </w:r>
    </w:p>
    <w:p w14:paraId="71333762" w14:textId="77777777" w:rsidR="00857106" w:rsidRPr="00857106" w:rsidRDefault="00857106" w:rsidP="00857106">
      <w:pPr>
        <w:pStyle w:val="Heading4"/>
      </w:pPr>
      <w:r w:rsidRPr="00857106">
        <w:t>Stability Compensation</w:t>
      </w:r>
    </w:p>
    <w:p w14:paraId="54E08EEE" w14:textId="183DEA89" w:rsidR="00857106" w:rsidRDefault="00857106" w:rsidP="00857106">
      <w:pPr>
        <w:pStyle w:val="BodyText"/>
      </w:pPr>
      <w:r>
        <w:t>In the pre-fault (N-0) system condition, voltages are maintained with various static (</w:t>
      </w:r>
      <w:r w:rsidRPr="009F516D">
        <w:rPr>
          <w:i/>
        </w:rPr>
        <w:t>e.g.</w:t>
      </w:r>
      <w:r>
        <w:t xml:space="preserve"> fixed and switched shunt devices, transmission circuits) and dynamic (</w:t>
      </w:r>
      <w:r w:rsidRPr="009F516D">
        <w:rPr>
          <w:i/>
        </w:rPr>
        <w:t>e.g.</w:t>
      </w:r>
      <w:r>
        <w:t xml:space="preserve"> generators, FACTS devices, STATCOMS) reactive resources maintaining voltages within prescribed ranges. Manual adjustments to these devices occur as load and other system conditions change in order to maintain the required voltage level. </w:t>
      </w:r>
    </w:p>
    <w:p w14:paraId="45D822B1" w14:textId="1B0BC7CF" w:rsidR="00857106" w:rsidRDefault="00857106" w:rsidP="00857106">
      <w:pPr>
        <w:pStyle w:val="BodyText"/>
      </w:pPr>
      <w:r>
        <w:t xml:space="preserve">During the dynamic simulation timeframe, sufficient dynamic reactive resources to sustain transient voltage support during the natural swings of the system are crucial. Generally, the system response to these swings to maintain voltage comes from generator excitation system response, STATCOMs, </w:t>
      </w:r>
      <w:r w:rsidR="00CB147C">
        <w:t>Static Var Compensators (</w:t>
      </w:r>
      <w:r>
        <w:t>SVCs</w:t>
      </w:r>
      <w:r w:rsidR="00CB147C">
        <w:t>)</w:t>
      </w:r>
      <w:r>
        <w:t xml:space="preserve">, </w:t>
      </w:r>
      <w:r w:rsidR="00874A0C">
        <w:t>w</w:t>
      </w:r>
      <w:r>
        <w:t>ind</w:t>
      </w:r>
      <w:r w:rsidR="00874A0C">
        <w:t xml:space="preserve"> and s</w:t>
      </w:r>
      <w:r>
        <w:t>olar</w:t>
      </w:r>
      <w:r w:rsidR="00874A0C">
        <w:t xml:space="preserve"> plant</w:t>
      </w:r>
      <w:r>
        <w:t xml:space="preserve"> voltage controls, and other fast-acting resources.</w:t>
      </w:r>
      <w:r w:rsidRPr="00857106">
        <w:rPr>
          <w:rStyle w:val="FootnoteReference"/>
        </w:rPr>
        <w:t xml:space="preserve"> </w:t>
      </w:r>
      <w:r>
        <w:rPr>
          <w:rStyle w:val="FootnoteReference"/>
        </w:rPr>
        <w:footnoteReference w:id="17"/>
      </w:r>
      <w:r>
        <w:t xml:space="preserve"> While pre-contingency voltages can be maintained using static reactive resources, the dynamic system response timeframe focuses primarily on dynamic reactive capability due to the transient nature of large power and voltage swings and the short response time required.  </w:t>
      </w:r>
    </w:p>
    <w:p w14:paraId="0FB7BF2A" w14:textId="4B3C1534" w:rsidR="00857106" w:rsidRDefault="00857106" w:rsidP="00857106">
      <w:pPr>
        <w:pStyle w:val="BodyText"/>
        <w:rPr>
          <w:color w:val="FF0000"/>
        </w:rPr>
      </w:pPr>
      <w:r w:rsidRPr="00857106">
        <w:rPr>
          <w:color w:val="C0504D" w:themeColor="accent2"/>
        </w:rPr>
        <w:lastRenderedPageBreak/>
        <w:t>A</w:t>
      </w:r>
      <w:r w:rsidRPr="00857106">
        <w:rPr>
          <w:color w:val="FF0000"/>
        </w:rPr>
        <w:t>dd description of stability compensatory MVAR testing</w:t>
      </w:r>
      <w:r>
        <w:rPr>
          <w:color w:val="FF0000"/>
        </w:rPr>
        <w:t xml:space="preserve"> (Placeholder )</w:t>
      </w:r>
    </w:p>
    <w:p w14:paraId="5C20AD9B" w14:textId="2E5DACA8" w:rsidR="00857106" w:rsidRPr="00857106" w:rsidRDefault="00857106" w:rsidP="00857106">
      <w:pPr>
        <w:pStyle w:val="Figure"/>
        <w:keepNext/>
        <w:keepLines/>
        <w:rPr>
          <w:color w:val="FF0000"/>
        </w:rPr>
      </w:pPr>
      <w:bookmarkStart w:id="153" w:name="_Toc48251358"/>
      <w:r w:rsidRPr="00857106">
        <w:rPr>
          <w:color w:val="FF0000"/>
        </w:rPr>
        <w:t xml:space="preserve">Figure </w:t>
      </w:r>
      <w:r w:rsidRPr="00857106">
        <w:rPr>
          <w:color w:val="FF0000"/>
        </w:rPr>
        <w:fldChar w:fldCharType="begin"/>
      </w:r>
      <w:r w:rsidRPr="00857106">
        <w:rPr>
          <w:color w:val="FF0000"/>
        </w:rPr>
        <w:instrText xml:space="preserve"> SEQ Figure \* ARABIC </w:instrText>
      </w:r>
      <w:r w:rsidRPr="00857106">
        <w:rPr>
          <w:color w:val="FF0000"/>
        </w:rPr>
        <w:fldChar w:fldCharType="separate"/>
      </w:r>
      <w:r w:rsidR="00F94268">
        <w:rPr>
          <w:noProof/>
          <w:color w:val="FF0000"/>
        </w:rPr>
        <w:t>39</w:t>
      </w:r>
      <w:r w:rsidRPr="00857106">
        <w:rPr>
          <w:color w:val="FF0000"/>
        </w:rPr>
        <w:fldChar w:fldCharType="end"/>
      </w:r>
      <w:r w:rsidRPr="00857106">
        <w:rPr>
          <w:color w:val="FF0000"/>
        </w:rPr>
        <w:t>: Description of Dynamic MVA Added to System</w:t>
      </w:r>
      <w:r>
        <w:rPr>
          <w:color w:val="FF0000"/>
        </w:rPr>
        <w:t xml:space="preserve"> (Placeholder)</w:t>
      </w:r>
      <w:bookmarkEnd w:id="153"/>
    </w:p>
    <w:p w14:paraId="33E765A4" w14:textId="26E4E9AA" w:rsidR="00857106" w:rsidRPr="00857106" w:rsidRDefault="00857106" w:rsidP="00857106">
      <w:pPr>
        <w:pStyle w:val="Figure"/>
        <w:keepNext/>
        <w:keepLines/>
        <w:rPr>
          <w:color w:val="FF0000"/>
        </w:rPr>
      </w:pPr>
      <w:bookmarkStart w:id="154" w:name="_Toc48251359"/>
      <w:r w:rsidRPr="00857106">
        <w:rPr>
          <w:color w:val="FF0000"/>
        </w:rPr>
        <w:t xml:space="preserve">Figure </w:t>
      </w:r>
      <w:r w:rsidRPr="00857106">
        <w:rPr>
          <w:color w:val="FF0000"/>
        </w:rPr>
        <w:fldChar w:fldCharType="begin"/>
      </w:r>
      <w:r w:rsidRPr="00857106">
        <w:rPr>
          <w:color w:val="FF0000"/>
        </w:rPr>
        <w:instrText xml:space="preserve"> SEQ Figure \* ARABIC </w:instrText>
      </w:r>
      <w:r w:rsidRPr="00857106">
        <w:rPr>
          <w:color w:val="FF0000"/>
        </w:rPr>
        <w:fldChar w:fldCharType="separate"/>
      </w:r>
      <w:r w:rsidR="00F94268">
        <w:rPr>
          <w:noProof/>
          <w:color w:val="FF0000"/>
        </w:rPr>
        <w:t>40</w:t>
      </w:r>
      <w:r w:rsidRPr="00857106">
        <w:rPr>
          <w:color w:val="FF0000"/>
        </w:rPr>
        <w:fldChar w:fldCharType="end"/>
      </w:r>
      <w:r w:rsidRPr="00857106">
        <w:rPr>
          <w:color w:val="FF0000"/>
        </w:rPr>
        <w:t>: Description of Static and Dynamic MVA Added to System</w:t>
      </w:r>
      <w:r>
        <w:rPr>
          <w:color w:val="FF0000"/>
        </w:rPr>
        <w:t xml:space="preserve"> (Placeholder)</w:t>
      </w:r>
      <w:bookmarkEnd w:id="154"/>
    </w:p>
    <w:p w14:paraId="1D1334C7" w14:textId="77777777" w:rsidR="005E4C5B" w:rsidRPr="00243349" w:rsidRDefault="005E4C5B" w:rsidP="005E4C5B">
      <w:pPr>
        <w:pStyle w:val="Heading3"/>
      </w:pPr>
      <w:bookmarkStart w:id="155" w:name="_Toc46393094"/>
      <w:bookmarkStart w:id="156" w:name="_Toc48252298"/>
      <w:r w:rsidRPr="00243349">
        <w:t>Short Circuit Assessment</w:t>
      </w:r>
      <w:r>
        <w:t>s</w:t>
      </w:r>
      <w:bookmarkEnd w:id="155"/>
      <w:bookmarkEnd w:id="156"/>
      <w:r w:rsidRPr="00243349">
        <w:t xml:space="preserve"> </w:t>
      </w:r>
    </w:p>
    <w:p w14:paraId="699EC9B0" w14:textId="12BC5D80" w:rsidR="0037014F" w:rsidRDefault="005E4C5B" w:rsidP="005E4C5B">
      <w:pPr>
        <w:pStyle w:val="BodyText"/>
      </w:pPr>
      <w:r w:rsidRPr="00243349">
        <w:t>The required short circuit assessment in the RNA includes the calculation of symmetrical short circuit current to ascertain whether the circuit breakers at stations connecting the BPTF could be subject to fault current levels in excess of their rated interrupting capability. The analysis was performed for 202</w:t>
      </w:r>
      <w:r>
        <w:t>5</w:t>
      </w:r>
      <w:r w:rsidRPr="00243349">
        <w:t xml:space="preserve"> (year 5), reflecting the study conditions outlined in this “</w:t>
      </w:r>
      <w:r w:rsidRPr="00243349">
        <w:fldChar w:fldCharType="begin"/>
      </w:r>
      <w:r w:rsidRPr="00243349">
        <w:instrText xml:space="preserve"> REF _Ref506897374 \h  \* MERGEFORMAT </w:instrText>
      </w:r>
      <w:r w:rsidRPr="00243349">
        <w:fldChar w:fldCharType="separate"/>
      </w:r>
      <w:r w:rsidR="000E0897">
        <w:t xml:space="preserve">RNA Base </w:t>
      </w:r>
      <w:r w:rsidR="000E0897" w:rsidRPr="003571BA">
        <w:t>Case</w:t>
      </w:r>
      <w:r w:rsidR="000E0897">
        <w:t xml:space="preserve"> Assumptions, Drivers, and Methodology</w:t>
      </w:r>
      <w:r w:rsidRPr="00243349">
        <w:fldChar w:fldCharType="end"/>
      </w:r>
      <w:r w:rsidRPr="00243349">
        <w:t>” section. The calculated fault levels will not change significantly after year 5 in the Study Period as no new generation or transmission changes are modeled in the RNA, and the methodology for fault duty calculation is not sensitive to load growth. For this assessment no over-dutied circuit breakers were identified. The detailed results of the short circuit assessment are provided in Appendix D of this report.</w:t>
      </w:r>
    </w:p>
    <w:p w14:paraId="11313551" w14:textId="77777777" w:rsidR="005E4C5B" w:rsidRPr="005E4C5B" w:rsidRDefault="005E4C5B" w:rsidP="00885225">
      <w:pPr>
        <w:pStyle w:val="Heading3"/>
      </w:pPr>
      <w:bookmarkStart w:id="157" w:name="_Toc48252299"/>
      <w:r w:rsidRPr="005E4C5B">
        <w:t>Transmission Owner Local Criteria Violations</w:t>
      </w:r>
      <w:bookmarkEnd w:id="157"/>
    </w:p>
    <w:p w14:paraId="27D70D90" w14:textId="2A95B847" w:rsidR="005E4C5B" w:rsidRPr="006030CA" w:rsidRDefault="005E4C5B" w:rsidP="006030CA">
      <w:pPr>
        <w:pStyle w:val="BodyText"/>
      </w:pPr>
      <w:r w:rsidRPr="006030CA">
        <w:t>As described in the following sections, Con Edison and Central Hudson each identified transmission security issues in their service territory on their non-BPTF system.</w:t>
      </w:r>
      <w:r w:rsidR="00D31E91">
        <w:t xml:space="preserve">  The local non-BPTF </w:t>
      </w:r>
      <w:r w:rsidR="00874A0C">
        <w:t xml:space="preserve">criteria </w:t>
      </w:r>
      <w:r w:rsidR="00D31E91">
        <w:t>violations identified below are provided for information only, as the RNA identifies only BPTF Reliability Needs.</w:t>
      </w:r>
    </w:p>
    <w:p w14:paraId="00301C71" w14:textId="77777777" w:rsidR="005E4C5B" w:rsidRDefault="005E4C5B" w:rsidP="005E4C5B">
      <w:pPr>
        <w:pStyle w:val="Heading4"/>
      </w:pPr>
      <w:r>
        <w:t>Central Hudson Assessment</w:t>
      </w:r>
    </w:p>
    <w:p w14:paraId="50BFC755" w14:textId="24B93DAB" w:rsidR="005E4C5B" w:rsidRPr="006030CA" w:rsidRDefault="005E4C5B" w:rsidP="006030CA">
      <w:pPr>
        <w:pStyle w:val="BodyText"/>
      </w:pPr>
      <w:r w:rsidRPr="006030CA">
        <w:t>Central Hudson currently owns and operates two 25 MVA (nameplate) combustion turbines that are subject to the DEC Peaker Rule, namely the Coxsackie</w:t>
      </w:r>
      <w:r w:rsidR="006030CA" w:rsidRPr="006030CA">
        <w:t xml:space="preserve"> and South Cairo generators. </w:t>
      </w:r>
      <w:r w:rsidRPr="006030CA">
        <w:t>Both of these generators provide local substation reserve capacity for transformer outages and post-contingency voltage support for the Westerlo transmission loop.</w:t>
      </w:r>
      <w:r w:rsidR="006030CA" w:rsidRPr="006030CA">
        <w:t xml:space="preserve"> </w:t>
      </w:r>
      <w:r w:rsidRPr="006030CA">
        <w:t>Without these generators</w:t>
      </w:r>
      <w:r w:rsidR="00E44851">
        <w:t>,</w:t>
      </w:r>
      <w:r w:rsidRPr="006030CA">
        <w:t xml:space="preserve"> there is no reserve capability for local transformer outages and the Westerlo loop is voltage constrained.</w:t>
      </w:r>
      <w:r w:rsidR="006030CA" w:rsidRPr="006030CA">
        <w:t xml:space="preserve"> </w:t>
      </w:r>
      <w:r w:rsidRPr="006030CA">
        <w:t>These transmission security issues would begin in 2023 and continue through the study period.</w:t>
      </w:r>
    </w:p>
    <w:p w14:paraId="684EEF21" w14:textId="77777777" w:rsidR="005E4C5B" w:rsidRDefault="005E4C5B" w:rsidP="005E4C5B">
      <w:pPr>
        <w:pStyle w:val="Heading4"/>
      </w:pPr>
      <w:r>
        <w:t>Con Edison Assessment</w:t>
      </w:r>
    </w:p>
    <w:p w14:paraId="3738B8C1" w14:textId="535D22AD" w:rsidR="005E4C5B" w:rsidRDefault="005E4C5B" w:rsidP="006030CA">
      <w:pPr>
        <w:pStyle w:val="BodyText"/>
      </w:pPr>
      <w:r w:rsidRPr="006030CA">
        <w:t>The transmission security criteria violations observed in the Con Edison service territory are primarily due to deficiencies that are observed in the Astoria East/Corona 138 kV Transmission Load Area (TLA) and the G</w:t>
      </w:r>
      <w:r w:rsidR="006030CA" w:rsidRPr="006030CA">
        <w:t xml:space="preserve">reenwood/Fox Hills 138 kV TLA. </w:t>
      </w:r>
    </w:p>
    <w:p w14:paraId="089B88F0" w14:textId="77777777" w:rsidR="006030CA" w:rsidRPr="006030CA" w:rsidRDefault="006030CA" w:rsidP="006030CA">
      <w:pPr>
        <w:pStyle w:val="Heading4"/>
      </w:pPr>
      <w:bookmarkStart w:id="158" w:name="_Ref522109007"/>
      <w:r w:rsidRPr="006030CA">
        <w:t>Astoria East/Corona 138 kV TLA</w:t>
      </w:r>
    </w:p>
    <w:p w14:paraId="711478B1" w14:textId="099F1190" w:rsidR="00F317FB" w:rsidRDefault="00F317FB" w:rsidP="006030CA">
      <w:pPr>
        <w:pStyle w:val="BodyText"/>
      </w:pPr>
      <w:r>
        <w:fldChar w:fldCharType="begin"/>
      </w:r>
      <w:r>
        <w:instrText xml:space="preserve"> REF _Ref47511945 \h </w:instrText>
      </w:r>
      <w:r>
        <w:fldChar w:fldCharType="separate"/>
      </w:r>
      <w:r w:rsidR="000E0897" w:rsidRPr="00857106">
        <w:t xml:space="preserve">Figure </w:t>
      </w:r>
      <w:r w:rsidR="000E0897">
        <w:rPr>
          <w:noProof/>
        </w:rPr>
        <w:t>41</w:t>
      </w:r>
      <w:r>
        <w:fldChar w:fldCharType="end"/>
      </w:r>
      <w:r>
        <w:t xml:space="preserve"> </w:t>
      </w:r>
      <w:r w:rsidRPr="006030CA">
        <w:t xml:space="preserve">shows the high-level topology of the Astoria East/Corona 138 kV </w:t>
      </w:r>
      <w:r>
        <w:t xml:space="preserve">TLA. </w:t>
      </w:r>
      <w:r w:rsidRPr="006030CA">
        <w:t>The boundary feeders for this TLA include the feeders from the Hell Gate, Astoria Annex, Rainey, and Jamaica substations.</w:t>
      </w:r>
      <w:r>
        <w:t xml:space="preserve"> </w:t>
      </w:r>
    </w:p>
    <w:p w14:paraId="1422D6CD" w14:textId="7851C971" w:rsidR="00F317FB" w:rsidRDefault="00F317FB" w:rsidP="00F317FB">
      <w:pPr>
        <w:pStyle w:val="Figure"/>
        <w:keepNext/>
        <w:keepLines/>
      </w:pPr>
      <w:bookmarkStart w:id="159" w:name="_Ref47511945"/>
      <w:bookmarkStart w:id="160" w:name="_Toc48251360"/>
      <w:r w:rsidRPr="00857106">
        <w:lastRenderedPageBreak/>
        <w:t xml:space="preserve">Figure </w:t>
      </w:r>
      <w:r w:rsidR="00D517E4">
        <w:fldChar w:fldCharType="begin"/>
      </w:r>
      <w:r w:rsidR="00D517E4">
        <w:instrText xml:space="preserve"> SEQ Figure \* ARABIC </w:instrText>
      </w:r>
      <w:r w:rsidR="00D517E4">
        <w:fldChar w:fldCharType="separate"/>
      </w:r>
      <w:r w:rsidR="00F94268">
        <w:rPr>
          <w:noProof/>
        </w:rPr>
        <w:t>41</w:t>
      </w:r>
      <w:r w:rsidR="00D517E4">
        <w:rPr>
          <w:noProof/>
        </w:rPr>
        <w:fldChar w:fldCharType="end"/>
      </w:r>
      <w:bookmarkEnd w:id="159"/>
      <w:r w:rsidRPr="00857106">
        <w:t xml:space="preserve">: </w:t>
      </w:r>
      <w:r>
        <w:t>Astoria East/ Corona 138 kV TLA</w:t>
      </w:r>
      <w:bookmarkEnd w:id="160"/>
    </w:p>
    <w:p w14:paraId="01585D7A" w14:textId="4A76C808" w:rsidR="00F317FB" w:rsidRDefault="00F317FB" w:rsidP="008F4438">
      <w:pPr>
        <w:pStyle w:val="BodyText"/>
        <w:jc w:val="center"/>
      </w:pPr>
      <w:r w:rsidRPr="00F317FB">
        <w:rPr>
          <w:noProof/>
        </w:rPr>
        <w:drawing>
          <wp:inline distT="0" distB="0" distL="0" distR="0" wp14:anchorId="49E4ADC7" wp14:editId="6FB67A50">
            <wp:extent cx="6400800" cy="2134235"/>
            <wp:effectExtent l="0" t="0" r="0" b="0"/>
            <wp:docPr id="15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2134235"/>
                    </a:xfrm>
                    <a:prstGeom prst="rect">
                      <a:avLst/>
                    </a:prstGeom>
                    <a:noFill/>
                    <a:ln>
                      <a:noFill/>
                    </a:ln>
                    <a:effectLst/>
                    <a:extLst/>
                  </pic:spPr>
                </pic:pic>
              </a:graphicData>
            </a:graphic>
          </wp:inline>
        </w:drawing>
      </w:r>
    </w:p>
    <w:p w14:paraId="51E10BD8" w14:textId="726BE20D" w:rsidR="006030CA" w:rsidRPr="006030CA" w:rsidRDefault="006030CA" w:rsidP="006030CA">
      <w:pPr>
        <w:pStyle w:val="BodyText"/>
      </w:pPr>
      <w:r w:rsidRPr="006030CA">
        <w:t xml:space="preserve">In 2023, thermal overloads are observed on the Astoria East/Corona 138 kV TLA boundary feeders, which are designed to a second contingency (N-1-1-0) based on the applicable Con Edison local design criteria.  </w:t>
      </w:r>
    </w:p>
    <w:p w14:paraId="41904133" w14:textId="49AE2B93" w:rsidR="006030CA" w:rsidRDefault="006030CA" w:rsidP="006030CA">
      <w:pPr>
        <w:pStyle w:val="BodyText"/>
      </w:pPr>
      <w:r w:rsidRPr="006030CA">
        <w:t>Considering the utilization of all available phase angle regulator (PAR) controls, the maximum observed deficiency (</w:t>
      </w:r>
      <w:r w:rsidRPr="009F516D">
        <w:rPr>
          <w:i/>
        </w:rPr>
        <w:t>i.e.,</w:t>
      </w:r>
      <w:r w:rsidRPr="006030CA">
        <w:t xml:space="preserve"> compensatory MW) within this TLA </w:t>
      </w:r>
      <w:r w:rsidR="00E44851">
        <w:t>ranges</w:t>
      </w:r>
      <w:r w:rsidR="00E44851" w:rsidRPr="006030CA">
        <w:t xml:space="preserve"> </w:t>
      </w:r>
      <w:r w:rsidRPr="006030CA">
        <w:t>from 110 MW in 2023 to 180 MW in 2030 as shown in</w:t>
      </w:r>
      <w:r w:rsidR="00060265">
        <w:t xml:space="preserve"> </w:t>
      </w:r>
      <w:r w:rsidR="00060265">
        <w:fldChar w:fldCharType="begin"/>
      </w:r>
      <w:r w:rsidR="00060265">
        <w:instrText xml:space="preserve"> REF _Ref47512481 \h </w:instrText>
      </w:r>
      <w:r w:rsidR="00060265">
        <w:fldChar w:fldCharType="separate"/>
      </w:r>
      <w:r w:rsidR="000E0897" w:rsidRPr="00857106">
        <w:t xml:space="preserve">Figure </w:t>
      </w:r>
      <w:r w:rsidR="000E0897">
        <w:rPr>
          <w:noProof/>
        </w:rPr>
        <w:t>42</w:t>
      </w:r>
      <w:r w:rsidR="00060265">
        <w:fldChar w:fldCharType="end"/>
      </w:r>
      <w:r w:rsidRPr="006030CA">
        <w:t>.</w:t>
      </w:r>
      <w:r w:rsidR="00060265">
        <w:t xml:space="preserve"> </w:t>
      </w:r>
      <w:r w:rsidRPr="006030CA">
        <w:t>As shown in</w:t>
      </w:r>
      <w:r w:rsidR="00060265">
        <w:t xml:space="preserve"> </w:t>
      </w:r>
      <w:r w:rsidR="00060265">
        <w:fldChar w:fldCharType="begin"/>
      </w:r>
      <w:r w:rsidR="00060265">
        <w:instrText xml:space="preserve"> REF _Ref47512510 \h </w:instrText>
      </w:r>
      <w:r w:rsidR="00060265">
        <w:fldChar w:fldCharType="separate"/>
      </w:r>
      <w:r w:rsidR="000E0897" w:rsidRPr="00857106">
        <w:t xml:space="preserve">Figure </w:t>
      </w:r>
      <w:r w:rsidR="000E0897">
        <w:rPr>
          <w:noProof/>
        </w:rPr>
        <w:t>43</w:t>
      </w:r>
      <w:r w:rsidR="00060265">
        <w:fldChar w:fldCharType="end"/>
      </w:r>
      <w:r w:rsidR="00060265">
        <w:t xml:space="preserve"> and </w:t>
      </w:r>
      <w:r w:rsidR="00060265">
        <w:fldChar w:fldCharType="begin"/>
      </w:r>
      <w:r w:rsidR="00060265">
        <w:instrText xml:space="preserve"> REF _Ref47512513 \h </w:instrText>
      </w:r>
      <w:r w:rsidR="00060265">
        <w:fldChar w:fldCharType="separate"/>
      </w:r>
      <w:r w:rsidR="000E0897" w:rsidRPr="00857106">
        <w:t xml:space="preserve">Figure </w:t>
      </w:r>
      <w:r w:rsidR="000E0897">
        <w:rPr>
          <w:noProof/>
        </w:rPr>
        <w:t>44</w:t>
      </w:r>
      <w:r w:rsidR="00060265">
        <w:fldChar w:fldCharType="end"/>
      </w:r>
      <w:r w:rsidRPr="006030CA">
        <w:t>, the Astoria East/Corona 138 kV TLA does not peak wi</w:t>
      </w:r>
      <w:r w:rsidR="00060265">
        <w:t xml:space="preserve">th the coincident system peak. </w:t>
      </w:r>
      <w:r w:rsidRPr="006030CA">
        <w:t xml:space="preserve">Based on the load duration curves shown in </w:t>
      </w:r>
      <w:r w:rsidR="00060265">
        <w:fldChar w:fldCharType="begin"/>
      </w:r>
      <w:r w:rsidR="00060265">
        <w:instrText xml:space="preserve"> REF _Ref47512510 \h </w:instrText>
      </w:r>
      <w:r w:rsidR="00060265">
        <w:fldChar w:fldCharType="separate"/>
      </w:r>
      <w:r w:rsidR="000E0897" w:rsidRPr="00857106">
        <w:t xml:space="preserve">Figure </w:t>
      </w:r>
      <w:r w:rsidR="000E0897">
        <w:rPr>
          <w:noProof/>
        </w:rPr>
        <w:t>43</w:t>
      </w:r>
      <w:r w:rsidR="00060265">
        <w:fldChar w:fldCharType="end"/>
      </w:r>
      <w:r w:rsidR="00060265">
        <w:t xml:space="preserve"> and </w:t>
      </w:r>
      <w:r w:rsidR="00060265">
        <w:fldChar w:fldCharType="begin"/>
      </w:r>
      <w:r w:rsidR="00060265">
        <w:instrText xml:space="preserve"> REF _Ref47512513 \h </w:instrText>
      </w:r>
      <w:r w:rsidR="00060265">
        <w:fldChar w:fldCharType="separate"/>
      </w:r>
      <w:r w:rsidR="000E0897" w:rsidRPr="00857106">
        <w:t xml:space="preserve">Figure </w:t>
      </w:r>
      <w:r w:rsidR="000E0897">
        <w:rPr>
          <w:noProof/>
        </w:rPr>
        <w:t>44</w:t>
      </w:r>
      <w:r w:rsidR="00060265">
        <w:fldChar w:fldCharType="end"/>
      </w:r>
      <w:r w:rsidRPr="006030CA">
        <w:t xml:space="preserve">, the TLA may be deficient </w:t>
      </w:r>
      <w:r w:rsidR="00A93C47">
        <w:t>over 10 hours (6</w:t>
      </w:r>
      <w:r w:rsidRPr="006030CA">
        <w:t>59 MWh</w:t>
      </w:r>
      <w:r w:rsidR="00A93C47">
        <w:t>)</w:t>
      </w:r>
      <w:r w:rsidR="00E44851">
        <w:t xml:space="preserve"> </w:t>
      </w:r>
      <w:r w:rsidRPr="006030CA">
        <w:t xml:space="preserve">on a </w:t>
      </w:r>
      <w:r w:rsidR="00A93C47">
        <w:t>peak</w:t>
      </w:r>
      <w:r w:rsidR="00A93C47" w:rsidRPr="006030CA">
        <w:t xml:space="preserve"> </w:t>
      </w:r>
      <w:r w:rsidRPr="006030CA">
        <w:t>day in 2023</w:t>
      </w:r>
      <w:r w:rsidR="00E44851">
        <w:t>, increasing</w:t>
      </w:r>
      <w:r w:rsidRPr="006030CA">
        <w:t xml:space="preserve"> to </w:t>
      </w:r>
      <w:r w:rsidR="00A93C47">
        <w:t>13 hours (</w:t>
      </w:r>
      <w:r w:rsidRPr="006030CA">
        <w:t>1,461 MWh</w:t>
      </w:r>
      <w:r w:rsidR="00A93C47">
        <w:t>)</w:t>
      </w:r>
      <w:r w:rsidRPr="006030CA">
        <w:t xml:space="preserve"> on a </w:t>
      </w:r>
      <w:r w:rsidR="00A93C47">
        <w:t>peak</w:t>
      </w:r>
      <w:r w:rsidR="00A93C47" w:rsidRPr="006030CA">
        <w:t xml:space="preserve"> </w:t>
      </w:r>
      <w:r w:rsidRPr="006030CA">
        <w:t>day</w:t>
      </w:r>
      <w:r w:rsidR="00E44851">
        <w:t xml:space="preserve"> in 2030</w:t>
      </w:r>
      <w:r w:rsidR="00A93C47">
        <w:t>.</w:t>
      </w:r>
    </w:p>
    <w:p w14:paraId="3019762C" w14:textId="319E25D5" w:rsidR="006772E4" w:rsidRDefault="006772E4" w:rsidP="00060265">
      <w:pPr>
        <w:pStyle w:val="Figure"/>
        <w:keepNext/>
        <w:keepLines/>
      </w:pPr>
      <w:bookmarkStart w:id="161" w:name="_Ref47512481"/>
      <w:bookmarkStart w:id="162" w:name="_Toc48251361"/>
      <w:r w:rsidRPr="00857106">
        <w:t xml:space="preserve">Figure </w:t>
      </w:r>
      <w:r w:rsidR="00D517E4">
        <w:fldChar w:fldCharType="begin"/>
      </w:r>
      <w:r w:rsidR="00D517E4">
        <w:instrText xml:space="preserve"> SEQ Figure \* ARABIC </w:instrText>
      </w:r>
      <w:r w:rsidR="00D517E4">
        <w:fldChar w:fldCharType="separate"/>
      </w:r>
      <w:r w:rsidR="00F94268">
        <w:rPr>
          <w:noProof/>
        </w:rPr>
        <w:t>42</w:t>
      </w:r>
      <w:r w:rsidR="00D517E4">
        <w:rPr>
          <w:noProof/>
        </w:rPr>
        <w:fldChar w:fldCharType="end"/>
      </w:r>
      <w:bookmarkEnd w:id="161"/>
      <w:r w:rsidRPr="00857106">
        <w:t xml:space="preserve">: </w:t>
      </w:r>
      <w:r>
        <w:t>Astoria East/ Corona 138 kV TLA Deficiency</w:t>
      </w:r>
      <w:bookmarkEnd w:id="162"/>
    </w:p>
    <w:p w14:paraId="0D94D80A" w14:textId="0663A5A7" w:rsidR="006030CA" w:rsidRDefault="006772E4" w:rsidP="008F4438">
      <w:pPr>
        <w:pStyle w:val="BodyText"/>
        <w:jc w:val="center"/>
      </w:pPr>
      <w:r w:rsidRPr="006772E4">
        <w:rPr>
          <w:noProof/>
        </w:rPr>
        <w:drawing>
          <wp:inline distT="0" distB="0" distL="0" distR="0" wp14:anchorId="3A7854E5" wp14:editId="7F5F6138">
            <wp:extent cx="6333067" cy="518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a:extLst>
                        <a:ext uri="{28A0092B-C50C-407E-A947-70E740481C1C}">
                          <a14:useLocalDpi xmlns:a14="http://schemas.microsoft.com/office/drawing/2010/main" val="0"/>
                        </a:ext>
                      </a:extLst>
                    </a:blip>
                    <a:srcRect r="49387" b="35714"/>
                    <a:stretch/>
                  </pic:blipFill>
                  <pic:spPr bwMode="auto">
                    <a:xfrm>
                      <a:off x="0" y="0"/>
                      <a:ext cx="6339355" cy="518674"/>
                    </a:xfrm>
                    <a:prstGeom prst="rect">
                      <a:avLst/>
                    </a:prstGeom>
                    <a:noFill/>
                    <a:ln>
                      <a:noFill/>
                    </a:ln>
                    <a:extLst>
                      <a:ext uri="{53640926-AAD7-44D8-BBD7-CCE9431645EC}">
                        <a14:shadowObscured xmlns:a14="http://schemas.microsoft.com/office/drawing/2010/main"/>
                      </a:ext>
                    </a:extLst>
                  </pic:spPr>
                </pic:pic>
              </a:graphicData>
            </a:graphic>
          </wp:inline>
        </w:drawing>
      </w:r>
    </w:p>
    <w:p w14:paraId="1AE233F9" w14:textId="794BBE90" w:rsidR="00060265" w:rsidRDefault="00060265" w:rsidP="00060265">
      <w:pPr>
        <w:pStyle w:val="Figure"/>
        <w:keepNext/>
        <w:keepLines/>
      </w:pPr>
      <w:bookmarkStart w:id="163" w:name="_Ref47512510"/>
      <w:bookmarkStart w:id="164" w:name="_Toc48251362"/>
      <w:r w:rsidRPr="00857106">
        <w:lastRenderedPageBreak/>
        <w:t xml:space="preserve">Figure </w:t>
      </w:r>
      <w:r w:rsidR="00D517E4">
        <w:fldChar w:fldCharType="begin"/>
      </w:r>
      <w:r w:rsidR="00D517E4">
        <w:instrText xml:space="preserve"> SEQ Figure \* ARABIC </w:instrText>
      </w:r>
      <w:r w:rsidR="00D517E4">
        <w:fldChar w:fldCharType="separate"/>
      </w:r>
      <w:r w:rsidR="00F94268">
        <w:rPr>
          <w:noProof/>
        </w:rPr>
        <w:t>43</w:t>
      </w:r>
      <w:r w:rsidR="00D517E4">
        <w:rPr>
          <w:noProof/>
        </w:rPr>
        <w:fldChar w:fldCharType="end"/>
      </w:r>
      <w:bookmarkEnd w:id="163"/>
      <w:r w:rsidRPr="00857106">
        <w:t xml:space="preserve">: </w:t>
      </w:r>
      <w:r>
        <w:t>Astoria East/Corona 138 kV Load Duration Curve for 2023</w:t>
      </w:r>
      <w:bookmarkEnd w:id="164"/>
    </w:p>
    <w:p w14:paraId="441318D6" w14:textId="2E90E3C3" w:rsidR="00060265" w:rsidRDefault="00060265" w:rsidP="008F4438">
      <w:pPr>
        <w:pStyle w:val="BodyText"/>
        <w:jc w:val="center"/>
      </w:pPr>
      <w:r w:rsidRPr="00AA24BA">
        <w:rPr>
          <w:noProof/>
        </w:rPr>
        <w:drawing>
          <wp:inline distT="0" distB="0" distL="0" distR="0" wp14:anchorId="077E7F6B" wp14:editId="041C60BE">
            <wp:extent cx="5860828" cy="3192780"/>
            <wp:effectExtent l="0" t="0" r="6985" b="7620"/>
            <wp:docPr id="55" name="Picture 13">
              <a:extLst xmlns:a="http://schemas.openxmlformats.org/drawingml/2006/main">
                <a:ext uri="{FF2B5EF4-FFF2-40B4-BE49-F238E27FC236}">
                  <a16:creationId xmlns:a16="http://schemas.microsoft.com/office/drawing/2014/main" id="{134A8D95-4882-45B5-8176-63F4FB460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34A8D95-4882-45B5-8176-63F4FB460D89}"/>
                        </a:ext>
                      </a:extLst>
                    </pic:cNvPr>
                    <pic:cNvPicPr>
                      <a:picLocks noChangeAspect="1"/>
                    </pic:cNvPicPr>
                  </pic:nvPicPr>
                  <pic:blipFill>
                    <a:blip r:embed="rId60"/>
                    <a:stretch>
                      <a:fillRect/>
                    </a:stretch>
                  </pic:blipFill>
                  <pic:spPr>
                    <a:xfrm>
                      <a:off x="0" y="0"/>
                      <a:ext cx="5868086" cy="3196734"/>
                    </a:xfrm>
                    <a:prstGeom prst="rect">
                      <a:avLst/>
                    </a:prstGeom>
                  </pic:spPr>
                </pic:pic>
              </a:graphicData>
            </a:graphic>
          </wp:inline>
        </w:drawing>
      </w:r>
    </w:p>
    <w:p w14:paraId="772EB2AE" w14:textId="71FA51E9" w:rsidR="00060265" w:rsidRDefault="00060265" w:rsidP="00060265">
      <w:pPr>
        <w:pStyle w:val="Figure"/>
        <w:keepNext/>
        <w:keepLines/>
      </w:pPr>
      <w:bookmarkStart w:id="165" w:name="_Ref47512513"/>
      <w:bookmarkStart w:id="166" w:name="_Toc48251363"/>
      <w:r w:rsidRPr="00857106">
        <w:t xml:space="preserve">Figure </w:t>
      </w:r>
      <w:r w:rsidR="00D517E4">
        <w:fldChar w:fldCharType="begin"/>
      </w:r>
      <w:r w:rsidR="00D517E4">
        <w:instrText xml:space="preserve"> SEQ Figure \* ARABIC </w:instrText>
      </w:r>
      <w:r w:rsidR="00D517E4">
        <w:fldChar w:fldCharType="separate"/>
      </w:r>
      <w:r w:rsidR="00F94268">
        <w:rPr>
          <w:noProof/>
        </w:rPr>
        <w:t>44</w:t>
      </w:r>
      <w:r w:rsidR="00D517E4">
        <w:rPr>
          <w:noProof/>
        </w:rPr>
        <w:fldChar w:fldCharType="end"/>
      </w:r>
      <w:bookmarkEnd w:id="165"/>
      <w:r w:rsidRPr="00857106">
        <w:t xml:space="preserve">: </w:t>
      </w:r>
      <w:r>
        <w:t>Astoria East/Corona 138 kV Load Duration Curve for 2030</w:t>
      </w:r>
      <w:bookmarkEnd w:id="166"/>
    </w:p>
    <w:p w14:paraId="5DFEEADA" w14:textId="18C63B0E" w:rsidR="006030CA" w:rsidRDefault="00060265" w:rsidP="008F4438">
      <w:pPr>
        <w:pStyle w:val="BodyText"/>
        <w:jc w:val="center"/>
      </w:pPr>
      <w:r>
        <w:rPr>
          <w:noProof/>
        </w:rPr>
        <w:drawing>
          <wp:inline distT="0" distB="0" distL="0" distR="0" wp14:anchorId="07D439D8" wp14:editId="2650ABA4">
            <wp:extent cx="5775960" cy="3146548"/>
            <wp:effectExtent l="0" t="0" r="0" b="0"/>
            <wp:docPr id="56" name="Picture 14">
              <a:extLst xmlns:a="http://schemas.openxmlformats.org/drawingml/2006/main">
                <a:ext uri="{FF2B5EF4-FFF2-40B4-BE49-F238E27FC236}">
                  <a16:creationId xmlns:a16="http://schemas.microsoft.com/office/drawing/2014/main" id="{636CC43D-0C28-4132-AD4B-E00E0233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36CC43D-0C28-4132-AD4B-E00E023326ED}"/>
                        </a:ext>
                      </a:extLst>
                    </pic:cNvPr>
                    <pic:cNvPicPr>
                      <a:picLocks noChangeAspect="1"/>
                    </pic:cNvPicPr>
                  </pic:nvPicPr>
                  <pic:blipFill>
                    <a:blip r:embed="rId61"/>
                    <a:stretch>
                      <a:fillRect/>
                    </a:stretch>
                  </pic:blipFill>
                  <pic:spPr>
                    <a:xfrm>
                      <a:off x="0" y="0"/>
                      <a:ext cx="5781555" cy="3149596"/>
                    </a:xfrm>
                    <a:prstGeom prst="rect">
                      <a:avLst/>
                    </a:prstGeom>
                  </pic:spPr>
                </pic:pic>
              </a:graphicData>
            </a:graphic>
          </wp:inline>
        </w:drawing>
      </w:r>
    </w:p>
    <w:p w14:paraId="73F86BF0" w14:textId="288D3FBC" w:rsidR="00060265" w:rsidRDefault="00060265" w:rsidP="00060265">
      <w:pPr>
        <w:pStyle w:val="Heading4"/>
      </w:pPr>
      <w:r>
        <w:t>Greenwood/Fox Hills 138 kV TLA</w:t>
      </w:r>
    </w:p>
    <w:p w14:paraId="5265A77E" w14:textId="4D99D6DA" w:rsidR="00F317FB" w:rsidRDefault="00F317FB" w:rsidP="00F317FB">
      <w:pPr>
        <w:pStyle w:val="BodyText"/>
      </w:pPr>
      <w:r>
        <w:fldChar w:fldCharType="begin"/>
      </w:r>
      <w:r>
        <w:instrText xml:space="preserve"> REF _Ref47511956 \h </w:instrText>
      </w:r>
      <w:r>
        <w:fldChar w:fldCharType="separate"/>
      </w:r>
      <w:r w:rsidR="000E0897" w:rsidRPr="00857106">
        <w:t xml:space="preserve">Figure </w:t>
      </w:r>
      <w:r w:rsidR="000E0897">
        <w:rPr>
          <w:noProof/>
        </w:rPr>
        <w:t>45</w:t>
      </w:r>
      <w:r>
        <w:fldChar w:fldCharType="end"/>
      </w:r>
      <w:r>
        <w:t xml:space="preserve"> </w:t>
      </w:r>
      <w:r w:rsidRPr="006030CA">
        <w:t>shows the high-level topology of the G</w:t>
      </w:r>
      <w:r>
        <w:t xml:space="preserve">reenwood/Fox Hills 138 kV TLA. </w:t>
      </w:r>
      <w:r w:rsidRPr="006030CA">
        <w:t>The boundary feeders for this TLA include the feeders from the Vernon, Gowanus, and Fresh Kills substations.</w:t>
      </w:r>
    </w:p>
    <w:p w14:paraId="3413F8E6" w14:textId="2926514D" w:rsidR="00F317FB" w:rsidRDefault="00F317FB" w:rsidP="00F317FB">
      <w:pPr>
        <w:pStyle w:val="Figure"/>
        <w:keepNext/>
        <w:keepLines/>
      </w:pPr>
      <w:bookmarkStart w:id="167" w:name="_Ref47511956"/>
      <w:bookmarkStart w:id="168" w:name="_Toc48251364"/>
      <w:r w:rsidRPr="00857106">
        <w:lastRenderedPageBreak/>
        <w:t xml:space="preserve">Figure </w:t>
      </w:r>
      <w:r w:rsidR="00D517E4">
        <w:fldChar w:fldCharType="begin"/>
      </w:r>
      <w:r w:rsidR="00D517E4">
        <w:instrText xml:space="preserve"> SEQ Figure \* ARABIC </w:instrText>
      </w:r>
      <w:r w:rsidR="00D517E4">
        <w:fldChar w:fldCharType="separate"/>
      </w:r>
      <w:r w:rsidR="00F94268">
        <w:rPr>
          <w:noProof/>
        </w:rPr>
        <w:t>45</w:t>
      </w:r>
      <w:r w:rsidR="00D517E4">
        <w:rPr>
          <w:noProof/>
        </w:rPr>
        <w:fldChar w:fldCharType="end"/>
      </w:r>
      <w:bookmarkEnd w:id="167"/>
      <w:r w:rsidRPr="00857106">
        <w:t xml:space="preserve">: </w:t>
      </w:r>
      <w:r>
        <w:t>Greenwood/ Fox Hills 138 kV TLA</w:t>
      </w:r>
      <w:bookmarkEnd w:id="168"/>
    </w:p>
    <w:p w14:paraId="435D5857" w14:textId="79AC7908" w:rsidR="00F317FB" w:rsidRDefault="00F317FB" w:rsidP="008F4438">
      <w:pPr>
        <w:pStyle w:val="BodyText"/>
        <w:jc w:val="center"/>
      </w:pPr>
      <w:r>
        <w:rPr>
          <w:noProof/>
        </w:rPr>
        <w:drawing>
          <wp:inline distT="0" distB="0" distL="0" distR="0" wp14:anchorId="68AC1D2B" wp14:editId="2DE7DECD">
            <wp:extent cx="3282696" cy="3995928"/>
            <wp:effectExtent l="0" t="0" r="0" b="0"/>
            <wp:docPr id="16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2696" cy="3995928"/>
                    </a:xfrm>
                    <a:prstGeom prst="rect">
                      <a:avLst/>
                    </a:prstGeom>
                    <a:noFill/>
                    <a:ln>
                      <a:noFill/>
                    </a:ln>
                    <a:effectLst/>
                    <a:extLst/>
                  </pic:spPr>
                </pic:pic>
              </a:graphicData>
            </a:graphic>
          </wp:inline>
        </w:drawing>
      </w:r>
    </w:p>
    <w:p w14:paraId="1C51CD8D" w14:textId="205FD449" w:rsidR="00060265" w:rsidRPr="00060265" w:rsidRDefault="00060265" w:rsidP="00060265">
      <w:pPr>
        <w:pStyle w:val="BodyText"/>
      </w:pPr>
      <w:r w:rsidRPr="00060265">
        <w:t>In 2025, thermal overloads and voltage violations are observed on the Greenwood/Fox Hills 138 kV TLA boundary feeders in the steady state (N-0) condition</w:t>
      </w:r>
      <w:r w:rsidR="00E44851">
        <w:t>,</w:t>
      </w:r>
      <w:r w:rsidRPr="00060265">
        <w:t xml:space="preserve"> which are exacerbated u</w:t>
      </w:r>
      <w:r>
        <w:t xml:space="preserve">nder N-1 and N-1-1 conditions. </w:t>
      </w:r>
    </w:p>
    <w:p w14:paraId="0C2430E2" w14:textId="16083A02" w:rsidR="00060265" w:rsidRDefault="00060265" w:rsidP="00060265">
      <w:pPr>
        <w:pStyle w:val="BodyText"/>
      </w:pPr>
      <w:r w:rsidRPr="00060265">
        <w:t>Considering the utilization of all available PAR controls, the maximum observed deficiency (</w:t>
      </w:r>
      <w:r w:rsidRPr="009F516D">
        <w:rPr>
          <w:i/>
        </w:rPr>
        <w:t xml:space="preserve">i.e., </w:t>
      </w:r>
      <w:r w:rsidRPr="00060265">
        <w:t>compensatory MW) within this TLA of 360 MW in 2025 to 370 MW in 2030 as shown in</w:t>
      </w:r>
      <w:r w:rsidR="00773D91">
        <w:t xml:space="preserve"> </w:t>
      </w:r>
      <w:r w:rsidR="00773D91">
        <w:fldChar w:fldCharType="begin"/>
      </w:r>
      <w:r w:rsidR="00773D91">
        <w:instrText xml:space="preserve"> REF _Ref47512979 \h </w:instrText>
      </w:r>
      <w:r w:rsidR="00773D91">
        <w:fldChar w:fldCharType="separate"/>
      </w:r>
      <w:r w:rsidR="000E0897" w:rsidRPr="00857106">
        <w:t xml:space="preserve">Figure </w:t>
      </w:r>
      <w:r w:rsidR="000E0897">
        <w:rPr>
          <w:noProof/>
        </w:rPr>
        <w:t>46</w:t>
      </w:r>
      <w:r w:rsidR="00773D91">
        <w:fldChar w:fldCharType="end"/>
      </w:r>
      <w:r w:rsidRPr="00060265">
        <w:t>.</w:t>
      </w:r>
      <w:r>
        <w:t xml:space="preserve"> </w:t>
      </w:r>
      <w:r w:rsidRPr="00060265">
        <w:t>Based on the load duration curve shown in</w:t>
      </w:r>
      <w:r w:rsidR="00773D91">
        <w:t xml:space="preserve"> </w:t>
      </w:r>
      <w:r w:rsidR="00773D91">
        <w:fldChar w:fldCharType="begin"/>
      </w:r>
      <w:r w:rsidR="00773D91">
        <w:instrText xml:space="preserve"> REF _Ref47512990 \h </w:instrText>
      </w:r>
      <w:r w:rsidR="00773D91">
        <w:fldChar w:fldCharType="separate"/>
      </w:r>
      <w:r w:rsidR="000E0897" w:rsidRPr="00857106">
        <w:t xml:space="preserve">Figure </w:t>
      </w:r>
      <w:r w:rsidR="000E0897">
        <w:rPr>
          <w:noProof/>
        </w:rPr>
        <w:t>47</w:t>
      </w:r>
      <w:r w:rsidR="00773D91">
        <w:fldChar w:fldCharType="end"/>
      </w:r>
      <w:r w:rsidRPr="00060265">
        <w:t xml:space="preserve">, the TLA may be </w:t>
      </w:r>
      <w:r w:rsidR="00A93C47" w:rsidRPr="00060265">
        <w:t>deficient</w:t>
      </w:r>
      <w:r w:rsidR="006F6FDF">
        <w:t xml:space="preserve"> </w:t>
      </w:r>
      <w:r w:rsidR="00A93C47">
        <w:t>over 14 hours (</w:t>
      </w:r>
      <w:r w:rsidRPr="00060265">
        <w:t>3,571 MWh</w:t>
      </w:r>
      <w:r w:rsidR="00A93C47">
        <w:t>)</w:t>
      </w:r>
      <w:r w:rsidRPr="00060265">
        <w:t xml:space="preserve"> over a 14 hour period on a </w:t>
      </w:r>
      <w:r w:rsidR="00A93C47">
        <w:t>peak</w:t>
      </w:r>
      <w:r w:rsidR="00A93C47" w:rsidRPr="00060265">
        <w:t xml:space="preserve"> </w:t>
      </w:r>
      <w:r w:rsidRPr="00060265">
        <w:t>day</w:t>
      </w:r>
      <w:r w:rsidR="00A93C47">
        <w:t xml:space="preserve"> in 2025.  As there is little change in the peak deficiency (± 10 MW - as shown in Figure 46) the deficiency shown in Figure 47 would not have much variance from 2025 to 2030.</w:t>
      </w:r>
    </w:p>
    <w:p w14:paraId="37657989" w14:textId="407CFA98" w:rsidR="00060265" w:rsidRDefault="00060265" w:rsidP="00060265">
      <w:pPr>
        <w:pStyle w:val="Figure"/>
        <w:keepNext/>
      </w:pPr>
      <w:bookmarkStart w:id="169" w:name="_Ref47512979"/>
      <w:bookmarkStart w:id="170" w:name="_Toc48251365"/>
      <w:r w:rsidRPr="00857106">
        <w:t xml:space="preserve">Figure </w:t>
      </w:r>
      <w:r w:rsidR="00D517E4">
        <w:fldChar w:fldCharType="begin"/>
      </w:r>
      <w:r w:rsidR="00D517E4">
        <w:instrText xml:space="preserve"> SEQ Figure \* ARABIC </w:instrText>
      </w:r>
      <w:r w:rsidR="00D517E4">
        <w:fldChar w:fldCharType="separate"/>
      </w:r>
      <w:r w:rsidR="00F94268">
        <w:rPr>
          <w:noProof/>
        </w:rPr>
        <w:t>46</w:t>
      </w:r>
      <w:r w:rsidR="00D517E4">
        <w:rPr>
          <w:noProof/>
        </w:rPr>
        <w:fldChar w:fldCharType="end"/>
      </w:r>
      <w:bookmarkEnd w:id="169"/>
      <w:r w:rsidRPr="00857106">
        <w:t xml:space="preserve">: </w:t>
      </w:r>
      <w:r>
        <w:t>Greenwood/ Fox Hills 138 kV TLA Deficiency</w:t>
      </w:r>
      <w:bookmarkEnd w:id="170"/>
    </w:p>
    <w:p w14:paraId="2E15A8CB" w14:textId="47CBA5CF" w:rsidR="00060265" w:rsidRDefault="00060265" w:rsidP="008F4438">
      <w:pPr>
        <w:pStyle w:val="BodyText"/>
        <w:jc w:val="center"/>
      </w:pPr>
      <w:r w:rsidRPr="00060265">
        <w:rPr>
          <w:noProof/>
        </w:rPr>
        <w:drawing>
          <wp:inline distT="0" distB="0" distL="0" distR="0" wp14:anchorId="335976C3" wp14:editId="665D94B9">
            <wp:extent cx="5798820" cy="579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l="1" t="-7143" r="49781" b="45527"/>
                    <a:stretch/>
                  </pic:blipFill>
                  <pic:spPr bwMode="auto">
                    <a:xfrm>
                      <a:off x="0" y="0"/>
                      <a:ext cx="5847911" cy="584023"/>
                    </a:xfrm>
                    <a:prstGeom prst="rect">
                      <a:avLst/>
                    </a:prstGeom>
                    <a:noFill/>
                    <a:ln>
                      <a:noFill/>
                    </a:ln>
                    <a:extLst>
                      <a:ext uri="{53640926-AAD7-44D8-BBD7-CCE9431645EC}">
                        <a14:shadowObscured xmlns:a14="http://schemas.microsoft.com/office/drawing/2010/main"/>
                      </a:ext>
                    </a:extLst>
                  </pic:spPr>
                </pic:pic>
              </a:graphicData>
            </a:graphic>
          </wp:inline>
        </w:drawing>
      </w:r>
    </w:p>
    <w:p w14:paraId="4377C421" w14:textId="5BA69B64" w:rsidR="00060265" w:rsidRDefault="00060265" w:rsidP="00060265">
      <w:pPr>
        <w:pStyle w:val="Figure"/>
        <w:keepNext/>
      </w:pPr>
      <w:bookmarkStart w:id="171" w:name="_Ref47512990"/>
      <w:bookmarkStart w:id="172" w:name="_Toc48251366"/>
      <w:r w:rsidRPr="00857106">
        <w:lastRenderedPageBreak/>
        <w:t xml:space="preserve">Figure </w:t>
      </w:r>
      <w:r w:rsidR="00D517E4">
        <w:fldChar w:fldCharType="begin"/>
      </w:r>
      <w:r w:rsidR="00D517E4">
        <w:instrText xml:space="preserve"> SEQ Figure \* ARABIC </w:instrText>
      </w:r>
      <w:r w:rsidR="00D517E4">
        <w:fldChar w:fldCharType="separate"/>
      </w:r>
      <w:r w:rsidR="00F94268">
        <w:rPr>
          <w:noProof/>
        </w:rPr>
        <w:t>47</w:t>
      </w:r>
      <w:r w:rsidR="00D517E4">
        <w:rPr>
          <w:noProof/>
        </w:rPr>
        <w:fldChar w:fldCharType="end"/>
      </w:r>
      <w:bookmarkEnd w:id="171"/>
      <w:r w:rsidRPr="00857106">
        <w:t xml:space="preserve">: </w:t>
      </w:r>
      <w:r>
        <w:t>Greenwood/ Fox Hills 138 kV TLA Load Duration Curve for 2025</w:t>
      </w:r>
      <w:bookmarkEnd w:id="172"/>
    </w:p>
    <w:p w14:paraId="4D619233" w14:textId="558C7F78" w:rsidR="006030CA" w:rsidRDefault="00060265" w:rsidP="008F4438">
      <w:pPr>
        <w:pStyle w:val="BodyText"/>
        <w:jc w:val="center"/>
      </w:pPr>
      <w:r w:rsidRPr="00AA24BA">
        <w:rPr>
          <w:noProof/>
        </w:rPr>
        <w:drawing>
          <wp:inline distT="0" distB="0" distL="0" distR="0" wp14:anchorId="0A02F12B" wp14:editId="5AEA183A">
            <wp:extent cx="5707380" cy="3109049"/>
            <wp:effectExtent l="0" t="0" r="7620" b="0"/>
            <wp:docPr id="29" name="Picture 4">
              <a:extLst xmlns:a="http://schemas.openxmlformats.org/drawingml/2006/main">
                <a:ext uri="{FF2B5EF4-FFF2-40B4-BE49-F238E27FC236}">
                  <a16:creationId xmlns:a16="http://schemas.microsoft.com/office/drawing/2014/main" id="{607C877B-899B-4310-91BF-6E0C55194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7C877B-899B-4310-91BF-6E0C55194A4E}"/>
                        </a:ext>
                      </a:extLst>
                    </pic:cNvPr>
                    <pic:cNvPicPr>
                      <a:picLocks noChangeAspect="1"/>
                    </pic:cNvPicPr>
                  </pic:nvPicPr>
                  <pic:blipFill>
                    <a:blip r:embed="rId64"/>
                    <a:stretch>
                      <a:fillRect/>
                    </a:stretch>
                  </pic:blipFill>
                  <pic:spPr>
                    <a:xfrm>
                      <a:off x="0" y="0"/>
                      <a:ext cx="5730113" cy="3121432"/>
                    </a:xfrm>
                    <a:prstGeom prst="rect">
                      <a:avLst/>
                    </a:prstGeom>
                  </pic:spPr>
                </pic:pic>
              </a:graphicData>
            </a:graphic>
          </wp:inline>
        </w:drawing>
      </w:r>
    </w:p>
    <w:bookmarkEnd w:id="158"/>
    <w:p w14:paraId="4737A347" w14:textId="77777777" w:rsidR="00C43875" w:rsidRPr="00C43875" w:rsidRDefault="00C43875" w:rsidP="00C43875"/>
    <w:p w14:paraId="128E3B3D" w14:textId="77777777" w:rsidR="00D62FE5" w:rsidRDefault="00D62FE5">
      <w:pPr>
        <w:rPr>
          <w:rFonts w:ascii="Cambria" w:eastAsia="Arial Narrow" w:hAnsi="Cambria"/>
          <w:bCs/>
          <w:sz w:val="22"/>
          <w:lang w:bidi="ar-SA"/>
        </w:rPr>
      </w:pPr>
      <w:r>
        <w:br w:type="page"/>
      </w:r>
    </w:p>
    <w:p w14:paraId="187CEA76" w14:textId="5C8F1CEA" w:rsidR="001D156F" w:rsidRPr="00112B2F" w:rsidRDefault="00A97160" w:rsidP="00A8579E">
      <w:pPr>
        <w:pStyle w:val="Heading1"/>
        <w:numPr>
          <w:ilvl w:val="0"/>
          <w:numId w:val="36"/>
        </w:numPr>
      </w:pPr>
      <w:bookmarkStart w:id="173" w:name="_Toc48252300"/>
      <w:r>
        <w:lastRenderedPageBreak/>
        <w:t xml:space="preserve">Base Case Variation </w:t>
      </w:r>
      <w:r w:rsidR="00F3383A">
        <w:t>Scenarios</w:t>
      </w:r>
      <w:bookmarkEnd w:id="173"/>
      <w:r w:rsidR="00F3383A">
        <w:t xml:space="preserve"> </w:t>
      </w:r>
    </w:p>
    <w:p w14:paraId="54E021CF" w14:textId="1BF30CCA" w:rsidR="00903EC1" w:rsidRPr="005F5419" w:rsidRDefault="00903EC1" w:rsidP="00903EC1">
      <w:pPr>
        <w:pStyle w:val="BodyText"/>
      </w:pPr>
      <w:r w:rsidRPr="005F5419">
        <w:t>The NYISO, in conjunction with stakeholders a</w:t>
      </w:r>
      <w:r w:rsidR="009D1771" w:rsidRPr="005F5419">
        <w:t>nd Market Participants, developed</w:t>
      </w:r>
      <w:r w:rsidRPr="005F5419">
        <w:t xml:space="preserve"> reliability scenarios pursuant to Section 31.2.2.5 of Attachment Y of the OATT. Scenarios are variations on the preliminary </w:t>
      </w:r>
      <w:r w:rsidR="005F5419" w:rsidRPr="005F5419">
        <w:t>(1</w:t>
      </w:r>
      <w:r w:rsidR="005F5419" w:rsidRPr="005F5419">
        <w:rPr>
          <w:vertAlign w:val="superscript"/>
        </w:rPr>
        <w:t>st</w:t>
      </w:r>
      <w:r w:rsidR="005F5419" w:rsidRPr="005F5419">
        <w:t xml:space="preserve"> pass) </w:t>
      </w:r>
      <w:r w:rsidRPr="005F5419">
        <w:t>RNA Base Case to assess the impact of possible changes in key study assumptions which, if they occurred, could change the timing, location, or degree of violations of Reliability Criteria on the NYCA system during the Study Period</w:t>
      </w:r>
      <w:r w:rsidR="005F5419">
        <w:t>, and are presented for information only</w:t>
      </w:r>
      <w:r w:rsidRPr="005F5419">
        <w:t xml:space="preserve">. </w:t>
      </w:r>
      <w:r w:rsidR="006F6FDF">
        <w:t xml:space="preserve">There were no changes between the preliminary RNA Base Case and the final Base Case. </w:t>
      </w:r>
      <w:r w:rsidRPr="005F5419">
        <w:t xml:space="preserve">The </w:t>
      </w:r>
      <w:r w:rsidR="00505312" w:rsidRPr="005F5419">
        <w:t xml:space="preserve">NYISO evaluated the </w:t>
      </w:r>
      <w:r w:rsidRPr="005F5419">
        <w:t>fol</w:t>
      </w:r>
      <w:r w:rsidR="00A026DF">
        <w:t xml:space="preserve">lowing scenarios as part of this </w:t>
      </w:r>
      <w:r w:rsidRPr="005F5419">
        <w:t>RNA, with an identification of the type of assessment performed:</w:t>
      </w:r>
    </w:p>
    <w:p w14:paraId="357DF5E4" w14:textId="2A7C1284" w:rsidR="00903EC1" w:rsidRDefault="00903EC1" w:rsidP="009F516D">
      <w:pPr>
        <w:pStyle w:val="BodyText"/>
        <w:numPr>
          <w:ilvl w:val="0"/>
          <w:numId w:val="52"/>
        </w:numPr>
      </w:pPr>
      <w:r w:rsidRPr="00243349">
        <w:t xml:space="preserve">High Load </w:t>
      </w:r>
      <w:r w:rsidR="00E33318">
        <w:t>F</w:t>
      </w:r>
      <w:r w:rsidRPr="00243349">
        <w:t xml:space="preserve">orecast </w:t>
      </w:r>
      <w:r w:rsidR="000F439E" w:rsidRPr="00243349">
        <w:t xml:space="preserve">Scenario </w:t>
      </w:r>
      <w:r w:rsidRPr="00243349">
        <w:t xml:space="preserve">– Resource Adequacy </w:t>
      </w:r>
    </w:p>
    <w:p w14:paraId="1C253C80" w14:textId="14CF4771" w:rsidR="00E33318" w:rsidRPr="00243349" w:rsidRDefault="00E33318" w:rsidP="00A8579E">
      <w:pPr>
        <w:pStyle w:val="BodyText"/>
        <w:numPr>
          <w:ilvl w:val="0"/>
          <w:numId w:val="32"/>
        </w:numPr>
      </w:pPr>
      <w:r w:rsidRPr="00E33318">
        <w:t>T</w:t>
      </w:r>
      <w:r w:rsidR="00CD7E87" w:rsidRPr="00E33318">
        <w:t xml:space="preserve">he 2020 Gold Book High Load forecast </w:t>
      </w:r>
      <w:r w:rsidR="006F6FDF">
        <w:t>were</w:t>
      </w:r>
      <w:r w:rsidR="00CD7E87" w:rsidRPr="00E33318">
        <w:t xml:space="preserve"> used for</w:t>
      </w:r>
      <w:r w:rsidR="006F6FDF">
        <w:t xml:space="preserve"> the</w:t>
      </w:r>
      <w:r w:rsidR="00CD7E87" w:rsidRPr="00E33318">
        <w:t xml:space="preserve"> resource adequacy</w:t>
      </w:r>
      <w:r w:rsidR="006F6FDF">
        <w:t xml:space="preserve"> analysis.</w:t>
      </w:r>
    </w:p>
    <w:p w14:paraId="3D2EBE51" w14:textId="74DF2B44" w:rsidR="00E33318" w:rsidRPr="00E33318" w:rsidRDefault="00E33318" w:rsidP="009F516D">
      <w:pPr>
        <w:pStyle w:val="BodyText"/>
        <w:numPr>
          <w:ilvl w:val="0"/>
          <w:numId w:val="52"/>
        </w:numPr>
      </w:pPr>
      <w:bookmarkStart w:id="174" w:name="_Toc518911094"/>
      <w:bookmarkStart w:id="175" w:name="_Toc519238895"/>
      <w:r>
        <w:t xml:space="preserve">Zonal Resource Adequacy Margins </w:t>
      </w:r>
      <w:r w:rsidR="00763E93">
        <w:t xml:space="preserve">(ZRAM) </w:t>
      </w:r>
      <w:r>
        <w:t>-</w:t>
      </w:r>
      <w:r w:rsidRPr="00E33318">
        <w:t xml:space="preserve"> Resource Adequacy </w:t>
      </w:r>
    </w:p>
    <w:p w14:paraId="4547EF09" w14:textId="53DD3240" w:rsidR="007E7546" w:rsidRDefault="00CD7E87" w:rsidP="00A8579E">
      <w:pPr>
        <w:pStyle w:val="BodyText"/>
        <w:numPr>
          <w:ilvl w:val="0"/>
          <w:numId w:val="32"/>
        </w:numPr>
      </w:pPr>
      <w:r w:rsidRPr="00E33318">
        <w:t>Identification of the maximum level of zonal MW capacity that can be removed without either causing NYCA LOLE violations, or exceeding the zonal capacity</w:t>
      </w:r>
      <w:r w:rsidR="00191F11">
        <w:t>.</w:t>
      </w:r>
    </w:p>
    <w:p w14:paraId="3691574B" w14:textId="09487CF6" w:rsidR="00E33318" w:rsidRPr="00826D8E" w:rsidRDefault="00A84773" w:rsidP="009F516D">
      <w:pPr>
        <w:pStyle w:val="BodyText"/>
        <w:numPr>
          <w:ilvl w:val="0"/>
          <w:numId w:val="52"/>
        </w:numPr>
      </w:pPr>
      <w:r>
        <w:rPr>
          <w:rFonts w:eastAsia="Times New Roman"/>
        </w:rPr>
        <w:t xml:space="preserve">“Status-quo” </w:t>
      </w:r>
      <w:r w:rsidR="00FB7E45">
        <w:rPr>
          <w:rFonts w:eastAsia="Times New Roman"/>
        </w:rPr>
        <w:t>S</w:t>
      </w:r>
      <w:r>
        <w:rPr>
          <w:rFonts w:eastAsia="Times New Roman"/>
        </w:rPr>
        <w:t>cenario -</w:t>
      </w:r>
      <w:r w:rsidR="00E33318" w:rsidRPr="00E33318">
        <w:rPr>
          <w:rFonts w:eastAsia="Times New Roman"/>
        </w:rPr>
        <w:t xml:space="preserve"> Transmission Security and Resource Adequacy</w:t>
      </w:r>
    </w:p>
    <w:p w14:paraId="4B1C4BDE" w14:textId="194263D3" w:rsidR="00826D8E" w:rsidRDefault="00CD7E87" w:rsidP="00A8579E">
      <w:pPr>
        <w:pStyle w:val="BodyText"/>
        <w:numPr>
          <w:ilvl w:val="0"/>
          <w:numId w:val="32"/>
        </w:numPr>
      </w:pPr>
      <w:r w:rsidRPr="00826D8E">
        <w:t>Removal of proposed major transmission and generation projects assumed in the RNA Base Case</w:t>
      </w:r>
      <w:r w:rsidR="00191F11">
        <w:t>.</w:t>
      </w:r>
    </w:p>
    <w:p w14:paraId="22FC4AA1" w14:textId="6DEFA520" w:rsidR="003D0AE3" w:rsidRDefault="003D0AE3" w:rsidP="0043166F">
      <w:pPr>
        <w:pStyle w:val="BodyText"/>
        <w:ind w:firstLine="0"/>
      </w:pPr>
      <w:r>
        <w:t>Additionally, the NYISO proposed to perform two exploratory scenarios</w:t>
      </w:r>
      <w:r w:rsidR="00A800DA">
        <w:t xml:space="preserve">, further detailed in </w:t>
      </w:r>
      <w:r w:rsidR="00A800DA" w:rsidRPr="00A800DA">
        <w:rPr>
          <w:b/>
        </w:rPr>
        <w:t>Appendix E</w:t>
      </w:r>
      <w:r>
        <w:t>:</w:t>
      </w:r>
    </w:p>
    <w:p w14:paraId="71A31852" w14:textId="330CDFBC" w:rsidR="00E33318" w:rsidRPr="00F40104" w:rsidRDefault="00434269" w:rsidP="00A8579E">
      <w:pPr>
        <w:pStyle w:val="BodyText"/>
        <w:numPr>
          <w:ilvl w:val="0"/>
          <w:numId w:val="45"/>
        </w:numPr>
        <w:rPr>
          <w:rFonts w:eastAsia="Times New Roman"/>
        </w:rPr>
      </w:pPr>
      <w:r w:rsidRPr="00F40104">
        <w:rPr>
          <w:rFonts w:eastAsia="Times New Roman"/>
        </w:rPr>
        <w:t>Further</w:t>
      </w:r>
      <w:r w:rsidRPr="00F40104">
        <w:rPr>
          <w:rFonts w:eastAsia="Times New Roman"/>
          <w:vertAlign w:val="superscript"/>
        </w:rPr>
        <w:footnoteReference w:id="18"/>
      </w:r>
      <w:r w:rsidR="00E33318" w:rsidRPr="00F40104">
        <w:rPr>
          <w:rFonts w:eastAsia="Times New Roman"/>
        </w:rPr>
        <w:t xml:space="preserve"> Simplified External Areas Model</w:t>
      </w:r>
      <w:r w:rsidR="00F40104">
        <w:rPr>
          <w:rFonts w:eastAsia="Times New Roman"/>
        </w:rPr>
        <w:t xml:space="preserve"> -</w:t>
      </w:r>
      <w:r w:rsidR="00E33318" w:rsidRPr="00F40104">
        <w:rPr>
          <w:rFonts w:eastAsia="Times New Roman"/>
        </w:rPr>
        <w:t xml:space="preserve"> Resource Adequacy </w:t>
      </w:r>
    </w:p>
    <w:p w14:paraId="20451506" w14:textId="3FEB6EA7" w:rsidR="007E7546" w:rsidRPr="003D0AE3" w:rsidRDefault="00CD7E87" w:rsidP="00A8579E">
      <w:pPr>
        <w:pStyle w:val="BodyText"/>
        <w:numPr>
          <w:ilvl w:val="0"/>
          <w:numId w:val="32"/>
        </w:numPr>
      </w:pPr>
      <w:r w:rsidRPr="00F40104">
        <w:t xml:space="preserve">Starting with the simplified external model described </w:t>
      </w:r>
      <w:r w:rsidR="00F40104">
        <w:t>in footnote 8</w:t>
      </w:r>
      <w:r w:rsidR="00A84773">
        <w:t xml:space="preserve"> and also in the assumptions matrix in Appendix D</w:t>
      </w:r>
      <w:r w:rsidRPr="00F40104">
        <w:t>, removing all load and generation from external areas</w:t>
      </w:r>
      <w:r w:rsidR="00F40104">
        <w:t xml:space="preserve"> along with r</w:t>
      </w:r>
      <w:r w:rsidRPr="00F40104">
        <w:rPr>
          <w:rFonts w:eastAsia="Times New Roman"/>
        </w:rPr>
        <w:t xml:space="preserve">emoving interfaces between external </w:t>
      </w:r>
      <w:r w:rsidR="00F40104">
        <w:rPr>
          <w:rFonts w:eastAsia="Times New Roman"/>
        </w:rPr>
        <w:t>areas, followed by i</w:t>
      </w:r>
      <w:r w:rsidRPr="00F40104">
        <w:rPr>
          <w:rFonts w:eastAsia="Times New Roman"/>
        </w:rPr>
        <w:t>nserting fixed amounts of capacity in each external area</w:t>
      </w:r>
      <w:r w:rsidR="00191F11">
        <w:rPr>
          <w:rFonts w:eastAsia="Times New Roman"/>
        </w:rPr>
        <w:t>.</w:t>
      </w:r>
    </w:p>
    <w:p w14:paraId="2DB4B8FC" w14:textId="6F3C3222" w:rsidR="003D0AE3" w:rsidRPr="00E33318" w:rsidRDefault="003D0AE3" w:rsidP="00A8579E">
      <w:pPr>
        <w:pStyle w:val="BodyText"/>
        <w:numPr>
          <w:ilvl w:val="0"/>
          <w:numId w:val="45"/>
        </w:numPr>
      </w:pPr>
      <w:r>
        <w:t>Different Load Shape -</w:t>
      </w:r>
      <w:r w:rsidRPr="00E33318">
        <w:t xml:space="preserve"> Resource Adequacy </w:t>
      </w:r>
    </w:p>
    <w:p w14:paraId="4600E498" w14:textId="42DFC1DD" w:rsidR="003D0AE3" w:rsidRPr="00F40104" w:rsidRDefault="003D0AE3" w:rsidP="00A8579E">
      <w:pPr>
        <w:pStyle w:val="BodyText"/>
        <w:numPr>
          <w:ilvl w:val="1"/>
          <w:numId w:val="44"/>
        </w:numPr>
      </w:pPr>
      <w:r w:rsidRPr="00E33318">
        <w:t xml:space="preserve">The </w:t>
      </w:r>
      <w:r w:rsidR="00FB7E45">
        <w:t>r</w:t>
      </w:r>
      <w:r w:rsidRPr="00E33318">
        <w:t xml:space="preserve">esource </w:t>
      </w:r>
      <w:r w:rsidR="00FB7E45">
        <w:t>a</w:t>
      </w:r>
      <w:r w:rsidRPr="00E33318">
        <w:t xml:space="preserve">dequacy </w:t>
      </w:r>
      <w:r w:rsidR="00FB7E45">
        <w:t xml:space="preserve">RNA </w:t>
      </w:r>
      <w:r w:rsidRPr="00E33318">
        <w:t>Base Case use</w:t>
      </w:r>
      <w:r w:rsidR="00FB7E45">
        <w:t>s</w:t>
      </w:r>
      <w:r w:rsidRPr="00E33318">
        <w:t xml:space="preserve"> historical shapes from 2002, 2006, and </w:t>
      </w:r>
      <w:r w:rsidRPr="00E33318">
        <w:lastRenderedPageBreak/>
        <w:t xml:space="preserve">2007. </w:t>
      </w:r>
      <w:r w:rsidR="00FB7E45">
        <w:t>Phase 1 of t</w:t>
      </w:r>
      <w:r w:rsidRPr="00E33318">
        <w:t xml:space="preserve">he </w:t>
      </w:r>
      <w:hyperlink r:id="rId65" w:history="1">
        <w:r w:rsidRPr="00FB7E45">
          <w:rPr>
            <w:rStyle w:val="Hyperlink"/>
          </w:rPr>
          <w:t xml:space="preserve">Climate Change </w:t>
        </w:r>
        <w:r w:rsidR="00FB7E45" w:rsidRPr="00FB7E45">
          <w:rPr>
            <w:rStyle w:val="Hyperlink"/>
          </w:rPr>
          <w:t>Impact &amp; Resilience</w:t>
        </w:r>
        <w:r w:rsidRPr="00FB7E45">
          <w:rPr>
            <w:rStyle w:val="Hyperlink"/>
          </w:rPr>
          <w:t xml:space="preserve"> </w:t>
        </w:r>
        <w:r w:rsidR="00FB7E45" w:rsidRPr="00FB7E45">
          <w:rPr>
            <w:rStyle w:val="Hyperlink"/>
          </w:rPr>
          <w:t>S</w:t>
        </w:r>
        <w:r w:rsidRPr="00FB7E45">
          <w:rPr>
            <w:rStyle w:val="Hyperlink"/>
          </w:rPr>
          <w:t>tudy</w:t>
        </w:r>
      </w:hyperlink>
      <w:r w:rsidRPr="00E33318">
        <w:t xml:space="preserve"> developed hourly load shapes (</w:t>
      </w:r>
      <w:r w:rsidRPr="00E33318">
        <w:rPr>
          <w:i/>
          <w:iCs/>
        </w:rPr>
        <w:t xml:space="preserve">i.e., </w:t>
      </w:r>
      <w:r w:rsidRPr="00E33318">
        <w:t xml:space="preserve">labeled “the reference case” in the study) that </w:t>
      </w:r>
      <w:r w:rsidR="00FB7E45">
        <w:t>were</w:t>
      </w:r>
      <w:r w:rsidR="00FB7E45" w:rsidRPr="00E33318">
        <w:t xml:space="preserve"> </w:t>
      </w:r>
      <w:r w:rsidRPr="00E33318">
        <w:t>used for this scenario</w:t>
      </w:r>
      <w:r>
        <w:t>.</w:t>
      </w:r>
    </w:p>
    <w:bookmarkEnd w:id="174"/>
    <w:bookmarkEnd w:id="175"/>
    <w:p w14:paraId="549F372A" w14:textId="692F74B8" w:rsidR="00903EC1" w:rsidRPr="00243349" w:rsidRDefault="00903EC1" w:rsidP="00903EC1">
      <w:pPr>
        <w:pStyle w:val="BodyText"/>
        <w:rPr>
          <w:color w:val="FF0000"/>
        </w:rPr>
      </w:pPr>
      <w:r w:rsidRPr="005F5419">
        <w:t>T</w:t>
      </w:r>
      <w:r w:rsidR="000F439E" w:rsidRPr="005F5419">
        <w:t xml:space="preserve">he results of the </w:t>
      </w:r>
      <w:r w:rsidRPr="005F5419">
        <w:t>scenarios are summarized in the fol</w:t>
      </w:r>
      <w:r w:rsidR="00192DD6">
        <w:t>lowing sections.</w:t>
      </w:r>
    </w:p>
    <w:p w14:paraId="7B142CFB" w14:textId="64B008FC" w:rsidR="00903EC1" w:rsidRPr="00D06888" w:rsidRDefault="005F5419" w:rsidP="00262323">
      <w:pPr>
        <w:pStyle w:val="Heading2"/>
      </w:pPr>
      <w:bookmarkStart w:id="176" w:name="_Toc518911095"/>
      <w:bookmarkStart w:id="177" w:name="_Toc519238896"/>
      <w:bookmarkStart w:id="178" w:name="_Toc48252301"/>
      <w:r w:rsidRPr="00D06888">
        <w:t>High Load</w:t>
      </w:r>
      <w:r w:rsidR="00903EC1" w:rsidRPr="00D06888">
        <w:t xml:space="preserve"> Forecast </w:t>
      </w:r>
      <w:bookmarkEnd w:id="176"/>
      <w:bookmarkEnd w:id="177"/>
      <w:r w:rsidR="00FC6EC1" w:rsidRPr="00D06888">
        <w:t>Scenario</w:t>
      </w:r>
      <w:bookmarkEnd w:id="178"/>
    </w:p>
    <w:p w14:paraId="500E9A82" w14:textId="669BC886" w:rsidR="00B51774" w:rsidRPr="00F3273C" w:rsidRDefault="00903EC1" w:rsidP="00903EC1">
      <w:pPr>
        <w:pStyle w:val="BodyText"/>
        <w:rPr>
          <w:color w:val="000000" w:themeColor="text1"/>
        </w:rPr>
      </w:pPr>
      <w:r w:rsidRPr="00F3273C">
        <w:rPr>
          <w:color w:val="000000" w:themeColor="text1"/>
        </w:rPr>
        <w:t xml:space="preserve">The RNA Base Case forecast includes impacts associated with projected energy reductions coming from statewide energy efficiency and BtM solar PV programs. The </w:t>
      </w:r>
      <w:r w:rsidR="00F3273C">
        <w:rPr>
          <w:color w:val="000000" w:themeColor="text1"/>
        </w:rPr>
        <w:t>High Load</w:t>
      </w:r>
      <w:r w:rsidR="00F3273C" w:rsidRPr="00F3273C">
        <w:rPr>
          <w:color w:val="000000" w:themeColor="text1"/>
        </w:rPr>
        <w:t xml:space="preserve"> </w:t>
      </w:r>
      <w:r w:rsidR="00F3273C">
        <w:rPr>
          <w:color w:val="000000" w:themeColor="text1"/>
        </w:rPr>
        <w:t>F</w:t>
      </w:r>
      <w:r w:rsidR="00F3273C" w:rsidRPr="00F3273C">
        <w:rPr>
          <w:color w:val="000000" w:themeColor="text1"/>
        </w:rPr>
        <w:t xml:space="preserve">orecast </w:t>
      </w:r>
      <w:r w:rsidRPr="00F3273C">
        <w:rPr>
          <w:color w:val="000000" w:themeColor="text1"/>
        </w:rPr>
        <w:t>scenario excludes these energy efficiency program impacts from the peak forecast, resulting in the higher forecast levels</w:t>
      </w:r>
      <w:r w:rsidR="001D2BBB" w:rsidRPr="00F3273C">
        <w:rPr>
          <w:color w:val="000000" w:themeColor="text1"/>
        </w:rPr>
        <w:t xml:space="preserve">. </w:t>
      </w:r>
      <w:r w:rsidR="00F92698">
        <w:rPr>
          <w:color w:val="000000" w:themeColor="text1"/>
        </w:rPr>
        <w:t>The comparison of the High and Baseline forecasted loads is</w:t>
      </w:r>
      <w:r w:rsidRPr="00F3273C">
        <w:rPr>
          <w:color w:val="000000" w:themeColor="text1"/>
        </w:rPr>
        <w:t xml:space="preserve"> </w:t>
      </w:r>
      <w:r w:rsidR="003F4C62">
        <w:rPr>
          <w:color w:val="000000" w:themeColor="text1"/>
        </w:rPr>
        <w:t xml:space="preserve">provided </w:t>
      </w:r>
      <w:r w:rsidR="00F92698">
        <w:rPr>
          <w:color w:val="000000" w:themeColor="text1"/>
        </w:rPr>
        <w:t>i</w:t>
      </w:r>
      <w:r w:rsidRPr="00F3273C">
        <w:rPr>
          <w:color w:val="000000" w:themeColor="text1"/>
        </w:rPr>
        <w:t xml:space="preserve">n the </w:t>
      </w:r>
      <w:r w:rsidR="00D06888">
        <w:rPr>
          <w:color w:val="000000" w:themeColor="text1"/>
        </w:rPr>
        <w:fldChar w:fldCharType="begin"/>
      </w:r>
      <w:r w:rsidR="00D06888">
        <w:rPr>
          <w:color w:val="000000" w:themeColor="text1"/>
        </w:rPr>
        <w:instrText xml:space="preserve"> REF _Ref47379229 \h </w:instrText>
      </w:r>
      <w:r w:rsidR="00D06888">
        <w:rPr>
          <w:color w:val="000000" w:themeColor="text1"/>
        </w:rPr>
      </w:r>
      <w:r w:rsidR="00D06888">
        <w:rPr>
          <w:color w:val="000000" w:themeColor="text1"/>
        </w:rPr>
        <w:fldChar w:fldCharType="separate"/>
      </w:r>
      <w:r w:rsidR="00A409F0" w:rsidRPr="000127EE">
        <w:t xml:space="preserve">Figure </w:t>
      </w:r>
      <w:r w:rsidR="00A409F0">
        <w:rPr>
          <w:noProof/>
        </w:rPr>
        <w:t>49</w:t>
      </w:r>
      <w:r w:rsidR="00D06888">
        <w:rPr>
          <w:color w:val="000000" w:themeColor="text1"/>
        </w:rPr>
        <w:fldChar w:fldCharType="end"/>
      </w:r>
      <w:r w:rsidR="00F92698">
        <w:rPr>
          <w:color w:val="000000" w:themeColor="text1"/>
        </w:rPr>
        <w:t xml:space="preserve">: there is </w:t>
      </w:r>
      <w:r w:rsidRPr="00F3273C">
        <w:rPr>
          <w:color w:val="000000" w:themeColor="text1"/>
        </w:rPr>
        <w:t>a</w:t>
      </w:r>
      <w:r w:rsidR="003F4C62">
        <w:rPr>
          <w:color w:val="000000" w:themeColor="text1"/>
        </w:rPr>
        <w:t>n increase of</w:t>
      </w:r>
      <w:r w:rsidRPr="00F3273C">
        <w:rPr>
          <w:color w:val="000000" w:themeColor="text1"/>
        </w:rPr>
        <w:t xml:space="preserve"> </w:t>
      </w:r>
      <w:r w:rsidR="00D06888">
        <w:rPr>
          <w:color w:val="000000" w:themeColor="text1"/>
        </w:rPr>
        <w:t>2,</w:t>
      </w:r>
      <w:r w:rsidR="00F3273C">
        <w:rPr>
          <w:color w:val="000000" w:themeColor="text1"/>
        </w:rPr>
        <w:t>388</w:t>
      </w:r>
      <w:r w:rsidR="009E1363" w:rsidRPr="00F3273C">
        <w:rPr>
          <w:color w:val="000000" w:themeColor="text1"/>
        </w:rPr>
        <w:t xml:space="preserve"> </w:t>
      </w:r>
      <w:r w:rsidRPr="00F3273C">
        <w:rPr>
          <w:color w:val="000000" w:themeColor="text1"/>
        </w:rPr>
        <w:t xml:space="preserve">MW </w:t>
      </w:r>
      <w:r w:rsidR="003F4C62">
        <w:rPr>
          <w:color w:val="000000" w:themeColor="text1"/>
        </w:rPr>
        <w:t xml:space="preserve">in the </w:t>
      </w:r>
      <w:r w:rsidRPr="00F3273C">
        <w:rPr>
          <w:color w:val="000000" w:themeColor="text1"/>
        </w:rPr>
        <w:t>peak load in 20</w:t>
      </w:r>
      <w:r w:rsidR="00F3273C">
        <w:rPr>
          <w:color w:val="000000" w:themeColor="text1"/>
        </w:rPr>
        <w:t>30</w:t>
      </w:r>
      <w:r w:rsidRPr="00F3273C">
        <w:rPr>
          <w:color w:val="000000" w:themeColor="text1"/>
        </w:rPr>
        <w:t>, as compar</w:t>
      </w:r>
      <w:r w:rsidR="00F3273C">
        <w:rPr>
          <w:color w:val="000000" w:themeColor="text1"/>
        </w:rPr>
        <w:t>ed</w:t>
      </w:r>
      <w:r w:rsidRPr="00F3273C">
        <w:rPr>
          <w:color w:val="000000" w:themeColor="text1"/>
        </w:rPr>
        <w:t xml:space="preserve"> </w:t>
      </w:r>
      <w:r w:rsidR="00F3273C">
        <w:rPr>
          <w:color w:val="000000" w:themeColor="text1"/>
        </w:rPr>
        <w:t>to</w:t>
      </w:r>
      <w:r w:rsidRPr="00F3273C">
        <w:rPr>
          <w:color w:val="000000" w:themeColor="text1"/>
        </w:rPr>
        <w:t xml:space="preserve"> the Base Case forecast. Given that the peak load in the</w:t>
      </w:r>
      <w:r w:rsidR="00D06888">
        <w:rPr>
          <w:color w:val="000000" w:themeColor="text1"/>
        </w:rPr>
        <w:t xml:space="preserve"> High Load </w:t>
      </w:r>
      <w:r w:rsidRPr="00F3273C">
        <w:rPr>
          <w:color w:val="000000" w:themeColor="text1"/>
        </w:rPr>
        <w:t xml:space="preserve">forecast is higher than </w:t>
      </w:r>
      <w:r w:rsidR="003F4C62">
        <w:rPr>
          <w:color w:val="000000" w:themeColor="text1"/>
        </w:rPr>
        <w:t xml:space="preserve">in </w:t>
      </w:r>
      <w:r w:rsidRPr="00F3273C">
        <w:rPr>
          <w:color w:val="000000" w:themeColor="text1"/>
        </w:rPr>
        <w:t>the Base Case, the probability of violating the LOLE criterion increases</w:t>
      </w:r>
      <w:r w:rsidR="003F4C62">
        <w:rPr>
          <w:color w:val="000000" w:themeColor="text1"/>
        </w:rPr>
        <w:t>,</w:t>
      </w:r>
      <w:r w:rsidRPr="00F3273C">
        <w:rPr>
          <w:color w:val="000000" w:themeColor="text1"/>
        </w:rPr>
        <w:t xml:space="preserve"> and violations </w:t>
      </w:r>
      <w:r w:rsidR="00505312" w:rsidRPr="00F3273C">
        <w:rPr>
          <w:color w:val="000000" w:themeColor="text1"/>
        </w:rPr>
        <w:t xml:space="preserve">would </w:t>
      </w:r>
      <w:r w:rsidRPr="00F3273C">
        <w:rPr>
          <w:color w:val="000000" w:themeColor="text1"/>
        </w:rPr>
        <w:t xml:space="preserve">occur </w:t>
      </w:r>
      <w:r w:rsidR="00316F09" w:rsidRPr="00F3273C">
        <w:rPr>
          <w:color w:val="000000" w:themeColor="text1"/>
        </w:rPr>
        <w:t>starting in 2025</w:t>
      </w:r>
      <w:r w:rsidRPr="00F3273C">
        <w:rPr>
          <w:color w:val="000000" w:themeColor="text1"/>
        </w:rPr>
        <w:t xml:space="preserve">. The </w:t>
      </w:r>
      <w:r w:rsidR="00F92698">
        <w:rPr>
          <w:color w:val="000000" w:themeColor="text1"/>
        </w:rPr>
        <w:t xml:space="preserve">NYCA LOLE </w:t>
      </w:r>
      <w:r w:rsidRPr="00F3273C">
        <w:rPr>
          <w:color w:val="000000" w:themeColor="text1"/>
        </w:rPr>
        <w:t xml:space="preserve">results are in </w:t>
      </w:r>
      <w:r w:rsidR="00D06888">
        <w:rPr>
          <w:b/>
          <w:color w:val="000000" w:themeColor="text1"/>
          <w:highlight w:val="yellow"/>
        </w:rPr>
        <w:fldChar w:fldCharType="begin"/>
      </w:r>
      <w:r w:rsidR="00D06888">
        <w:rPr>
          <w:color w:val="000000" w:themeColor="text1"/>
        </w:rPr>
        <w:instrText xml:space="preserve"> REF _Ref47379196 \h </w:instrText>
      </w:r>
      <w:r w:rsidR="00D06888">
        <w:rPr>
          <w:b/>
          <w:color w:val="000000" w:themeColor="text1"/>
          <w:highlight w:val="yellow"/>
        </w:rPr>
      </w:r>
      <w:r w:rsidR="00D06888">
        <w:rPr>
          <w:b/>
          <w:color w:val="000000" w:themeColor="text1"/>
          <w:highlight w:val="yellow"/>
        </w:rPr>
        <w:fldChar w:fldCharType="separate"/>
      </w:r>
      <w:r w:rsidR="00A409F0" w:rsidRPr="000127EE">
        <w:t xml:space="preserve">Figure </w:t>
      </w:r>
      <w:r w:rsidR="00A409F0">
        <w:rPr>
          <w:noProof/>
        </w:rPr>
        <w:t>50</w:t>
      </w:r>
      <w:r w:rsidR="00D06888">
        <w:rPr>
          <w:b/>
          <w:color w:val="000000" w:themeColor="text1"/>
          <w:highlight w:val="yellow"/>
        </w:rPr>
        <w:fldChar w:fldCharType="end"/>
      </w:r>
      <w:r w:rsidR="00D06888">
        <w:rPr>
          <w:b/>
          <w:color w:val="000000" w:themeColor="text1"/>
        </w:rPr>
        <w:t>.</w:t>
      </w:r>
    </w:p>
    <w:p w14:paraId="5AE6FE64" w14:textId="16A190B0" w:rsidR="00903EC1" w:rsidRDefault="002C7135" w:rsidP="00192DD6">
      <w:pPr>
        <w:pStyle w:val="Figure"/>
        <w:keepNext/>
        <w:keepLines/>
      </w:pPr>
      <w:bookmarkStart w:id="179" w:name="_Ref506899110"/>
      <w:bookmarkStart w:id="180" w:name="_Toc506966651"/>
      <w:bookmarkStart w:id="181" w:name="_Toc518911141"/>
      <w:bookmarkStart w:id="182" w:name="_Toc519238928"/>
      <w:bookmarkStart w:id="183" w:name="_Toc48251367"/>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48</w:t>
      </w:r>
      <w:r w:rsidRPr="000127EE">
        <w:rPr>
          <w:noProof/>
        </w:rPr>
        <w:fldChar w:fldCharType="end"/>
      </w:r>
      <w:r w:rsidR="003F45FB">
        <w:t>: 2020 Gold Book</w:t>
      </w:r>
      <w:r w:rsidR="007070C0">
        <w:t xml:space="preserve"> NYCA</w:t>
      </w:r>
      <w:r w:rsidR="003F45FB">
        <w:t xml:space="preserve"> High Load </w:t>
      </w:r>
      <w:r w:rsidR="00903EC1" w:rsidRPr="008950A7">
        <w:t xml:space="preserve">vs. </w:t>
      </w:r>
      <w:r w:rsidR="00C90794" w:rsidRPr="008950A7">
        <w:t xml:space="preserve">Baseline </w:t>
      </w:r>
      <w:r w:rsidR="00903EC1" w:rsidRPr="008950A7">
        <w:t>Summer Peak Forecast</w:t>
      </w:r>
      <w:bookmarkEnd w:id="179"/>
      <w:bookmarkEnd w:id="180"/>
      <w:bookmarkEnd w:id="181"/>
      <w:bookmarkEnd w:id="182"/>
      <w:bookmarkEnd w:id="183"/>
    </w:p>
    <w:p w14:paraId="177E49C2" w14:textId="627211FE" w:rsidR="00FB30D2" w:rsidRDefault="0045076A" w:rsidP="008F4438">
      <w:pPr>
        <w:pStyle w:val="BodyText"/>
        <w:jc w:val="center"/>
      </w:pPr>
      <w:r w:rsidRPr="0045076A">
        <w:rPr>
          <w:noProof/>
        </w:rPr>
        <w:drawing>
          <wp:inline distT="0" distB="0" distL="0" distR="0" wp14:anchorId="642C6BBC" wp14:editId="351202F9">
            <wp:extent cx="4107180" cy="22479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6">
                      <a:extLst>
                        <a:ext uri="{28A0092B-C50C-407E-A947-70E740481C1C}">
                          <a14:useLocalDpi xmlns:a14="http://schemas.microsoft.com/office/drawing/2010/main" val="0"/>
                        </a:ext>
                      </a:extLst>
                    </a:blip>
                    <a:srcRect t="-1" r="49539" b="49238"/>
                    <a:stretch/>
                  </pic:blipFill>
                  <pic:spPr bwMode="auto">
                    <a:xfrm>
                      <a:off x="0" y="0"/>
                      <a:ext cx="4108274" cy="2248499"/>
                    </a:xfrm>
                    <a:prstGeom prst="rect">
                      <a:avLst/>
                    </a:prstGeom>
                    <a:noFill/>
                    <a:ln>
                      <a:noFill/>
                    </a:ln>
                    <a:extLst>
                      <a:ext uri="{53640926-AAD7-44D8-BBD7-CCE9431645EC}">
                        <a14:shadowObscured xmlns:a14="http://schemas.microsoft.com/office/drawing/2010/main"/>
                      </a:ext>
                    </a:extLst>
                  </pic:spPr>
                </pic:pic>
              </a:graphicData>
            </a:graphic>
          </wp:inline>
        </w:drawing>
      </w:r>
    </w:p>
    <w:p w14:paraId="39449283" w14:textId="77777777" w:rsidR="00D0573B" w:rsidRDefault="00D0573B" w:rsidP="0076730D">
      <w:pPr>
        <w:pStyle w:val="Figure"/>
        <w:keepNext/>
      </w:pPr>
      <w:bookmarkStart w:id="184" w:name="_Ref506899066"/>
      <w:bookmarkStart w:id="185" w:name="_Toc506966653"/>
      <w:bookmarkStart w:id="186" w:name="_Ref506984956"/>
      <w:bookmarkStart w:id="187" w:name="_Toc518911142"/>
      <w:bookmarkStart w:id="188" w:name="_Toc519238929"/>
    </w:p>
    <w:p w14:paraId="6F26E7B7" w14:textId="6D5A4DB3" w:rsidR="00D0573B" w:rsidRDefault="00D0573B" w:rsidP="00192DD6">
      <w:pPr>
        <w:pStyle w:val="Figure"/>
        <w:keepNext/>
        <w:keepLines/>
      </w:pPr>
      <w:bookmarkStart w:id="189" w:name="_Ref47379229"/>
      <w:bookmarkStart w:id="190" w:name="_Toc48251368"/>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49</w:t>
      </w:r>
      <w:r w:rsidRPr="000127EE">
        <w:rPr>
          <w:noProof/>
        </w:rPr>
        <w:fldChar w:fldCharType="end"/>
      </w:r>
      <w:bookmarkEnd w:id="189"/>
      <w:r>
        <w:t xml:space="preserve">: 2020 Gold Book </w:t>
      </w:r>
      <w:r w:rsidR="007070C0">
        <w:t xml:space="preserve">Zone J </w:t>
      </w:r>
      <w:r>
        <w:t xml:space="preserve">High Load </w:t>
      </w:r>
      <w:r w:rsidRPr="008950A7">
        <w:t xml:space="preserve">vs. </w:t>
      </w:r>
      <w:r>
        <w:t>Non-coincident</w:t>
      </w:r>
      <w:r w:rsidRPr="008950A7">
        <w:t xml:space="preserve"> Summer Peak Forecast</w:t>
      </w:r>
      <w:bookmarkEnd w:id="190"/>
    </w:p>
    <w:p w14:paraId="03A9393A" w14:textId="509A2977" w:rsidR="00D0573B" w:rsidRDefault="0045076A" w:rsidP="008F4438">
      <w:pPr>
        <w:pStyle w:val="BodyText"/>
        <w:jc w:val="center"/>
      </w:pPr>
      <w:r w:rsidRPr="0045076A">
        <w:rPr>
          <w:noProof/>
        </w:rPr>
        <w:drawing>
          <wp:inline distT="0" distB="0" distL="0" distR="0" wp14:anchorId="11A458CE" wp14:editId="21E8EE41">
            <wp:extent cx="4213860" cy="23012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7">
                      <a:extLst>
                        <a:ext uri="{28A0092B-C50C-407E-A947-70E740481C1C}">
                          <a14:useLocalDpi xmlns:a14="http://schemas.microsoft.com/office/drawing/2010/main" val="0"/>
                        </a:ext>
                      </a:extLst>
                    </a:blip>
                    <a:srcRect l="1" t="-101" r="49351" b="49054"/>
                    <a:stretch/>
                  </pic:blipFill>
                  <pic:spPr bwMode="auto">
                    <a:xfrm>
                      <a:off x="0" y="0"/>
                      <a:ext cx="4229831" cy="2309962"/>
                    </a:xfrm>
                    <a:prstGeom prst="rect">
                      <a:avLst/>
                    </a:prstGeom>
                    <a:noFill/>
                    <a:ln>
                      <a:noFill/>
                    </a:ln>
                    <a:extLst>
                      <a:ext uri="{53640926-AAD7-44D8-BBD7-CCE9431645EC}">
                        <a14:shadowObscured xmlns:a14="http://schemas.microsoft.com/office/drawing/2010/main"/>
                      </a:ext>
                    </a:extLst>
                  </pic:spPr>
                </pic:pic>
              </a:graphicData>
            </a:graphic>
          </wp:inline>
        </w:drawing>
      </w:r>
    </w:p>
    <w:p w14:paraId="005BD4DC" w14:textId="7EA93287" w:rsidR="00903EC1" w:rsidRPr="008950A7" w:rsidRDefault="002C7135" w:rsidP="00192DD6">
      <w:pPr>
        <w:pStyle w:val="Figure"/>
        <w:keepNext/>
        <w:keepLines/>
      </w:pPr>
      <w:bookmarkStart w:id="191" w:name="_Ref47379196"/>
      <w:bookmarkStart w:id="192" w:name="_Toc48251369"/>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50</w:t>
      </w:r>
      <w:r w:rsidRPr="000127EE">
        <w:rPr>
          <w:noProof/>
        </w:rPr>
        <w:fldChar w:fldCharType="end"/>
      </w:r>
      <w:bookmarkEnd w:id="191"/>
      <w:r w:rsidR="00903EC1" w:rsidRPr="008950A7">
        <w:t>: 20</w:t>
      </w:r>
      <w:r w:rsidR="008950A7">
        <w:t>20</w:t>
      </w:r>
      <w:r w:rsidR="00903EC1" w:rsidRPr="008950A7">
        <w:t xml:space="preserve"> RNA Resource Adequacy</w:t>
      </w:r>
      <w:r w:rsidR="008950A7">
        <w:t xml:space="preserve"> High Load</w:t>
      </w:r>
      <w:r w:rsidR="00903EC1" w:rsidRPr="008950A7">
        <w:t xml:space="preserve"> </w:t>
      </w:r>
      <w:r w:rsidR="008950A7">
        <w:t>Scenario</w:t>
      </w:r>
      <w:r w:rsidR="00903EC1" w:rsidRPr="008950A7">
        <w:t xml:space="preserve"> NYCA LOLE Results</w:t>
      </w:r>
      <w:bookmarkEnd w:id="184"/>
      <w:bookmarkEnd w:id="185"/>
      <w:bookmarkEnd w:id="186"/>
      <w:bookmarkEnd w:id="187"/>
      <w:bookmarkEnd w:id="188"/>
      <w:bookmarkEnd w:id="192"/>
    </w:p>
    <w:p w14:paraId="5E01A056" w14:textId="56A39204" w:rsidR="00903EC1" w:rsidRDefault="0045076A" w:rsidP="008F4438">
      <w:pPr>
        <w:pStyle w:val="BodyText"/>
        <w:jc w:val="center"/>
      </w:pPr>
      <w:r w:rsidRPr="0045076A">
        <w:rPr>
          <w:noProof/>
        </w:rPr>
        <w:drawing>
          <wp:inline distT="0" distB="0" distL="0" distR="0" wp14:anchorId="0C94FBD0" wp14:editId="5F5BB48B">
            <wp:extent cx="5821680" cy="61722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8">
                      <a:extLst>
                        <a:ext uri="{28A0092B-C50C-407E-A947-70E740481C1C}">
                          <a14:useLocalDpi xmlns:a14="http://schemas.microsoft.com/office/drawing/2010/main" val="0"/>
                        </a:ext>
                      </a:extLst>
                    </a:blip>
                    <a:srcRect l="2" t="-1389" r="49419" b="46927"/>
                    <a:stretch/>
                  </pic:blipFill>
                  <pic:spPr bwMode="auto">
                    <a:xfrm>
                      <a:off x="0" y="0"/>
                      <a:ext cx="5831705" cy="618283"/>
                    </a:xfrm>
                    <a:prstGeom prst="rect">
                      <a:avLst/>
                    </a:prstGeom>
                    <a:noFill/>
                    <a:ln>
                      <a:noFill/>
                    </a:ln>
                    <a:extLst>
                      <a:ext uri="{53640926-AAD7-44D8-BBD7-CCE9431645EC}">
                        <a14:shadowObscured xmlns:a14="http://schemas.microsoft.com/office/drawing/2010/main"/>
                      </a:ext>
                    </a:extLst>
                  </pic:spPr>
                </pic:pic>
              </a:graphicData>
            </a:graphic>
          </wp:inline>
        </w:drawing>
      </w:r>
    </w:p>
    <w:p w14:paraId="6CCEAFE8" w14:textId="32DDC74F" w:rsidR="00F3273C" w:rsidRDefault="00F3273C" w:rsidP="00675217">
      <w:pPr>
        <w:pStyle w:val="BodyText"/>
      </w:pPr>
      <w:r>
        <w:t>This scenario indicates that if expected energy efficiency and peak load reduction programs do not materialize</w:t>
      </w:r>
      <w:r w:rsidR="003F4C62">
        <w:t xml:space="preserve"> at expected levels</w:t>
      </w:r>
      <w:r w:rsidR="00F92698">
        <w:t>,</w:t>
      </w:r>
      <w:r>
        <w:t xml:space="preserve"> the </w:t>
      </w:r>
      <w:r w:rsidR="00F92698">
        <w:t>criterion violations</w:t>
      </w:r>
      <w:r>
        <w:t xml:space="preserve"> would be </w:t>
      </w:r>
      <w:r w:rsidR="00F92698">
        <w:t>observed</w:t>
      </w:r>
      <w:r>
        <w:t xml:space="preserve"> two years </w:t>
      </w:r>
      <w:r w:rsidR="00F92698">
        <w:t>earlier, starting in</w:t>
      </w:r>
      <w:r>
        <w:t xml:space="preserve"> 2025.</w:t>
      </w:r>
      <w:r w:rsidR="00675217">
        <w:t xml:space="preserve"> </w:t>
      </w:r>
    </w:p>
    <w:p w14:paraId="731A4E4A" w14:textId="7BF2D419" w:rsidR="00041117" w:rsidRPr="0045076A" w:rsidRDefault="00903EC1" w:rsidP="00262323">
      <w:pPr>
        <w:pStyle w:val="Heading2"/>
      </w:pPr>
      <w:bookmarkStart w:id="193" w:name="_Toc518911096"/>
      <w:bookmarkStart w:id="194" w:name="_Toc519238897"/>
      <w:bookmarkStart w:id="195" w:name="_Toc48252302"/>
      <w:r w:rsidRPr="0045076A">
        <w:t xml:space="preserve">Zonal </w:t>
      </w:r>
      <w:r w:rsidR="00A546E2" w:rsidRPr="0045076A">
        <w:t>Resource Adequacy Margin</w:t>
      </w:r>
      <w:r w:rsidRPr="0045076A">
        <w:t xml:space="preserve"> </w:t>
      </w:r>
      <w:bookmarkEnd w:id="193"/>
      <w:bookmarkEnd w:id="194"/>
      <w:r w:rsidR="00A546E2" w:rsidRPr="0045076A">
        <w:t>(ZRAM)</w:t>
      </w:r>
      <w:bookmarkEnd w:id="195"/>
    </w:p>
    <w:p w14:paraId="34B5EBAE" w14:textId="2C4C272F" w:rsidR="00B6699B" w:rsidRDefault="00041117" w:rsidP="002900A4">
      <w:pPr>
        <w:pStyle w:val="BodyText"/>
      </w:pPr>
      <w:r w:rsidRPr="00B6699B">
        <w:t xml:space="preserve">The </w:t>
      </w:r>
      <w:r w:rsidR="00B6699B" w:rsidRPr="002900A4">
        <w:t>RNA</w:t>
      </w:r>
      <w:r w:rsidR="00B6699B">
        <w:t xml:space="preserve"> B</w:t>
      </w:r>
      <w:r w:rsidRPr="00B6699B">
        <w:t xml:space="preserve">ase </w:t>
      </w:r>
      <w:r w:rsidR="00B6699B">
        <w:t>C</w:t>
      </w:r>
      <w:r w:rsidRPr="00B6699B">
        <w:t xml:space="preserve">ase </w:t>
      </w:r>
      <w:r w:rsidR="00B6699B">
        <w:t xml:space="preserve">results show that the </w:t>
      </w:r>
      <w:r w:rsidRPr="00B6699B">
        <w:t xml:space="preserve">LOLE </w:t>
      </w:r>
      <w:r w:rsidR="003F4C62">
        <w:t xml:space="preserve">is at the resource adequacy criterion in 2026 and </w:t>
      </w:r>
      <w:r w:rsidRPr="00B6699B">
        <w:t>exceed</w:t>
      </w:r>
      <w:r w:rsidR="003F4C62">
        <w:t>s</w:t>
      </w:r>
      <w:r w:rsidRPr="00B6699B">
        <w:t xml:space="preserve"> 0.10 </w:t>
      </w:r>
      <w:r w:rsidR="00B6699B">
        <w:t xml:space="preserve">days/year </w:t>
      </w:r>
      <w:r w:rsidR="00CD48E7">
        <w:t xml:space="preserve">starting </w:t>
      </w:r>
      <w:r w:rsidR="003F4C62">
        <w:t>in</w:t>
      </w:r>
      <w:r w:rsidR="003F4C62" w:rsidRPr="00B6699B">
        <w:t xml:space="preserve"> </w:t>
      </w:r>
      <w:r w:rsidRPr="00B6699B">
        <w:t xml:space="preserve">2027. </w:t>
      </w:r>
    </w:p>
    <w:p w14:paraId="32031222" w14:textId="764C19A2" w:rsidR="00041117" w:rsidRPr="00B6699B" w:rsidRDefault="00041117" w:rsidP="002900A4">
      <w:pPr>
        <w:pStyle w:val="BodyText"/>
      </w:pPr>
      <w:r w:rsidRPr="00B6699B">
        <w:t>S</w:t>
      </w:r>
      <w:r w:rsidRPr="00B6699B">
        <w:rPr>
          <w:lang w:bidi="en-US"/>
        </w:rPr>
        <w:t>cenario analyses were performed to determine the amount of capacity i</w:t>
      </w:r>
      <w:r w:rsidR="00A66ACB">
        <w:rPr>
          <w:lang w:bidi="en-US"/>
        </w:rPr>
        <w:t xml:space="preserve">n each </w:t>
      </w:r>
      <w:r w:rsidR="003F4C62">
        <w:rPr>
          <w:lang w:bidi="en-US"/>
        </w:rPr>
        <w:t>Z</w:t>
      </w:r>
      <w:r w:rsidR="00A66ACB">
        <w:rPr>
          <w:lang w:bidi="en-US"/>
        </w:rPr>
        <w:t>one that could be removed before the NYCA LOLE reaches</w:t>
      </w:r>
      <w:r w:rsidRPr="00B6699B">
        <w:rPr>
          <w:lang w:bidi="en-US"/>
        </w:rPr>
        <w:t xml:space="preserve"> 0.10</w:t>
      </w:r>
      <w:r w:rsidR="00B6699B">
        <w:rPr>
          <w:lang w:bidi="en-US"/>
        </w:rPr>
        <w:t xml:space="preserve"> days/year</w:t>
      </w:r>
      <w:r w:rsidR="00A66ACB">
        <w:rPr>
          <w:lang w:bidi="en-US"/>
        </w:rPr>
        <w:t>, and offers another relative measure of how close the system is from violating reliability criteria. This simulation is applicable to any RNA Study Year</w:t>
      </w:r>
      <w:r w:rsidR="00903AA5">
        <w:rPr>
          <w:lang w:bidi="en-US"/>
        </w:rPr>
        <w:t>s</w:t>
      </w:r>
      <w:r w:rsidR="00A66ACB">
        <w:rPr>
          <w:lang w:bidi="en-US"/>
        </w:rPr>
        <w:t xml:space="preserve"> that </w:t>
      </w:r>
      <w:r w:rsidR="00903AA5">
        <w:rPr>
          <w:lang w:bidi="en-US"/>
        </w:rPr>
        <w:t>have</w:t>
      </w:r>
      <w:r w:rsidR="00A66ACB">
        <w:rPr>
          <w:lang w:bidi="en-US"/>
        </w:rPr>
        <w:t xml:space="preserve"> LOLE </w:t>
      </w:r>
      <w:r w:rsidR="003318CB">
        <w:rPr>
          <w:lang w:bidi="en-US"/>
        </w:rPr>
        <w:t xml:space="preserve">levels that are </w:t>
      </w:r>
      <w:r w:rsidR="00A66ACB">
        <w:rPr>
          <w:lang w:bidi="en-US"/>
        </w:rPr>
        <w:t xml:space="preserve">below criterion, </w:t>
      </w:r>
      <w:r w:rsidR="00A66ACB" w:rsidRPr="00A66ACB">
        <w:rPr>
          <w:i/>
          <w:lang w:bidi="en-US"/>
        </w:rPr>
        <w:t>i.e</w:t>
      </w:r>
      <w:r w:rsidR="00A66ACB">
        <w:rPr>
          <w:lang w:bidi="en-US"/>
        </w:rPr>
        <w:t>.,</w:t>
      </w:r>
      <w:r w:rsidRPr="00B6699B">
        <w:rPr>
          <w:lang w:bidi="en-US"/>
        </w:rPr>
        <w:t xml:space="preserve"> from 2024 through 2026. The NYISO reduced capacity</w:t>
      </w:r>
      <w:r w:rsidR="00903AA5">
        <w:rPr>
          <w:lang w:bidi="en-US"/>
        </w:rPr>
        <w:t xml:space="preserve"> one </w:t>
      </w:r>
      <w:r w:rsidR="003318CB">
        <w:rPr>
          <w:lang w:bidi="en-US"/>
        </w:rPr>
        <w:t>Z</w:t>
      </w:r>
      <w:r w:rsidR="00903AA5">
        <w:rPr>
          <w:lang w:bidi="en-US"/>
        </w:rPr>
        <w:t>one at a time</w:t>
      </w:r>
      <w:r w:rsidRPr="00B6699B">
        <w:rPr>
          <w:lang w:bidi="en-US"/>
        </w:rPr>
        <w:t xml:space="preserve"> to determine when violations occur</w:t>
      </w:r>
      <w:r w:rsidR="003318CB">
        <w:rPr>
          <w:lang w:bidi="en-US"/>
        </w:rPr>
        <w:t>,</w:t>
      </w:r>
      <w:r w:rsidRPr="00B6699B">
        <w:rPr>
          <w:lang w:bidi="en-US"/>
        </w:rPr>
        <w:t xml:space="preserve"> in the same manner as the compensatory </w:t>
      </w:r>
      <w:r w:rsidR="00A66ACB">
        <w:rPr>
          <w:lang w:bidi="en-US"/>
        </w:rPr>
        <w:t xml:space="preserve">“perfect” </w:t>
      </w:r>
      <w:r w:rsidRPr="00B6699B">
        <w:rPr>
          <w:lang w:bidi="en-US"/>
        </w:rPr>
        <w:t>MW are added to mitigate resource adequacy violations, but with the opposite impact. </w:t>
      </w:r>
      <w:r w:rsidR="003318CB">
        <w:rPr>
          <w:lang w:bidi="en-US"/>
        </w:rPr>
        <w:t xml:space="preserve"> </w:t>
      </w:r>
      <w:r w:rsidRPr="00B6699B">
        <w:rPr>
          <w:lang w:bidi="en-US"/>
        </w:rPr>
        <w:t xml:space="preserve">The zonal </w:t>
      </w:r>
      <w:r w:rsidR="00B6699B">
        <w:rPr>
          <w:lang w:bidi="en-US"/>
        </w:rPr>
        <w:t>resource margin</w:t>
      </w:r>
      <w:r w:rsidRPr="00B6699B">
        <w:rPr>
          <w:lang w:bidi="en-US"/>
        </w:rPr>
        <w:t xml:space="preserve"> analysis is </w:t>
      </w:r>
      <w:r w:rsidRPr="007D4483">
        <w:rPr>
          <w:lang w:bidi="en-US"/>
        </w:rPr>
        <w:t>summarized in</w:t>
      </w:r>
      <w:r w:rsidR="007D4483" w:rsidRPr="007D4483">
        <w:t xml:space="preserve"> </w:t>
      </w:r>
      <w:r w:rsidR="007D4483" w:rsidRPr="007D4483">
        <w:fldChar w:fldCharType="begin"/>
      </w:r>
      <w:r w:rsidR="007D4483" w:rsidRPr="007D4483">
        <w:instrText xml:space="preserve"> REF _Ref47380488 \h  \* MERGEFORMAT </w:instrText>
      </w:r>
      <w:r w:rsidR="007D4483" w:rsidRPr="007D4483">
        <w:fldChar w:fldCharType="separate"/>
      </w:r>
      <w:r w:rsidR="00A409F0" w:rsidRPr="000127EE">
        <w:t xml:space="preserve">Figure </w:t>
      </w:r>
      <w:r w:rsidR="00A409F0">
        <w:rPr>
          <w:noProof/>
        </w:rPr>
        <w:t>51</w:t>
      </w:r>
      <w:r w:rsidR="007D4483" w:rsidRPr="007D4483">
        <w:fldChar w:fldCharType="end"/>
      </w:r>
      <w:r w:rsidRPr="007D4483">
        <w:t>.</w:t>
      </w:r>
    </w:p>
    <w:p w14:paraId="63F1238E" w14:textId="77777777" w:rsidR="0043166F" w:rsidRDefault="0043166F" w:rsidP="00192DD6">
      <w:pPr>
        <w:pStyle w:val="Figure"/>
        <w:keepNext/>
        <w:keepLines/>
      </w:pPr>
      <w:bookmarkStart w:id="196" w:name="_Ref47380488"/>
      <w:bookmarkStart w:id="197" w:name="_Toc48251370"/>
    </w:p>
    <w:p w14:paraId="3D503A17" w14:textId="408A9A19" w:rsidR="007D4483" w:rsidRDefault="007D4483" w:rsidP="0043166F">
      <w:pPr>
        <w:pStyle w:val="Figure"/>
        <w:keepNext/>
        <w:keepLines/>
        <w:rPr>
          <w:rStyle w:val="caption1Char"/>
        </w:rPr>
      </w:pPr>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51</w:t>
      </w:r>
      <w:r w:rsidRPr="000127EE">
        <w:rPr>
          <w:noProof/>
        </w:rPr>
        <w:fldChar w:fldCharType="end"/>
      </w:r>
      <w:bookmarkEnd w:id="196"/>
      <w:r w:rsidRPr="008950A7">
        <w:t xml:space="preserve">: </w:t>
      </w:r>
      <w:r w:rsidR="00B6699B">
        <w:t>Zonal Resource Adequacy Margin (MW)</w:t>
      </w:r>
      <w:bookmarkEnd w:id="197"/>
    </w:p>
    <w:p w14:paraId="61E0D200" w14:textId="2D202799" w:rsidR="00CD48E7" w:rsidRDefault="00CD48E7" w:rsidP="008F4438">
      <w:pPr>
        <w:pStyle w:val="BodyText"/>
        <w:jc w:val="center"/>
        <w:rPr>
          <w:rStyle w:val="caption1Char"/>
        </w:rPr>
      </w:pPr>
      <w:r w:rsidRPr="00CD48E7">
        <w:rPr>
          <w:rStyle w:val="caption1Char"/>
          <w:rFonts w:ascii="Cambria" w:hAnsi="Cambria"/>
          <w:bCs/>
          <w:noProof/>
          <w:sz w:val="22"/>
        </w:rPr>
        <w:drawing>
          <wp:inline distT="0" distB="0" distL="0" distR="0" wp14:anchorId="5DEBB10F" wp14:editId="265F327A">
            <wp:extent cx="5918200" cy="343725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8200" cy="3437255"/>
                    </a:xfrm>
                    <a:prstGeom prst="rect">
                      <a:avLst/>
                    </a:prstGeom>
                    <a:noFill/>
                    <a:ln>
                      <a:noFill/>
                    </a:ln>
                  </pic:spPr>
                </pic:pic>
              </a:graphicData>
            </a:graphic>
          </wp:inline>
        </w:drawing>
      </w:r>
    </w:p>
    <w:p w14:paraId="37845E83" w14:textId="3BBD48C9" w:rsidR="007D6C02" w:rsidRPr="00903AA5" w:rsidRDefault="009769BE" w:rsidP="00903AA5">
      <w:pPr>
        <w:pStyle w:val="BodyText"/>
        <w:ind w:left="432"/>
        <w:rPr>
          <w:rStyle w:val="caption1Char"/>
          <w:sz w:val="18"/>
          <w:szCs w:val="18"/>
        </w:rPr>
      </w:pPr>
      <w:r w:rsidRPr="00903AA5">
        <w:rPr>
          <w:rStyle w:val="caption1Char"/>
          <w:sz w:val="18"/>
          <w:szCs w:val="18"/>
        </w:rPr>
        <w:t>Note: EZR - exceeds zonal resources (</w:t>
      </w:r>
      <w:r w:rsidR="00903AA5" w:rsidRPr="00903AA5">
        <w:rPr>
          <w:rStyle w:val="caption1Char"/>
          <w:i/>
          <w:sz w:val="18"/>
          <w:szCs w:val="18"/>
        </w:rPr>
        <w:t>i.e.,</w:t>
      </w:r>
      <w:r w:rsidR="00903AA5">
        <w:rPr>
          <w:rStyle w:val="caption1Char"/>
          <w:sz w:val="18"/>
          <w:szCs w:val="18"/>
        </w:rPr>
        <w:t xml:space="preserve"> </w:t>
      </w:r>
      <w:r w:rsidRPr="00903AA5">
        <w:rPr>
          <w:rStyle w:val="caption1Char"/>
          <w:sz w:val="18"/>
          <w:szCs w:val="18"/>
        </w:rPr>
        <w:t>all generation can be removed without causing a violation)</w:t>
      </w:r>
    </w:p>
    <w:p w14:paraId="29767C53" w14:textId="60E8A7BA" w:rsidR="00903EC1" w:rsidRPr="007D6C02" w:rsidRDefault="00903EC1" w:rsidP="00903EC1">
      <w:pPr>
        <w:pStyle w:val="BodyText"/>
        <w:rPr>
          <w:color w:val="000000" w:themeColor="text1"/>
        </w:rPr>
      </w:pPr>
      <w:r w:rsidRPr="007D6C02">
        <w:rPr>
          <w:color w:val="000000" w:themeColor="text1"/>
        </w:rPr>
        <w:t xml:space="preserve">The </w:t>
      </w:r>
      <w:r w:rsidR="00903AA5">
        <w:rPr>
          <w:color w:val="000000" w:themeColor="text1"/>
        </w:rPr>
        <w:t>ZRAM</w:t>
      </w:r>
      <w:r w:rsidRPr="007D6C02">
        <w:rPr>
          <w:color w:val="000000" w:themeColor="text1"/>
        </w:rPr>
        <w:t xml:space="preserve"> assessment identifies a maximum level of capacity that can be removed from each zone without causing NYCA LOLE criterion violations. However, the impacts of removing capacity on the reliability of the transmission system and on transfer capability are highly location dependent. Thus, in reality, lower amounts of capacity removal are likely to result in reliability issues at specific transmission locations. The </w:t>
      </w:r>
      <w:r w:rsidR="00505312" w:rsidRPr="007D6C02">
        <w:rPr>
          <w:color w:val="000000" w:themeColor="text1"/>
        </w:rPr>
        <w:t xml:space="preserve">NYISO </w:t>
      </w:r>
      <w:r w:rsidRPr="007D6C02">
        <w:rPr>
          <w:color w:val="000000" w:themeColor="text1"/>
        </w:rPr>
        <w:t xml:space="preserve">did not attempt to assess a comprehensive set of potential scenarios that might arise from specific unit retirements. Therefore, actual proposed capacity removal from any of these </w:t>
      </w:r>
      <w:r w:rsidR="003318CB">
        <w:rPr>
          <w:color w:val="000000" w:themeColor="text1"/>
        </w:rPr>
        <w:t>Z</w:t>
      </w:r>
      <w:r w:rsidRPr="007D6C02">
        <w:rPr>
          <w:color w:val="000000" w:themeColor="text1"/>
        </w:rPr>
        <w:t xml:space="preserve">ones would need to be further studied in light of the specific capacity locations in the transmission network to determine whether any additional violations of reliability criteria would result. Additional transmission security analysis, such as N-1-1 analysis, would need to be performed for any contemplated plant retirement in any </w:t>
      </w:r>
      <w:r w:rsidR="003318CB">
        <w:rPr>
          <w:color w:val="000000" w:themeColor="text1"/>
        </w:rPr>
        <w:t>Z</w:t>
      </w:r>
      <w:r w:rsidRPr="007D6C02">
        <w:rPr>
          <w:color w:val="000000" w:themeColor="text1"/>
        </w:rPr>
        <w:t>one.</w:t>
      </w:r>
    </w:p>
    <w:p w14:paraId="31D9575B" w14:textId="4679908D" w:rsidR="00657493" w:rsidRPr="007D4483" w:rsidRDefault="001A7AF9" w:rsidP="00262323">
      <w:pPr>
        <w:pStyle w:val="Heading2"/>
      </w:pPr>
      <w:bookmarkStart w:id="198" w:name="_Toc48252303"/>
      <w:bookmarkStart w:id="199" w:name="_Ref517870225"/>
      <w:bookmarkStart w:id="200" w:name="_Ref506984682"/>
      <w:bookmarkStart w:id="201" w:name="_Toc518911143"/>
      <w:bookmarkStart w:id="202" w:name="_Toc519238930"/>
      <w:r w:rsidRPr="007D4483">
        <w:t>Status-</w:t>
      </w:r>
      <w:r w:rsidR="00161D00">
        <w:t>Q</w:t>
      </w:r>
      <w:r w:rsidRPr="007D4483">
        <w:t>uo Scenario</w:t>
      </w:r>
      <w:bookmarkEnd w:id="198"/>
    </w:p>
    <w:p w14:paraId="61FC2B94" w14:textId="72365EC6" w:rsidR="002952C0" w:rsidRDefault="00657493" w:rsidP="00861DF2">
      <w:pPr>
        <w:pStyle w:val="BodyText"/>
      </w:pPr>
      <w:r w:rsidRPr="00861DF2">
        <w:t>This scenario evaluates the reliability of the system under the assumption that no major transmission or generation projects come to fruition within the</w:t>
      </w:r>
      <w:r w:rsidR="0031383F">
        <w:t xml:space="preserve"> RNA</w:t>
      </w:r>
      <w:r w:rsidRPr="00861DF2">
        <w:t xml:space="preserve"> </w:t>
      </w:r>
      <w:r w:rsidR="00861DF2">
        <w:t>S</w:t>
      </w:r>
      <w:r w:rsidRPr="00861DF2">
        <w:t xml:space="preserve">tudy </w:t>
      </w:r>
      <w:r w:rsidR="00861DF2">
        <w:t>P</w:t>
      </w:r>
      <w:r w:rsidRPr="00861DF2">
        <w:t>eriod. This incl</w:t>
      </w:r>
      <w:r w:rsidR="006F76DE" w:rsidRPr="00861DF2">
        <w:t xml:space="preserve">udes the </w:t>
      </w:r>
      <w:r w:rsidR="00216EE2">
        <w:t>removal of all proposed transmission and generation</w:t>
      </w:r>
      <w:r w:rsidR="00EA70B1">
        <w:t xml:space="preserve"> projects that have met 2020 RNA Base Case </w:t>
      </w:r>
      <w:r w:rsidR="0031383F">
        <w:t>i</w:t>
      </w:r>
      <w:r w:rsidR="00EA70B1">
        <w:t xml:space="preserve">nclusion </w:t>
      </w:r>
      <w:r w:rsidR="0031383F">
        <w:t xml:space="preserve">rules </w:t>
      </w:r>
      <w:r w:rsidR="006F76DE" w:rsidRPr="00861DF2">
        <w:t>and removal of generators that require modifications to comply with the DEC’s Peaker Rule.</w:t>
      </w:r>
    </w:p>
    <w:p w14:paraId="1A948F4C" w14:textId="2D2D9461" w:rsidR="00861DF2" w:rsidRPr="006F76DE" w:rsidRDefault="00861DF2" w:rsidP="00861DF2">
      <w:pPr>
        <w:pStyle w:val="BodyText"/>
      </w:pPr>
      <w:r>
        <w:lastRenderedPageBreak/>
        <w:t>The results of this scenario are in the</w:t>
      </w:r>
      <w:r w:rsidR="00B56F06">
        <w:rPr>
          <w:b/>
        </w:rPr>
        <w:t xml:space="preserve"> </w:t>
      </w:r>
      <w:r w:rsidR="00B56F06">
        <w:rPr>
          <w:b/>
        </w:rPr>
        <w:fldChar w:fldCharType="begin"/>
      </w:r>
      <w:r w:rsidR="00B56F06">
        <w:rPr>
          <w:b/>
        </w:rPr>
        <w:instrText xml:space="preserve"> REF _Ref47381489 \h </w:instrText>
      </w:r>
      <w:r w:rsidR="00B56F06">
        <w:rPr>
          <w:b/>
        </w:rPr>
      </w:r>
      <w:r w:rsidR="00B56F06">
        <w:rPr>
          <w:b/>
        </w:rPr>
        <w:fldChar w:fldCharType="separate"/>
      </w:r>
      <w:r w:rsidR="00A409F0" w:rsidRPr="000127EE">
        <w:t xml:space="preserve">Figure </w:t>
      </w:r>
      <w:r w:rsidR="00A409F0">
        <w:rPr>
          <w:noProof/>
        </w:rPr>
        <w:t>52</w:t>
      </w:r>
      <w:r w:rsidR="00B56F06">
        <w:rPr>
          <w:b/>
        </w:rPr>
        <w:fldChar w:fldCharType="end"/>
      </w:r>
      <w:r w:rsidRPr="00861DF2">
        <w:rPr>
          <w:b/>
        </w:rPr>
        <w:t>:</w:t>
      </w:r>
    </w:p>
    <w:p w14:paraId="11B1E383" w14:textId="0CE6AD59" w:rsidR="000804DA" w:rsidRDefault="002C7135" w:rsidP="00192DD6">
      <w:pPr>
        <w:pStyle w:val="Figure"/>
        <w:keepNext/>
        <w:keepLines/>
      </w:pPr>
      <w:bookmarkStart w:id="203" w:name="_Ref47381489"/>
      <w:bookmarkStart w:id="204" w:name="_Toc48251371"/>
      <w:r w:rsidRPr="000127EE">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52</w:t>
      </w:r>
      <w:r w:rsidRPr="000127EE">
        <w:rPr>
          <w:noProof/>
        </w:rPr>
        <w:fldChar w:fldCharType="end"/>
      </w:r>
      <w:bookmarkEnd w:id="203"/>
      <w:r w:rsidR="00EF73D4" w:rsidRPr="00EF73D4">
        <w:t xml:space="preserve">: 2020 RNA Resource Adequacy </w:t>
      </w:r>
      <w:r w:rsidR="00EF73D4">
        <w:t>Status-quo</w:t>
      </w:r>
      <w:r w:rsidR="00EF73D4" w:rsidRPr="00EF73D4">
        <w:t xml:space="preserve"> Scenario NYCA LOLE Results</w:t>
      </w:r>
      <w:bookmarkEnd w:id="204"/>
      <w:r w:rsidR="009E4874" w:rsidRPr="009E4874">
        <w:t xml:space="preserve"> </w:t>
      </w:r>
    </w:p>
    <w:p w14:paraId="3AC9CCFC" w14:textId="0CA09DDD" w:rsidR="0032672F" w:rsidRDefault="0032672F" w:rsidP="008F4438">
      <w:pPr>
        <w:pStyle w:val="BodyText"/>
        <w:jc w:val="center"/>
      </w:pPr>
      <w:r w:rsidRPr="0032672F">
        <w:rPr>
          <w:noProof/>
        </w:rPr>
        <w:drawing>
          <wp:inline distT="0" distB="0" distL="0" distR="0" wp14:anchorId="28C838FB" wp14:editId="7D1BCCF3">
            <wp:extent cx="6212752" cy="6781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a:extLst>
                        <a:ext uri="{28A0092B-C50C-407E-A947-70E740481C1C}">
                          <a14:useLocalDpi xmlns:a14="http://schemas.microsoft.com/office/drawing/2010/main" val="0"/>
                        </a:ext>
                      </a:extLst>
                    </a:blip>
                    <a:srcRect t="-2597" r="49430" b="46104"/>
                    <a:stretch/>
                  </pic:blipFill>
                  <pic:spPr bwMode="auto">
                    <a:xfrm>
                      <a:off x="0" y="0"/>
                      <a:ext cx="6221405" cy="679125"/>
                    </a:xfrm>
                    <a:prstGeom prst="rect">
                      <a:avLst/>
                    </a:prstGeom>
                    <a:noFill/>
                    <a:ln>
                      <a:noFill/>
                    </a:ln>
                    <a:extLst>
                      <a:ext uri="{53640926-AAD7-44D8-BBD7-CCE9431645EC}">
                        <a14:shadowObscured xmlns:a14="http://schemas.microsoft.com/office/drawing/2010/main"/>
                      </a:ext>
                    </a:extLst>
                  </pic:spPr>
                </pic:pic>
              </a:graphicData>
            </a:graphic>
          </wp:inline>
        </w:drawing>
      </w:r>
    </w:p>
    <w:p w14:paraId="7A2609C2" w14:textId="3701E42C" w:rsidR="00215A34" w:rsidRDefault="00215A34" w:rsidP="00215A34">
      <w:pPr>
        <w:pStyle w:val="BodyText"/>
      </w:pPr>
      <w:r>
        <w:t>From a resource adequacy perspective, t</w:t>
      </w:r>
      <w:r w:rsidR="00D00CED">
        <w:t>his scenario indicates that if expected generation and tran</w:t>
      </w:r>
      <w:r w:rsidR="0031383F">
        <w:t xml:space="preserve">smission projects are not built, </w:t>
      </w:r>
      <w:r w:rsidR="00D00CED">
        <w:t xml:space="preserve">the </w:t>
      </w:r>
      <w:r w:rsidR="0031383F">
        <w:t xml:space="preserve">criterion violation advances by </w:t>
      </w:r>
      <w:r w:rsidR="00D00CED">
        <w:t xml:space="preserve">two years to </w:t>
      </w:r>
      <w:r w:rsidR="00D00CED" w:rsidRPr="006F2B74">
        <w:t>2025</w:t>
      </w:r>
      <w:r w:rsidR="006F2B74">
        <w:t>.</w:t>
      </w:r>
      <w:r w:rsidR="000E0F9E" w:rsidRPr="006F2B74">
        <w:t xml:space="preserve"> </w:t>
      </w:r>
      <w:bookmarkEnd w:id="199"/>
      <w:bookmarkEnd w:id="200"/>
      <w:bookmarkEnd w:id="201"/>
      <w:bookmarkEnd w:id="202"/>
    </w:p>
    <w:p w14:paraId="20B3DE89" w14:textId="1C8EFF24" w:rsidR="00215A34" w:rsidRDefault="00215A34" w:rsidP="00215A34">
      <w:pPr>
        <w:pStyle w:val="BodyText"/>
      </w:pPr>
      <w:r w:rsidRPr="00215A34">
        <w:t xml:space="preserve">The steady state transmission security results show no steady state voltage Reliability Criteria violations on the BPTF for N-1 or N-1-1 events.  Additionally, no thermal Reliability Criteria violations are observed for N-1 events.  However, as compared to the RNA base case, under N-1-1 </w:t>
      </w:r>
      <w:r w:rsidR="006024E2">
        <w:t xml:space="preserve">conditions </w:t>
      </w:r>
      <w:r w:rsidRPr="00215A34">
        <w:t>additional overloads are observed in the Orange and Rockland as well as the Con Edison service territories.  The results of the steady state transmission security N-1-1 evaluation of the BPTF for this scenario are shown in</w:t>
      </w:r>
      <w:r>
        <w:t xml:space="preserve"> </w:t>
      </w:r>
      <w:r>
        <w:fldChar w:fldCharType="begin"/>
      </w:r>
      <w:r>
        <w:instrText xml:space="preserve"> REF _Ref47513929 \h </w:instrText>
      </w:r>
      <w:r>
        <w:fldChar w:fldCharType="separate"/>
      </w:r>
      <w:r w:rsidRPr="000127EE">
        <w:t xml:space="preserve">Figure </w:t>
      </w:r>
      <w:r>
        <w:rPr>
          <w:noProof/>
        </w:rPr>
        <w:t>53</w:t>
      </w:r>
      <w:r>
        <w:fldChar w:fldCharType="end"/>
      </w:r>
      <w:r w:rsidRPr="00215A34">
        <w:t xml:space="preserve">.  </w:t>
      </w:r>
    </w:p>
    <w:p w14:paraId="5B224431" w14:textId="2DB54547" w:rsidR="00215A34" w:rsidRDefault="00215A34" w:rsidP="00215A34">
      <w:pPr>
        <w:pStyle w:val="Figure"/>
        <w:keepNext/>
        <w:keepLines/>
      </w:pPr>
      <w:bookmarkStart w:id="205" w:name="_Ref47513929"/>
      <w:bookmarkStart w:id="206" w:name="_Toc48251372"/>
      <w:r w:rsidRPr="000127EE">
        <w:lastRenderedPageBreak/>
        <w:t xml:space="preserve">Figure </w:t>
      </w:r>
      <w:r w:rsidRPr="000127EE">
        <w:rPr>
          <w:noProof/>
        </w:rPr>
        <w:fldChar w:fldCharType="begin"/>
      </w:r>
      <w:r w:rsidRPr="000127EE">
        <w:rPr>
          <w:noProof/>
        </w:rPr>
        <w:instrText xml:space="preserve"> SEQ Figure \* ARABIC </w:instrText>
      </w:r>
      <w:r w:rsidRPr="000127EE">
        <w:rPr>
          <w:noProof/>
        </w:rPr>
        <w:fldChar w:fldCharType="separate"/>
      </w:r>
      <w:r w:rsidR="00F94268">
        <w:rPr>
          <w:noProof/>
        </w:rPr>
        <w:t>53</w:t>
      </w:r>
      <w:r w:rsidRPr="000127EE">
        <w:rPr>
          <w:noProof/>
        </w:rPr>
        <w:fldChar w:fldCharType="end"/>
      </w:r>
      <w:bookmarkEnd w:id="205"/>
      <w:r w:rsidRPr="00EF73D4">
        <w:t xml:space="preserve">: 2020 RNA </w:t>
      </w:r>
      <w:r>
        <w:t>Transmission Security</w:t>
      </w:r>
      <w:r w:rsidRPr="00EF73D4">
        <w:t xml:space="preserve"> </w:t>
      </w:r>
      <w:r>
        <w:t>Status-quo</w:t>
      </w:r>
      <w:r w:rsidRPr="00EF73D4">
        <w:t xml:space="preserve"> Scenario Results</w:t>
      </w:r>
      <w:bookmarkEnd w:id="206"/>
      <w:r w:rsidRPr="009E4874">
        <w:t xml:space="preserve"> </w:t>
      </w:r>
    </w:p>
    <w:p w14:paraId="4131BEB6" w14:textId="438EE4A1" w:rsidR="00127962" w:rsidRPr="00215A34" w:rsidRDefault="00215A34" w:rsidP="008F4438">
      <w:pPr>
        <w:pStyle w:val="BodyText"/>
        <w:jc w:val="center"/>
      </w:pPr>
      <w:r w:rsidRPr="00215A34">
        <w:rPr>
          <w:noProof/>
        </w:rPr>
        <w:drawing>
          <wp:inline distT="0" distB="0" distL="0" distR="0" wp14:anchorId="1D9E0275" wp14:editId="0CC30811">
            <wp:extent cx="4817269" cy="4404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1">
                      <a:extLst>
                        <a:ext uri="{28A0092B-C50C-407E-A947-70E740481C1C}">
                          <a14:useLocalDpi xmlns:a14="http://schemas.microsoft.com/office/drawing/2010/main" val="0"/>
                        </a:ext>
                      </a:extLst>
                    </a:blip>
                    <a:srcRect l="1" t="-609" r="48905" b="48577"/>
                    <a:stretch/>
                  </pic:blipFill>
                  <pic:spPr bwMode="auto">
                    <a:xfrm>
                      <a:off x="0" y="0"/>
                      <a:ext cx="4830616" cy="4416563"/>
                    </a:xfrm>
                    <a:prstGeom prst="rect">
                      <a:avLst/>
                    </a:prstGeom>
                    <a:noFill/>
                    <a:ln>
                      <a:noFill/>
                    </a:ln>
                    <a:extLst>
                      <a:ext uri="{53640926-AAD7-44D8-BBD7-CCE9431645EC}">
                        <a14:shadowObscured xmlns:a14="http://schemas.microsoft.com/office/drawing/2010/main"/>
                      </a:ext>
                    </a:extLst>
                  </pic:spPr>
                </pic:pic>
              </a:graphicData>
            </a:graphic>
          </wp:inline>
        </w:drawing>
      </w:r>
      <w:r w:rsidR="00127962" w:rsidRPr="00215A34">
        <w:br w:type="page"/>
      </w:r>
    </w:p>
    <w:p w14:paraId="37D96F9E" w14:textId="5E5A4264" w:rsidR="003B3CB6" w:rsidRPr="000A14B3" w:rsidRDefault="00635136" w:rsidP="00A8579E">
      <w:pPr>
        <w:pStyle w:val="Heading1"/>
        <w:numPr>
          <w:ilvl w:val="0"/>
          <w:numId w:val="36"/>
        </w:numPr>
      </w:pPr>
      <w:bookmarkStart w:id="207" w:name="_Toc48252304"/>
      <w:r>
        <w:lastRenderedPageBreak/>
        <w:t xml:space="preserve">“70x30” Scenario </w:t>
      </w:r>
      <w:r w:rsidR="00B8476C">
        <w:t>–</w:t>
      </w:r>
      <w:r w:rsidR="00B8476C" w:rsidRPr="000A14B3">
        <w:t xml:space="preserve"> </w:t>
      </w:r>
      <w:r w:rsidR="0084051A" w:rsidRPr="000A14B3">
        <w:t>[</w:t>
      </w:r>
      <w:r w:rsidR="0084051A" w:rsidRPr="000A14B3">
        <w:rPr>
          <w:color w:val="FF0000"/>
        </w:rPr>
        <w:t>IN PROGRESS</w:t>
      </w:r>
      <w:r w:rsidR="0084051A" w:rsidRPr="000A14B3">
        <w:t>]</w:t>
      </w:r>
      <w:bookmarkEnd w:id="207"/>
      <w:r w:rsidR="0084051A" w:rsidRPr="000A14B3">
        <w:t xml:space="preserve"> </w:t>
      </w:r>
    </w:p>
    <w:p w14:paraId="59BC7864" w14:textId="2770596A" w:rsidR="00585F5A" w:rsidRDefault="003B3CB6" w:rsidP="003B3CB6">
      <w:pPr>
        <w:pStyle w:val="BodyText"/>
      </w:pPr>
      <w:r w:rsidRPr="003B3CB6">
        <w:t>The Climate Leadership and Community Protection Act (CLCPA) mandates that New York consumers be served by 70% renewable energy by 2030 (“70x30”).  The CLCPA includes specific technology based targets for distributed solar (6,000 MW by 2025), storage (3,000 MW by 2030), and offshore wind (9,000 MW by 2035), and ultimately establishes that the electric sector wi</w:t>
      </w:r>
      <w:r w:rsidR="00F66F40">
        <w:t>ll be emissions free by 2040.</w:t>
      </w:r>
      <w:r w:rsidRPr="003B3CB6">
        <w:t xml:space="preserve"> Significant shifts are expected in both the demand and supply sides of the electric grid, and these changes will affect how the power system is currently planned and operated.  To assist the evaluation of these impacts, the </w:t>
      </w:r>
      <w:hyperlink r:id="rId72" w:history="1">
        <w:r w:rsidRPr="00F66F40">
          <w:rPr>
            <w:rStyle w:val="Hyperlink"/>
          </w:rPr>
          <w:t>2019 CARIS “70x30”</w:t>
        </w:r>
      </w:hyperlink>
      <w:r w:rsidRPr="003B3CB6">
        <w:t xml:space="preserve"> scenario kick</w:t>
      </w:r>
      <w:r>
        <w:t>ed-</w:t>
      </w:r>
      <w:r w:rsidRPr="003B3CB6">
        <w:t xml:space="preserve">off the assessment using production cost simulation tools to provide a “first look.”  Focusing on the impact to energy flows, the NYISO modeled these policy targets for the year 2030 in order to examine potential system constraints, generator curtailments, and other operational limitations.  </w:t>
      </w:r>
    </w:p>
    <w:p w14:paraId="7A36AB10" w14:textId="1485003A" w:rsidR="003B3CB6" w:rsidRDefault="003B3CB6" w:rsidP="003B3CB6">
      <w:pPr>
        <w:pStyle w:val="BodyText"/>
      </w:pPr>
      <w:r w:rsidRPr="003B3CB6">
        <w:t xml:space="preserve">Subsequent studies, such as </w:t>
      </w:r>
      <w:r>
        <w:t>this</w:t>
      </w:r>
      <w:r w:rsidRPr="003B3CB6">
        <w:t xml:space="preserve"> 20</w:t>
      </w:r>
      <w:r>
        <w:t xml:space="preserve">20 </w:t>
      </w:r>
      <w:r w:rsidR="00585F5A">
        <w:t>RNA</w:t>
      </w:r>
      <w:r w:rsidR="001A7AF9">
        <w:t xml:space="preserve"> scenario</w:t>
      </w:r>
      <w:r>
        <w:t xml:space="preserve">, as well as </w:t>
      </w:r>
      <w:r w:rsidRPr="003B3CB6">
        <w:t>the Climate Change Impact and Resilience Study, build upon the findings of th</w:t>
      </w:r>
      <w:r>
        <w:t>e 2019</w:t>
      </w:r>
      <w:r w:rsidRPr="003B3CB6">
        <w:t xml:space="preserve"> CARIS scenario</w:t>
      </w:r>
      <w:r>
        <w:t>s</w:t>
      </w:r>
      <w:r w:rsidRPr="003B3CB6">
        <w:t xml:space="preserve"> and provide further </w:t>
      </w:r>
      <w:r>
        <w:t>insight</w:t>
      </w:r>
      <w:r w:rsidRPr="003B3CB6">
        <w:t xml:space="preserve"> focusing on</w:t>
      </w:r>
      <w:r>
        <w:t xml:space="preserve"> system</w:t>
      </w:r>
      <w:r w:rsidRPr="003B3CB6">
        <w:t xml:space="preserve"> </w:t>
      </w:r>
      <w:r>
        <w:t>reliability</w:t>
      </w:r>
      <w:r w:rsidRPr="003B3CB6">
        <w:t xml:space="preserve"> aspects such as transmission security and resource adequacy.</w:t>
      </w:r>
    </w:p>
    <w:p w14:paraId="61E62391" w14:textId="19DA5DAC" w:rsidR="006905E5" w:rsidRPr="006905E5" w:rsidRDefault="00517241" w:rsidP="006905E5">
      <w:pPr>
        <w:pStyle w:val="BodyText"/>
      </w:pPr>
      <w:r w:rsidRPr="006905E5">
        <w:t xml:space="preserve">As policymakers advance the implementation plan of </w:t>
      </w:r>
      <w:r w:rsidR="006024E2">
        <w:t xml:space="preserve">the </w:t>
      </w:r>
      <w:r w:rsidRPr="006905E5">
        <w:t xml:space="preserve">CLCPA, the NYISO assessments are intended to complement their efforts, and are not intended to define the specific steps that must be taken to achieve the policy goals.  </w:t>
      </w:r>
      <w:r w:rsidR="0084051A">
        <w:t>A</w:t>
      </w:r>
      <w:r w:rsidR="006905E5" w:rsidRPr="006905E5">
        <w:t xml:space="preserve">dditional refinements in assumptions, models, and methods in the following years </w:t>
      </w:r>
      <w:r w:rsidR="0084051A">
        <w:t xml:space="preserve">will be necessary </w:t>
      </w:r>
      <w:r w:rsidR="006905E5" w:rsidRPr="006905E5">
        <w:t>as more information becomes available from policy implementation perspectives and simulation methods and models perspectives</w:t>
      </w:r>
      <w:r w:rsidR="006905E5">
        <w:t>.</w:t>
      </w:r>
    </w:p>
    <w:p w14:paraId="2B6C4268" w14:textId="7A55717E" w:rsidR="0084051A" w:rsidRDefault="0084051A" w:rsidP="009E6431">
      <w:pPr>
        <w:pStyle w:val="Heading2"/>
      </w:pPr>
      <w:bookmarkStart w:id="208" w:name="_Toc48252305"/>
      <w:r>
        <w:t>Scope</w:t>
      </w:r>
      <w:bookmarkEnd w:id="208"/>
    </w:p>
    <w:p w14:paraId="62EEF1D8" w14:textId="77777777" w:rsidR="0084051A" w:rsidRDefault="0084051A" w:rsidP="0084051A">
      <w:pPr>
        <w:pStyle w:val="BodyText"/>
      </w:pPr>
      <w:r>
        <w:t>[PLACEHOLDER]</w:t>
      </w:r>
    </w:p>
    <w:p w14:paraId="0608D9A8" w14:textId="78D2B4B4" w:rsidR="0084051A" w:rsidRDefault="0084051A" w:rsidP="0084051A">
      <w:pPr>
        <w:pStyle w:val="Heading2"/>
      </w:pPr>
      <w:bookmarkStart w:id="209" w:name="_Toc48252306"/>
      <w:r>
        <w:t>Assumptions</w:t>
      </w:r>
      <w:bookmarkEnd w:id="209"/>
    </w:p>
    <w:p w14:paraId="1C92AD91" w14:textId="77777777" w:rsidR="0084051A" w:rsidRDefault="0084051A" w:rsidP="0084051A">
      <w:pPr>
        <w:pStyle w:val="BodyText"/>
      </w:pPr>
      <w:r>
        <w:t>[PLACEHOLDER]</w:t>
      </w:r>
    </w:p>
    <w:p w14:paraId="17FC2614" w14:textId="18D6B490" w:rsidR="0084051A" w:rsidRDefault="0084051A" w:rsidP="0084051A">
      <w:pPr>
        <w:pStyle w:val="Heading2"/>
      </w:pPr>
      <w:bookmarkStart w:id="210" w:name="_Toc48252307"/>
      <w:r>
        <w:t>Resource Adequacy Methodology and Results</w:t>
      </w:r>
      <w:bookmarkEnd w:id="210"/>
    </w:p>
    <w:p w14:paraId="3F4D895C" w14:textId="77777777" w:rsidR="0084051A" w:rsidRDefault="0084051A" w:rsidP="0084051A">
      <w:pPr>
        <w:pStyle w:val="BodyText"/>
      </w:pPr>
      <w:r>
        <w:t>[PLACEHOLDER]</w:t>
      </w:r>
    </w:p>
    <w:p w14:paraId="4E103922" w14:textId="00B0403C" w:rsidR="0084051A" w:rsidRDefault="0084051A" w:rsidP="0084051A">
      <w:pPr>
        <w:pStyle w:val="Heading2"/>
      </w:pPr>
      <w:bookmarkStart w:id="211" w:name="_Toc48252308"/>
      <w:r>
        <w:t>Transmission Security Methodology and Results</w:t>
      </w:r>
      <w:bookmarkEnd w:id="211"/>
    </w:p>
    <w:p w14:paraId="5F6CAA1C" w14:textId="77777777" w:rsidR="0084051A" w:rsidRDefault="0084051A" w:rsidP="0084051A">
      <w:pPr>
        <w:pStyle w:val="BodyText"/>
      </w:pPr>
      <w:r>
        <w:t>[PLACEHOLDER]</w:t>
      </w:r>
    </w:p>
    <w:p w14:paraId="4313F357" w14:textId="5C9DCA51" w:rsidR="002C3B1A" w:rsidRDefault="002C3B1A" w:rsidP="002C3B1A">
      <w:pPr>
        <w:pStyle w:val="Heading2"/>
      </w:pPr>
      <w:bookmarkStart w:id="212" w:name="_Toc48252309"/>
      <w:r>
        <w:t>Key Findings of the “70x30” Scenario</w:t>
      </w:r>
      <w:bookmarkEnd w:id="212"/>
    </w:p>
    <w:p w14:paraId="08D37C86" w14:textId="730077E4" w:rsidR="00226653" w:rsidRDefault="0084051A" w:rsidP="00732907">
      <w:pPr>
        <w:pStyle w:val="BodyText"/>
        <w:rPr>
          <w:bCs w:val="0"/>
        </w:rPr>
      </w:pPr>
      <w:r>
        <w:t>[PLACEHOLDER]</w:t>
      </w:r>
      <w:r w:rsidR="00226653">
        <w:br w:type="page"/>
      </w:r>
    </w:p>
    <w:p w14:paraId="6589B7BE" w14:textId="63CB64E8" w:rsidR="001663D9" w:rsidRPr="001663D9" w:rsidRDefault="0068243C" w:rsidP="00A9689D">
      <w:pPr>
        <w:pStyle w:val="Heading1"/>
        <w:numPr>
          <w:ilvl w:val="0"/>
          <w:numId w:val="36"/>
        </w:numPr>
      </w:pPr>
      <w:bookmarkStart w:id="213" w:name="_Toc48252310"/>
      <w:r>
        <w:lastRenderedPageBreak/>
        <w:t xml:space="preserve">Reliability </w:t>
      </w:r>
      <w:r w:rsidR="001663D9" w:rsidRPr="001663D9">
        <w:t>Compliance Obligations and Activities</w:t>
      </w:r>
      <w:bookmarkEnd w:id="213"/>
      <w:r w:rsidR="001663D9" w:rsidRPr="001663D9">
        <w:t xml:space="preserve"> </w:t>
      </w:r>
    </w:p>
    <w:p w14:paraId="626820E9" w14:textId="7E41B360" w:rsidR="00DB6C30" w:rsidRDefault="00DB6C30" w:rsidP="00DB6C30">
      <w:pPr>
        <w:pStyle w:val="BodyText"/>
      </w:pPr>
      <w:r w:rsidRPr="001663D9">
        <w:t>The purpose of this section is to discuss the NERC Planning Coordinator and Transmission Planner obligations fulfilled by the NYISO as well as the other NPCC and NYSRC pl</w:t>
      </w:r>
      <w:r>
        <w:t xml:space="preserve">anning compliance obligations. </w:t>
      </w:r>
      <w:r w:rsidRPr="001663D9">
        <w:t>The NYISO has various compliance obligations un</w:t>
      </w:r>
      <w:r>
        <w:t xml:space="preserve">der NERC, NPCC, and the NYSRC. </w:t>
      </w:r>
      <w:r w:rsidRPr="001663D9">
        <w:t xml:space="preserve">The periodicity of these requirements varies amongst the </w:t>
      </w:r>
      <w:r>
        <w:t>standards and requirements.</w:t>
      </w:r>
      <w:r w:rsidRPr="001663D9">
        <w:t xml:space="preserve"> While achieving compliance with all NERC, NPCC, and NYSRC obligations is critical to ensuring the continued reliability of the transmission system, this section primarily discusses in some detail the planning compliance requirements that closely align with this</w:t>
      </w:r>
      <w:r>
        <w:t xml:space="preserve"> Reliability Needs Assessment. </w:t>
      </w:r>
      <w:r w:rsidRPr="001663D9">
        <w:t>The full details of the compliance obligations are found within the reliability standards and requirements themselves.</w:t>
      </w:r>
    </w:p>
    <w:p w14:paraId="76DE0CEB" w14:textId="335D11AE" w:rsidR="001663D9" w:rsidRPr="001663D9" w:rsidRDefault="001663D9" w:rsidP="001663D9">
      <w:pPr>
        <w:pStyle w:val="BodyText"/>
      </w:pPr>
      <w:r w:rsidRPr="001663D9">
        <w:t>The purpose of the NERC Reliability Standards is to “define the reliability requirements for planning and operating the North American bulk power system and are developed using a results-based approach that focuses on performance, risk managem</w:t>
      </w:r>
      <w:r w:rsidR="00B82999">
        <w:t xml:space="preserve">ent, and entity capabilities.” </w:t>
      </w:r>
      <w:r w:rsidRPr="001663D9">
        <w:t xml:space="preserve">The objective of NPCC Directory #1 and the NYSRC Reliability Rules and Compliance Manual are to provide a “design-based approach” to design and operate the bulk power system to a level of reliability that will not result in the loss or unintentional separation of a major portion of the system from any of the planning and operations contingencies with the intent of avoiding instability, voltage collapse and widespread cascading outages. </w:t>
      </w:r>
      <w:r w:rsidR="00F94268">
        <w:rPr>
          <w:highlight w:val="yellow"/>
        </w:rPr>
        <w:fldChar w:fldCharType="begin"/>
      </w:r>
      <w:r w:rsidR="00F94268">
        <w:instrText xml:space="preserve"> REF _Ref47680671 \h </w:instrText>
      </w:r>
      <w:r w:rsidR="00F94268">
        <w:rPr>
          <w:highlight w:val="yellow"/>
        </w:rPr>
      </w:r>
      <w:r w:rsidR="00F94268">
        <w:rPr>
          <w:highlight w:val="yellow"/>
        </w:rPr>
        <w:fldChar w:fldCharType="separate"/>
      </w:r>
      <w:r w:rsidR="00F94268" w:rsidRPr="00F94268">
        <w:t xml:space="preserve">Figure </w:t>
      </w:r>
      <w:r w:rsidR="00F94268">
        <w:rPr>
          <w:noProof/>
        </w:rPr>
        <w:t>55</w:t>
      </w:r>
      <w:r w:rsidR="00F94268">
        <w:rPr>
          <w:highlight w:val="yellow"/>
        </w:rPr>
        <w:fldChar w:fldCharType="end"/>
      </w:r>
      <w:r w:rsidR="00F94268">
        <w:t xml:space="preserve"> </w:t>
      </w:r>
      <w:r w:rsidRPr="001663D9">
        <w:t>shows the various NERC Standards with requirements applicable to the NYISO as a NERC registered Planning Coordinator and/or Transmission Planner.  The NPCC planning compliance obligations are primarily located in NPCC Regional Reliability Reference Directory #1 Design and Opera</w:t>
      </w:r>
      <w:r w:rsidR="00B82999">
        <w:t xml:space="preserve">tion of the Bulk Power System. </w:t>
      </w:r>
      <w:r w:rsidRPr="001663D9">
        <w:t xml:space="preserve">The NYSRC planning compliance obligations are located in the Reliability Rules and Compliance Manual. </w:t>
      </w:r>
    </w:p>
    <w:p w14:paraId="5B26BE99" w14:textId="054D8BA2" w:rsidR="001663D9" w:rsidRPr="001663D9" w:rsidRDefault="001663D9" w:rsidP="001663D9">
      <w:pPr>
        <w:pStyle w:val="BodyText"/>
      </w:pPr>
      <w:r w:rsidRPr="001663D9">
        <w:t xml:space="preserve">Fundamental to any reliability study is the accuracy modeling data provided by the entities responsible </w:t>
      </w:r>
      <w:r w:rsidR="00B82999">
        <w:t>for providing the data.</w:t>
      </w:r>
      <w:r w:rsidRPr="001663D9">
        <w:t xml:space="preserve"> The data requirements for the development of the steady state, dynamics, and short circuit models is provided in the NYISO Reliability Analysis Data Manual (RAD Manual).</w:t>
      </w:r>
      <w:r w:rsidR="00B82999">
        <w:rPr>
          <w:rStyle w:val="FootnoteReference"/>
        </w:rPr>
        <w:footnoteReference w:id="19"/>
      </w:r>
      <w:r w:rsidR="00B82999">
        <w:t xml:space="preserve"> </w:t>
      </w:r>
      <w:r w:rsidRPr="001663D9">
        <w:t>This data primarily comes from compliance with NERC MOD standards</w:t>
      </w:r>
      <w:r w:rsidR="00B82999">
        <w:t>.</w:t>
      </w:r>
      <w:r w:rsidRPr="001663D9">
        <w:t xml:space="preserve"> Much of this data is collected through the annual database update process outlined in the RAD Manual and the annual FERC Form 715 filing to which the transmitting utilities certify, to the best of their knowledge, the accuracy of the data. Additional</w:t>
      </w:r>
      <w:r w:rsidR="00AE5F01">
        <w:t xml:space="preserve"> </w:t>
      </w:r>
      <w:r w:rsidRPr="001663D9">
        <w:t xml:space="preserve">compliance obligations </w:t>
      </w:r>
      <w:r w:rsidR="00AE5F01">
        <w:t>provide for</w:t>
      </w:r>
      <w:r w:rsidRPr="001663D9">
        <w:t xml:space="preserve"> the accuracy of the modeling data through comparison to actual system events (</w:t>
      </w:r>
      <w:r w:rsidRPr="00DD64EF">
        <w:rPr>
          <w:i/>
        </w:rPr>
        <w:t>e.g.,</w:t>
      </w:r>
      <w:r w:rsidRPr="001663D9">
        <w:t xml:space="preserve"> M</w:t>
      </w:r>
      <w:r w:rsidR="00B82999">
        <w:t xml:space="preserve">OD-026, MOD-026, and MOD-033). </w:t>
      </w:r>
    </w:p>
    <w:p w14:paraId="786AC8D9" w14:textId="6BEDD89E" w:rsidR="001663D9" w:rsidRPr="001663D9" w:rsidRDefault="001663D9" w:rsidP="001663D9">
      <w:pPr>
        <w:pStyle w:val="BodyText"/>
      </w:pPr>
      <w:r w:rsidRPr="001663D9">
        <w:t xml:space="preserve">Following the completion of the annual database update, these databases are used for study work such </w:t>
      </w:r>
      <w:r w:rsidRPr="001663D9">
        <w:lastRenderedPageBreak/>
        <w:t xml:space="preserve">as the Reliability Planning Process, </w:t>
      </w:r>
      <w:r w:rsidR="00AE5F01">
        <w:t>and</w:t>
      </w:r>
      <w:r w:rsidRPr="001663D9">
        <w:t xml:space="preserve"> for many other compliance obligations such </w:t>
      </w:r>
      <w:r w:rsidR="00B82999">
        <w:t xml:space="preserve">as those listed in </w:t>
      </w:r>
      <w:r w:rsidR="00F94268">
        <w:rPr>
          <w:highlight w:val="yellow"/>
        </w:rPr>
        <w:fldChar w:fldCharType="begin"/>
      </w:r>
      <w:r w:rsidR="00F94268">
        <w:instrText xml:space="preserve"> REF _Ref47680671 \h </w:instrText>
      </w:r>
      <w:r w:rsidR="00F94268">
        <w:rPr>
          <w:highlight w:val="yellow"/>
        </w:rPr>
      </w:r>
      <w:r w:rsidR="00F94268">
        <w:rPr>
          <w:highlight w:val="yellow"/>
        </w:rPr>
        <w:fldChar w:fldCharType="separate"/>
      </w:r>
      <w:r w:rsidR="00F94268" w:rsidRPr="00F94268">
        <w:t xml:space="preserve">Figure </w:t>
      </w:r>
      <w:r w:rsidR="00F94268">
        <w:rPr>
          <w:noProof/>
        </w:rPr>
        <w:t>55</w:t>
      </w:r>
      <w:r w:rsidR="00F94268">
        <w:rPr>
          <w:highlight w:val="yellow"/>
        </w:rPr>
        <w:fldChar w:fldCharType="end"/>
      </w:r>
      <w:r w:rsidR="00B82999">
        <w:t xml:space="preserve">. </w:t>
      </w:r>
      <w:r w:rsidRPr="001663D9">
        <w:t xml:space="preserve">Planning studies </w:t>
      </w:r>
      <w:r w:rsidR="00AE5F01">
        <w:t>similar</w:t>
      </w:r>
      <w:r w:rsidRPr="001663D9">
        <w:t xml:space="preserve"> to the Reliability Planning Process include the NPCC/NYSRC Area Transmission Reviews (ATRs) and the NERC TPL-001 assessments.  </w:t>
      </w:r>
    </w:p>
    <w:p w14:paraId="202DFE0D" w14:textId="43F073D1" w:rsidR="001663D9" w:rsidRPr="00F94268" w:rsidRDefault="00F94268" w:rsidP="00F94268">
      <w:pPr>
        <w:pStyle w:val="Figure"/>
      </w:pPr>
      <w:bookmarkStart w:id="214" w:name="_Ref47680671"/>
      <w:bookmarkStart w:id="215" w:name="_Toc48251373"/>
      <w:r w:rsidRPr="00F94268">
        <w:t xml:space="preserve">Figure </w:t>
      </w:r>
      <w:r w:rsidR="00D517E4">
        <w:fldChar w:fldCharType="begin"/>
      </w:r>
      <w:r w:rsidR="00D517E4">
        <w:instrText xml:space="preserve"> SEQ Figure \* ARABIC </w:instrText>
      </w:r>
      <w:r w:rsidR="00D517E4">
        <w:fldChar w:fldCharType="separate"/>
      </w:r>
      <w:r>
        <w:rPr>
          <w:noProof/>
        </w:rPr>
        <w:t>55</w:t>
      </w:r>
      <w:r w:rsidR="00D517E4">
        <w:rPr>
          <w:noProof/>
        </w:rPr>
        <w:fldChar w:fldCharType="end"/>
      </w:r>
      <w:bookmarkEnd w:id="214"/>
      <w:r w:rsidR="00B82999" w:rsidRPr="00F94268">
        <w:t>:</w:t>
      </w:r>
      <w:r w:rsidR="00D90FFB" w:rsidRPr="00F94268">
        <w:t xml:space="preserve"> List of NERC Standards for Planning Coordinators and Transmission Planners</w:t>
      </w:r>
      <w:bookmarkEnd w:id="215"/>
    </w:p>
    <w:tbl>
      <w:tblPr>
        <w:tblW w:w="10345" w:type="dxa"/>
        <w:tblLook w:val="04A0" w:firstRow="1" w:lastRow="0" w:firstColumn="1" w:lastColumn="0" w:noHBand="0" w:noVBand="1"/>
      </w:tblPr>
      <w:tblGrid>
        <w:gridCol w:w="1460"/>
        <w:gridCol w:w="3305"/>
        <w:gridCol w:w="5580"/>
      </w:tblGrid>
      <w:tr w:rsidR="00B82999" w:rsidRPr="00B82999" w14:paraId="0DFCDE74" w14:textId="77777777" w:rsidTr="00A9689D">
        <w:trPr>
          <w:trHeight w:val="492"/>
          <w:tblHeader/>
        </w:trPr>
        <w:tc>
          <w:tcPr>
            <w:tcW w:w="1460" w:type="dxa"/>
            <w:tcBorders>
              <w:top w:val="single" w:sz="4" w:space="0" w:color="auto"/>
              <w:left w:val="single" w:sz="4" w:space="0" w:color="auto"/>
              <w:bottom w:val="single" w:sz="4" w:space="0" w:color="BFBFBF"/>
              <w:right w:val="single" w:sz="4" w:space="0" w:color="BFBFBF"/>
            </w:tcBorders>
            <w:shd w:val="clear" w:color="000000" w:fill="BDD7EE"/>
            <w:noWrap/>
            <w:hideMark/>
          </w:tcPr>
          <w:p w14:paraId="157D18E0"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Standard Name</w:t>
            </w:r>
          </w:p>
        </w:tc>
        <w:tc>
          <w:tcPr>
            <w:tcW w:w="3305" w:type="dxa"/>
            <w:tcBorders>
              <w:top w:val="single" w:sz="4" w:space="0" w:color="auto"/>
              <w:left w:val="nil"/>
              <w:bottom w:val="single" w:sz="4" w:space="0" w:color="BFBFBF"/>
              <w:right w:val="single" w:sz="4" w:space="0" w:color="BFBFBF"/>
            </w:tcBorders>
            <w:shd w:val="clear" w:color="000000" w:fill="BDD7EE"/>
            <w:hideMark/>
          </w:tcPr>
          <w:p w14:paraId="7B3004CA"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Title</w:t>
            </w:r>
          </w:p>
        </w:tc>
        <w:tc>
          <w:tcPr>
            <w:tcW w:w="5580" w:type="dxa"/>
            <w:tcBorders>
              <w:top w:val="single" w:sz="4" w:space="0" w:color="auto"/>
              <w:left w:val="nil"/>
              <w:bottom w:val="single" w:sz="4" w:space="0" w:color="BFBFBF"/>
              <w:right w:val="single" w:sz="4" w:space="0" w:color="auto"/>
            </w:tcBorders>
            <w:shd w:val="clear" w:color="000000" w:fill="BDD7EE"/>
            <w:hideMark/>
          </w:tcPr>
          <w:p w14:paraId="7C34BB28" w14:textId="77777777" w:rsidR="00B82999" w:rsidRPr="00B82999" w:rsidRDefault="00B82999" w:rsidP="00B82999">
            <w:pPr>
              <w:spacing w:after="0"/>
              <w:ind w:left="0" w:firstLine="0"/>
              <w:jc w:val="center"/>
              <w:rPr>
                <w:rFonts w:ascii="Franklin Gothic Demi" w:hAnsi="Franklin Gothic Demi"/>
                <w:color w:val="000000"/>
                <w:szCs w:val="20"/>
                <w:lang w:bidi="ar-SA"/>
              </w:rPr>
            </w:pPr>
            <w:r w:rsidRPr="00B82999">
              <w:rPr>
                <w:rFonts w:ascii="Franklin Gothic Demi" w:hAnsi="Franklin Gothic Demi"/>
                <w:color w:val="000000"/>
                <w:szCs w:val="20"/>
                <w:lang w:bidi="ar-SA"/>
              </w:rPr>
              <w:t>Purpose</w:t>
            </w:r>
          </w:p>
        </w:tc>
      </w:tr>
      <w:tr w:rsidR="00B82999" w:rsidRPr="00B82999" w14:paraId="4019BA1C"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38EEB16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FAC-002</w:t>
            </w:r>
          </w:p>
        </w:tc>
        <w:tc>
          <w:tcPr>
            <w:tcW w:w="3305" w:type="dxa"/>
            <w:tcBorders>
              <w:top w:val="nil"/>
              <w:left w:val="nil"/>
              <w:bottom w:val="single" w:sz="4" w:space="0" w:color="BFBFBF"/>
              <w:right w:val="single" w:sz="4" w:space="0" w:color="BFBFBF"/>
            </w:tcBorders>
            <w:shd w:val="clear" w:color="auto" w:fill="auto"/>
            <w:hideMark/>
          </w:tcPr>
          <w:p w14:paraId="38197FA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Facility Interconnection Studies</w:t>
            </w:r>
          </w:p>
        </w:tc>
        <w:tc>
          <w:tcPr>
            <w:tcW w:w="5580" w:type="dxa"/>
            <w:tcBorders>
              <w:top w:val="nil"/>
              <w:left w:val="nil"/>
              <w:bottom w:val="single" w:sz="4" w:space="0" w:color="BFBFBF"/>
              <w:right w:val="single" w:sz="4" w:space="0" w:color="auto"/>
            </w:tcBorders>
            <w:shd w:val="clear" w:color="auto" w:fill="auto"/>
            <w:hideMark/>
          </w:tcPr>
          <w:p w14:paraId="454340CC"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study the impact of interconnecting new or materially modified Facilities to the Bulk Electric System.</w:t>
            </w:r>
          </w:p>
        </w:tc>
      </w:tr>
      <w:tr w:rsidR="00B82999" w:rsidRPr="00B82999" w14:paraId="6E1775D2"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3605A282"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FAC-010</w:t>
            </w:r>
          </w:p>
        </w:tc>
        <w:tc>
          <w:tcPr>
            <w:tcW w:w="3305" w:type="dxa"/>
            <w:tcBorders>
              <w:top w:val="nil"/>
              <w:left w:val="nil"/>
              <w:bottom w:val="single" w:sz="4" w:space="0" w:color="BFBFBF"/>
              <w:right w:val="single" w:sz="4" w:space="0" w:color="BFBFBF"/>
            </w:tcBorders>
            <w:shd w:val="clear" w:color="auto" w:fill="auto"/>
            <w:hideMark/>
          </w:tcPr>
          <w:p w14:paraId="1138230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System Operating Limits Methodology for the Planning Horizon</w:t>
            </w:r>
          </w:p>
        </w:tc>
        <w:tc>
          <w:tcPr>
            <w:tcW w:w="5580" w:type="dxa"/>
            <w:tcBorders>
              <w:top w:val="nil"/>
              <w:left w:val="nil"/>
              <w:bottom w:val="single" w:sz="4" w:space="0" w:color="BFBFBF"/>
              <w:right w:val="single" w:sz="4" w:space="0" w:color="auto"/>
            </w:tcBorders>
            <w:shd w:val="clear" w:color="auto" w:fill="auto"/>
            <w:hideMark/>
          </w:tcPr>
          <w:p w14:paraId="31A3A5AC" w14:textId="3F41E9AD"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System Operating Limits (SOLs) used in the reliable planning of the Bulk Electric System (BES) are determined based on an established methodology or methodologies.</w:t>
            </w:r>
          </w:p>
        </w:tc>
      </w:tr>
      <w:tr w:rsidR="00B82999" w:rsidRPr="00B82999" w14:paraId="069C01E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150FFE4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FAC-013</w:t>
            </w:r>
          </w:p>
        </w:tc>
        <w:tc>
          <w:tcPr>
            <w:tcW w:w="3305" w:type="dxa"/>
            <w:tcBorders>
              <w:top w:val="nil"/>
              <w:left w:val="nil"/>
              <w:bottom w:val="single" w:sz="4" w:space="0" w:color="BFBFBF"/>
              <w:right w:val="single" w:sz="4" w:space="0" w:color="BFBFBF"/>
            </w:tcBorders>
            <w:shd w:val="clear" w:color="auto" w:fill="auto"/>
            <w:hideMark/>
          </w:tcPr>
          <w:p w14:paraId="219B203F"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Assessment of Transfer Capability for the Near-Term Transmission Planning Horizon</w:t>
            </w:r>
          </w:p>
        </w:tc>
        <w:tc>
          <w:tcPr>
            <w:tcW w:w="5580" w:type="dxa"/>
            <w:tcBorders>
              <w:top w:val="nil"/>
              <w:left w:val="nil"/>
              <w:bottom w:val="single" w:sz="4" w:space="0" w:color="BFBFBF"/>
              <w:right w:val="single" w:sz="4" w:space="0" w:color="auto"/>
            </w:tcBorders>
            <w:shd w:val="clear" w:color="auto" w:fill="auto"/>
            <w:hideMark/>
          </w:tcPr>
          <w:p w14:paraId="5730CFAD" w14:textId="5EAE786C"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Planning Coordinators have a methodology for, and perform an annual assessment to identify potential future Transmission System weaknesses and limiting Facilities that could impact the Bulk Electric System's (BES) ability to reliably transfer energy in the Near-Term Transmission Planning Horizon.</w:t>
            </w:r>
          </w:p>
        </w:tc>
      </w:tr>
      <w:tr w:rsidR="00B82999" w:rsidRPr="00B82999" w14:paraId="2E3D81FA"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2A02D863"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FAC-014</w:t>
            </w:r>
          </w:p>
        </w:tc>
        <w:tc>
          <w:tcPr>
            <w:tcW w:w="3305" w:type="dxa"/>
            <w:tcBorders>
              <w:top w:val="nil"/>
              <w:left w:val="nil"/>
              <w:bottom w:val="single" w:sz="4" w:space="0" w:color="BFBFBF"/>
              <w:right w:val="single" w:sz="4" w:space="0" w:color="BFBFBF"/>
            </w:tcBorders>
            <w:shd w:val="clear" w:color="auto" w:fill="auto"/>
            <w:hideMark/>
          </w:tcPr>
          <w:p w14:paraId="4A34080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and Communicate System Operating Limits</w:t>
            </w:r>
          </w:p>
        </w:tc>
        <w:tc>
          <w:tcPr>
            <w:tcW w:w="5580" w:type="dxa"/>
            <w:tcBorders>
              <w:top w:val="nil"/>
              <w:left w:val="nil"/>
              <w:bottom w:val="single" w:sz="4" w:space="0" w:color="BFBFBF"/>
              <w:right w:val="single" w:sz="4" w:space="0" w:color="auto"/>
            </w:tcBorders>
            <w:shd w:val="clear" w:color="auto" w:fill="auto"/>
            <w:hideMark/>
          </w:tcPr>
          <w:p w14:paraId="49251257" w14:textId="664EBA9F"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System Operating Limits (SOLs) used in the reliable planning and operation of the Bulk Electric System (BES) are determined based on an established methodology or methodologies.</w:t>
            </w:r>
          </w:p>
        </w:tc>
      </w:tr>
      <w:tr w:rsidR="00B82999" w:rsidRPr="00B82999" w14:paraId="46EA09DF"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8B01CA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IRO-017</w:t>
            </w:r>
          </w:p>
        </w:tc>
        <w:tc>
          <w:tcPr>
            <w:tcW w:w="3305" w:type="dxa"/>
            <w:tcBorders>
              <w:top w:val="nil"/>
              <w:left w:val="nil"/>
              <w:bottom w:val="single" w:sz="4" w:space="0" w:color="BFBFBF"/>
              <w:right w:val="single" w:sz="4" w:space="0" w:color="BFBFBF"/>
            </w:tcBorders>
            <w:shd w:val="clear" w:color="auto" w:fill="auto"/>
            <w:hideMark/>
          </w:tcPr>
          <w:p w14:paraId="6747FB6C" w14:textId="77777777" w:rsidR="00B82999" w:rsidRPr="00B82999" w:rsidRDefault="00B82999" w:rsidP="00A9689D">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Outage Coordination</w:t>
            </w:r>
          </w:p>
        </w:tc>
        <w:tc>
          <w:tcPr>
            <w:tcW w:w="5580" w:type="dxa"/>
            <w:tcBorders>
              <w:top w:val="nil"/>
              <w:left w:val="nil"/>
              <w:bottom w:val="single" w:sz="4" w:space="0" w:color="BFBFBF"/>
              <w:right w:val="single" w:sz="4" w:space="0" w:color="auto"/>
            </w:tcBorders>
            <w:shd w:val="clear" w:color="auto" w:fill="auto"/>
            <w:hideMark/>
          </w:tcPr>
          <w:p w14:paraId="4F854662" w14:textId="755A5B79"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outages are properly coordinated in the Operations Planning time horizon and Near-Term Transmission Planning Horizon.</w:t>
            </w:r>
          </w:p>
        </w:tc>
      </w:tr>
      <w:tr w:rsidR="00B82999" w:rsidRPr="00B82999" w14:paraId="4514BDBA" w14:textId="77777777" w:rsidTr="00A9689D">
        <w:trPr>
          <w:trHeight w:val="1656"/>
        </w:trPr>
        <w:tc>
          <w:tcPr>
            <w:tcW w:w="1460" w:type="dxa"/>
            <w:tcBorders>
              <w:top w:val="nil"/>
              <w:left w:val="single" w:sz="4" w:space="0" w:color="auto"/>
              <w:bottom w:val="single" w:sz="4" w:space="0" w:color="BFBFBF"/>
              <w:right w:val="single" w:sz="4" w:space="0" w:color="BFBFBF"/>
            </w:tcBorders>
            <w:shd w:val="clear" w:color="auto" w:fill="auto"/>
            <w:noWrap/>
            <w:hideMark/>
          </w:tcPr>
          <w:p w14:paraId="1B899BE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MOD-020</w:t>
            </w:r>
          </w:p>
        </w:tc>
        <w:tc>
          <w:tcPr>
            <w:tcW w:w="3305" w:type="dxa"/>
            <w:tcBorders>
              <w:top w:val="nil"/>
              <w:left w:val="nil"/>
              <w:bottom w:val="single" w:sz="4" w:space="0" w:color="BFBFBF"/>
              <w:right w:val="single" w:sz="4" w:space="0" w:color="BFBFBF"/>
            </w:tcBorders>
            <w:shd w:val="clear" w:color="auto" w:fill="auto"/>
            <w:hideMark/>
          </w:tcPr>
          <w:p w14:paraId="092F02B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Providing Interruptible Demands and Direct Control Load Management Data to System Operators and Reliability Coordinators</w:t>
            </w:r>
          </w:p>
        </w:tc>
        <w:tc>
          <w:tcPr>
            <w:tcW w:w="5580" w:type="dxa"/>
            <w:tcBorders>
              <w:top w:val="nil"/>
              <w:left w:val="nil"/>
              <w:bottom w:val="single" w:sz="4" w:space="0" w:color="BFBFBF"/>
              <w:right w:val="single" w:sz="4" w:space="0" w:color="auto"/>
            </w:tcBorders>
            <w:shd w:val="clear" w:color="auto" w:fill="auto"/>
            <w:hideMark/>
          </w:tcPr>
          <w:p w14:paraId="6B876AAF" w14:textId="117914C8"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assessments and validation of past events and databases can be performed, reporting of actual demand data is needed.  Forecast demand data is needed to perform future system assessments to identify the need for system reinforcement for continued reliability.  In addition to assist a proper real-time operating, load information related to controllable Demand-Side Management programs is needed.</w:t>
            </w:r>
          </w:p>
        </w:tc>
      </w:tr>
      <w:tr w:rsidR="00B82999" w:rsidRPr="00B82999" w14:paraId="11D0DCF6" w14:textId="77777777" w:rsidTr="00A9689D">
        <w:trPr>
          <w:trHeight w:val="1380"/>
        </w:trPr>
        <w:tc>
          <w:tcPr>
            <w:tcW w:w="1460" w:type="dxa"/>
            <w:tcBorders>
              <w:top w:val="nil"/>
              <w:left w:val="single" w:sz="4" w:space="0" w:color="auto"/>
              <w:bottom w:val="single" w:sz="4" w:space="0" w:color="BFBFBF"/>
              <w:right w:val="single" w:sz="4" w:space="0" w:color="BFBFBF"/>
            </w:tcBorders>
            <w:shd w:val="clear" w:color="auto" w:fill="auto"/>
            <w:noWrap/>
            <w:hideMark/>
          </w:tcPr>
          <w:p w14:paraId="47BF4FA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MOD-026</w:t>
            </w:r>
          </w:p>
        </w:tc>
        <w:tc>
          <w:tcPr>
            <w:tcW w:w="3305" w:type="dxa"/>
            <w:tcBorders>
              <w:top w:val="nil"/>
              <w:left w:val="nil"/>
              <w:bottom w:val="single" w:sz="4" w:space="0" w:color="BFBFBF"/>
              <w:right w:val="single" w:sz="4" w:space="0" w:color="BFBFBF"/>
            </w:tcBorders>
            <w:shd w:val="clear" w:color="auto" w:fill="auto"/>
            <w:hideMark/>
          </w:tcPr>
          <w:p w14:paraId="11608827"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Verification of Models and Data for Generator Excitation Control System or Plant Volt/VAR Control Functions</w:t>
            </w:r>
          </w:p>
        </w:tc>
        <w:tc>
          <w:tcPr>
            <w:tcW w:w="5580" w:type="dxa"/>
            <w:tcBorders>
              <w:top w:val="nil"/>
              <w:left w:val="nil"/>
              <w:bottom w:val="single" w:sz="4" w:space="0" w:color="BFBFBF"/>
              <w:right w:val="single" w:sz="4" w:space="0" w:color="auto"/>
            </w:tcBorders>
            <w:shd w:val="clear" w:color="auto" w:fill="auto"/>
            <w:hideMark/>
          </w:tcPr>
          <w:p w14:paraId="3F53EDA6" w14:textId="6D1EFA78"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verify that the generator excitation control system or plant volt/var control function model (including the power system stabilizer model and the impedance compensator model) and the model parameters used in dynamic simulations accurately represent the generator excitation control system or plant volt/var control function behavior when assessing Bulk Electric System (BES) reliability.</w:t>
            </w:r>
          </w:p>
        </w:tc>
      </w:tr>
      <w:tr w:rsidR="00B82999" w:rsidRPr="00B82999" w14:paraId="0432C83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14B9932D"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MOD-027</w:t>
            </w:r>
          </w:p>
        </w:tc>
        <w:tc>
          <w:tcPr>
            <w:tcW w:w="3305" w:type="dxa"/>
            <w:tcBorders>
              <w:top w:val="nil"/>
              <w:left w:val="nil"/>
              <w:bottom w:val="single" w:sz="4" w:space="0" w:color="BFBFBF"/>
              <w:right w:val="single" w:sz="4" w:space="0" w:color="BFBFBF"/>
            </w:tcBorders>
            <w:shd w:val="clear" w:color="auto" w:fill="auto"/>
            <w:hideMark/>
          </w:tcPr>
          <w:p w14:paraId="2E4FD59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Verification of Models and Data for Turbine/Governor and Load Control or Active Power/Frequency Control Functions</w:t>
            </w:r>
          </w:p>
        </w:tc>
        <w:tc>
          <w:tcPr>
            <w:tcW w:w="5580" w:type="dxa"/>
            <w:tcBorders>
              <w:top w:val="nil"/>
              <w:left w:val="nil"/>
              <w:bottom w:val="single" w:sz="4" w:space="0" w:color="BFBFBF"/>
              <w:right w:val="single" w:sz="4" w:space="0" w:color="auto"/>
            </w:tcBorders>
            <w:shd w:val="clear" w:color="auto" w:fill="auto"/>
            <w:hideMark/>
          </w:tcPr>
          <w:p w14:paraId="47C24DE3" w14:textId="587BC82D"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verify that the turbine/governor and load control or active power/frequency control model and the model parameters, used in dynamic simulations that assess Bulk Electric System (BES) reliability, accurately represent generator unit real power response to system frequency variations.</w:t>
            </w:r>
          </w:p>
        </w:tc>
      </w:tr>
      <w:tr w:rsidR="00B82999" w:rsidRPr="00B82999" w14:paraId="2EED5E36"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2B38D70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MOD-031</w:t>
            </w:r>
          </w:p>
        </w:tc>
        <w:tc>
          <w:tcPr>
            <w:tcW w:w="3305" w:type="dxa"/>
            <w:tcBorders>
              <w:top w:val="nil"/>
              <w:left w:val="nil"/>
              <w:bottom w:val="single" w:sz="4" w:space="0" w:color="BFBFBF"/>
              <w:right w:val="single" w:sz="4" w:space="0" w:color="BFBFBF"/>
            </w:tcBorders>
            <w:shd w:val="clear" w:color="auto" w:fill="auto"/>
            <w:hideMark/>
          </w:tcPr>
          <w:p w14:paraId="3E9D0B1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Demand and Energy Data</w:t>
            </w:r>
          </w:p>
        </w:tc>
        <w:tc>
          <w:tcPr>
            <w:tcW w:w="5580" w:type="dxa"/>
            <w:tcBorders>
              <w:top w:val="nil"/>
              <w:left w:val="nil"/>
              <w:bottom w:val="single" w:sz="4" w:space="0" w:color="BFBFBF"/>
              <w:right w:val="single" w:sz="4" w:space="0" w:color="auto"/>
            </w:tcBorders>
            <w:shd w:val="clear" w:color="auto" w:fill="auto"/>
            <w:hideMark/>
          </w:tcPr>
          <w:p w14:paraId="29BF675F" w14:textId="01282162"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provide authority for applicable entities to collect Data, energy and related data to support reliability studies and assessments to enumerate the responsibilities and obligations of requestors and respondents of that data.</w:t>
            </w:r>
          </w:p>
        </w:tc>
      </w:tr>
      <w:tr w:rsidR="00B82999" w:rsidRPr="00B82999" w14:paraId="22DB8F1E"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63440805"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MOD-032</w:t>
            </w:r>
          </w:p>
        </w:tc>
        <w:tc>
          <w:tcPr>
            <w:tcW w:w="3305" w:type="dxa"/>
            <w:tcBorders>
              <w:top w:val="nil"/>
              <w:left w:val="nil"/>
              <w:bottom w:val="single" w:sz="4" w:space="0" w:color="BFBFBF"/>
              <w:right w:val="single" w:sz="4" w:space="0" w:color="BFBFBF"/>
            </w:tcBorders>
            <w:shd w:val="clear" w:color="auto" w:fill="auto"/>
            <w:hideMark/>
          </w:tcPr>
          <w:p w14:paraId="43F48FD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Data for Power System Modeling and Analysis</w:t>
            </w:r>
          </w:p>
        </w:tc>
        <w:tc>
          <w:tcPr>
            <w:tcW w:w="5580" w:type="dxa"/>
            <w:tcBorders>
              <w:top w:val="nil"/>
              <w:left w:val="nil"/>
              <w:bottom w:val="single" w:sz="4" w:space="0" w:color="BFBFBF"/>
              <w:right w:val="single" w:sz="4" w:space="0" w:color="auto"/>
            </w:tcBorders>
            <w:shd w:val="clear" w:color="auto" w:fill="auto"/>
            <w:hideMark/>
          </w:tcPr>
          <w:p w14:paraId="183E2343"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consistent modeling data requirements and reporting procedures for development of planning horizon cases necessary to support analysis of the reliability of the interconnected transmission system.</w:t>
            </w:r>
          </w:p>
        </w:tc>
      </w:tr>
      <w:tr w:rsidR="00B82999" w:rsidRPr="00B82999" w14:paraId="12A60ED9"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5C0E3A3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lastRenderedPageBreak/>
              <w:t>MOD-033</w:t>
            </w:r>
          </w:p>
        </w:tc>
        <w:tc>
          <w:tcPr>
            <w:tcW w:w="3305" w:type="dxa"/>
            <w:tcBorders>
              <w:top w:val="nil"/>
              <w:left w:val="nil"/>
              <w:bottom w:val="single" w:sz="4" w:space="0" w:color="BFBFBF"/>
              <w:right w:val="single" w:sz="4" w:space="0" w:color="BFBFBF"/>
            </w:tcBorders>
            <w:shd w:val="clear" w:color="auto" w:fill="auto"/>
            <w:hideMark/>
          </w:tcPr>
          <w:p w14:paraId="28DBC19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Steady State and Dynamic System Model Validation</w:t>
            </w:r>
          </w:p>
        </w:tc>
        <w:tc>
          <w:tcPr>
            <w:tcW w:w="5580" w:type="dxa"/>
            <w:tcBorders>
              <w:top w:val="nil"/>
              <w:left w:val="nil"/>
              <w:bottom w:val="single" w:sz="4" w:space="0" w:color="BFBFBF"/>
              <w:right w:val="single" w:sz="4" w:space="0" w:color="auto"/>
            </w:tcBorders>
            <w:shd w:val="clear" w:color="auto" w:fill="auto"/>
            <w:hideMark/>
          </w:tcPr>
          <w:p w14:paraId="119EC2DB"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consistent validation requirements to facilitate the collection of accurate data and building of planning models to analyze the reliability of the interconnected transmission system.</w:t>
            </w:r>
          </w:p>
        </w:tc>
      </w:tr>
      <w:tr w:rsidR="00B82999" w:rsidRPr="00B82999" w14:paraId="57A7A6E7"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79452A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PRC-002</w:t>
            </w:r>
          </w:p>
        </w:tc>
        <w:tc>
          <w:tcPr>
            <w:tcW w:w="3305" w:type="dxa"/>
            <w:tcBorders>
              <w:top w:val="nil"/>
              <w:left w:val="nil"/>
              <w:bottom w:val="single" w:sz="4" w:space="0" w:color="BFBFBF"/>
              <w:right w:val="single" w:sz="4" w:space="0" w:color="BFBFBF"/>
            </w:tcBorders>
            <w:shd w:val="clear" w:color="auto" w:fill="auto"/>
            <w:hideMark/>
          </w:tcPr>
          <w:p w14:paraId="6033B6DE"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Disturbance Monitoring and Reporting Requirements</w:t>
            </w:r>
          </w:p>
        </w:tc>
        <w:tc>
          <w:tcPr>
            <w:tcW w:w="5580" w:type="dxa"/>
            <w:tcBorders>
              <w:top w:val="nil"/>
              <w:left w:val="nil"/>
              <w:bottom w:val="single" w:sz="4" w:space="0" w:color="BFBFBF"/>
              <w:right w:val="single" w:sz="4" w:space="0" w:color="auto"/>
            </w:tcBorders>
            <w:shd w:val="clear" w:color="auto" w:fill="auto"/>
            <w:hideMark/>
          </w:tcPr>
          <w:p w14:paraId="3AFB598F" w14:textId="7B954DA4"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have adequate data available to facilitate analysis of Bulk Electric System (BES) Disturbances</w:t>
            </w:r>
          </w:p>
        </w:tc>
      </w:tr>
      <w:tr w:rsidR="00B82999" w:rsidRPr="00B82999" w14:paraId="0D522881"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55BAD198"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PRC-006</w:t>
            </w:r>
          </w:p>
        </w:tc>
        <w:tc>
          <w:tcPr>
            <w:tcW w:w="3305" w:type="dxa"/>
            <w:tcBorders>
              <w:top w:val="nil"/>
              <w:left w:val="nil"/>
              <w:bottom w:val="single" w:sz="4" w:space="0" w:color="BFBFBF"/>
              <w:right w:val="single" w:sz="4" w:space="0" w:color="BFBFBF"/>
            </w:tcBorders>
            <w:shd w:val="clear" w:color="auto" w:fill="auto"/>
            <w:hideMark/>
          </w:tcPr>
          <w:p w14:paraId="7B07A0B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Automatic Underfrequency Load Shedding</w:t>
            </w:r>
          </w:p>
        </w:tc>
        <w:tc>
          <w:tcPr>
            <w:tcW w:w="5580" w:type="dxa"/>
            <w:tcBorders>
              <w:top w:val="nil"/>
              <w:left w:val="nil"/>
              <w:bottom w:val="single" w:sz="4" w:space="0" w:color="BFBFBF"/>
              <w:right w:val="single" w:sz="4" w:space="0" w:color="auto"/>
            </w:tcBorders>
            <w:shd w:val="clear" w:color="auto" w:fill="auto"/>
            <w:hideMark/>
          </w:tcPr>
          <w:p w14:paraId="6EAD66EB" w14:textId="6A095631"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design and documentation requirements for automatic underfrequency load shedding (UFLS) programs to arrest declining frequency, assist recovery of frequency following underfrequency events and provide last resort system preservation measures.</w:t>
            </w:r>
          </w:p>
        </w:tc>
      </w:tr>
      <w:tr w:rsidR="00B82999" w:rsidRPr="00B82999" w14:paraId="55E325BE" w14:textId="77777777" w:rsidTr="00A9689D">
        <w:trPr>
          <w:trHeight w:val="1380"/>
        </w:trPr>
        <w:tc>
          <w:tcPr>
            <w:tcW w:w="1460" w:type="dxa"/>
            <w:tcBorders>
              <w:top w:val="nil"/>
              <w:left w:val="single" w:sz="4" w:space="0" w:color="auto"/>
              <w:bottom w:val="single" w:sz="4" w:space="0" w:color="BFBFBF"/>
              <w:right w:val="single" w:sz="4" w:space="0" w:color="BFBFBF"/>
            </w:tcBorders>
            <w:shd w:val="clear" w:color="auto" w:fill="auto"/>
            <w:noWrap/>
            <w:hideMark/>
          </w:tcPr>
          <w:p w14:paraId="23E89C5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PRC-006-NPCC</w:t>
            </w:r>
          </w:p>
        </w:tc>
        <w:tc>
          <w:tcPr>
            <w:tcW w:w="3305" w:type="dxa"/>
            <w:tcBorders>
              <w:top w:val="nil"/>
              <w:left w:val="nil"/>
              <w:bottom w:val="single" w:sz="4" w:space="0" w:color="BFBFBF"/>
              <w:right w:val="single" w:sz="4" w:space="0" w:color="BFBFBF"/>
            </w:tcBorders>
            <w:shd w:val="clear" w:color="auto" w:fill="auto"/>
            <w:hideMark/>
          </w:tcPr>
          <w:p w14:paraId="2DC2169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Automatic Underfrequency Load Shedding</w:t>
            </w:r>
          </w:p>
        </w:tc>
        <w:tc>
          <w:tcPr>
            <w:tcW w:w="5580" w:type="dxa"/>
            <w:tcBorders>
              <w:top w:val="nil"/>
              <w:left w:val="nil"/>
              <w:bottom w:val="single" w:sz="4" w:space="0" w:color="BFBFBF"/>
              <w:right w:val="single" w:sz="4" w:space="0" w:color="auto"/>
            </w:tcBorders>
            <w:shd w:val="clear" w:color="auto" w:fill="auto"/>
            <w:hideMark/>
          </w:tcPr>
          <w:p w14:paraId="09E94AB1" w14:textId="2CAE9308"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The NPCC Automatic Underfrequency Load Shedding (UFLS) regional Reliability Standard establishes more stringent and specific NPCC UFLS program requirements than the NERC continent-wide PRC-006 standard.  The program is designed such that declining frequency is arrested and recovered in accordance with established NPCC performance requirements stipulated in this document.</w:t>
            </w:r>
          </w:p>
        </w:tc>
      </w:tr>
      <w:tr w:rsidR="00B82999" w:rsidRPr="00B82999" w14:paraId="14DAF13E"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062BC1C5"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PRC-010</w:t>
            </w:r>
          </w:p>
        </w:tc>
        <w:tc>
          <w:tcPr>
            <w:tcW w:w="3305" w:type="dxa"/>
            <w:tcBorders>
              <w:top w:val="nil"/>
              <w:left w:val="nil"/>
              <w:bottom w:val="single" w:sz="4" w:space="0" w:color="BFBFBF"/>
              <w:right w:val="single" w:sz="4" w:space="0" w:color="BFBFBF"/>
            </w:tcBorders>
            <w:shd w:val="clear" w:color="auto" w:fill="auto"/>
            <w:hideMark/>
          </w:tcPr>
          <w:p w14:paraId="57B54A9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Undervoltage Load Shedding</w:t>
            </w:r>
          </w:p>
        </w:tc>
        <w:tc>
          <w:tcPr>
            <w:tcW w:w="5580" w:type="dxa"/>
            <w:tcBorders>
              <w:top w:val="nil"/>
              <w:left w:val="nil"/>
              <w:bottom w:val="single" w:sz="4" w:space="0" w:color="BFBFBF"/>
              <w:right w:val="single" w:sz="4" w:space="0" w:color="auto"/>
            </w:tcBorders>
            <w:shd w:val="clear" w:color="auto" w:fill="auto"/>
            <w:hideMark/>
          </w:tcPr>
          <w:p w14:paraId="60FAE974" w14:textId="27AA4ED2"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establish an integrated and coordinated approach to the design, evaluation, and reliable operation of Undervoltage Load Shedding Programs (UVLS Programs).</w:t>
            </w:r>
          </w:p>
        </w:tc>
      </w:tr>
      <w:tr w:rsidR="00B82999" w:rsidRPr="00B82999" w14:paraId="7AC187AF" w14:textId="77777777" w:rsidTr="00A9689D">
        <w:trPr>
          <w:trHeight w:val="1104"/>
        </w:trPr>
        <w:tc>
          <w:tcPr>
            <w:tcW w:w="1460" w:type="dxa"/>
            <w:tcBorders>
              <w:top w:val="nil"/>
              <w:left w:val="single" w:sz="4" w:space="0" w:color="auto"/>
              <w:bottom w:val="single" w:sz="4" w:space="0" w:color="BFBFBF"/>
              <w:right w:val="single" w:sz="4" w:space="0" w:color="BFBFBF"/>
            </w:tcBorders>
            <w:shd w:val="clear" w:color="auto" w:fill="auto"/>
            <w:noWrap/>
            <w:hideMark/>
          </w:tcPr>
          <w:p w14:paraId="2E6592CB"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PRC-023</w:t>
            </w:r>
          </w:p>
        </w:tc>
        <w:tc>
          <w:tcPr>
            <w:tcW w:w="3305" w:type="dxa"/>
            <w:tcBorders>
              <w:top w:val="nil"/>
              <w:left w:val="nil"/>
              <w:bottom w:val="single" w:sz="4" w:space="0" w:color="BFBFBF"/>
              <w:right w:val="single" w:sz="4" w:space="0" w:color="BFBFBF"/>
            </w:tcBorders>
            <w:shd w:val="clear" w:color="auto" w:fill="auto"/>
            <w:hideMark/>
          </w:tcPr>
          <w:p w14:paraId="09BD433A"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Transmission Relay Loadability</w:t>
            </w:r>
          </w:p>
        </w:tc>
        <w:tc>
          <w:tcPr>
            <w:tcW w:w="5580" w:type="dxa"/>
            <w:tcBorders>
              <w:top w:val="nil"/>
              <w:left w:val="nil"/>
              <w:bottom w:val="single" w:sz="4" w:space="0" w:color="BFBFBF"/>
              <w:right w:val="single" w:sz="4" w:space="0" w:color="auto"/>
            </w:tcBorders>
            <w:shd w:val="clear" w:color="auto" w:fill="auto"/>
            <w:hideMark/>
          </w:tcPr>
          <w:p w14:paraId="3CC8B481" w14:textId="4B9EA415"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Protective relay settings shall not limit transmission loadability; not interfere with system operators' ability to take remedial action to protect system reliability and; be set to reliably detect all fault conditions and protect the electrical network from these faults.</w:t>
            </w:r>
          </w:p>
        </w:tc>
      </w:tr>
      <w:tr w:rsidR="00B82999" w:rsidRPr="00B82999" w14:paraId="6AD11E2B" w14:textId="77777777" w:rsidTr="00A9689D">
        <w:trPr>
          <w:trHeight w:val="552"/>
        </w:trPr>
        <w:tc>
          <w:tcPr>
            <w:tcW w:w="1460" w:type="dxa"/>
            <w:tcBorders>
              <w:top w:val="nil"/>
              <w:left w:val="single" w:sz="4" w:space="0" w:color="auto"/>
              <w:bottom w:val="single" w:sz="4" w:space="0" w:color="BFBFBF"/>
              <w:right w:val="single" w:sz="4" w:space="0" w:color="BFBFBF"/>
            </w:tcBorders>
            <w:shd w:val="clear" w:color="auto" w:fill="auto"/>
            <w:noWrap/>
            <w:hideMark/>
          </w:tcPr>
          <w:p w14:paraId="6D7F4812"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PRC-026</w:t>
            </w:r>
          </w:p>
        </w:tc>
        <w:tc>
          <w:tcPr>
            <w:tcW w:w="3305" w:type="dxa"/>
            <w:tcBorders>
              <w:top w:val="nil"/>
              <w:left w:val="nil"/>
              <w:bottom w:val="single" w:sz="4" w:space="0" w:color="BFBFBF"/>
              <w:right w:val="single" w:sz="4" w:space="0" w:color="BFBFBF"/>
            </w:tcBorders>
            <w:shd w:val="clear" w:color="auto" w:fill="auto"/>
            <w:hideMark/>
          </w:tcPr>
          <w:p w14:paraId="46FCD25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Relay Performance During Stable Power Swings</w:t>
            </w:r>
          </w:p>
        </w:tc>
        <w:tc>
          <w:tcPr>
            <w:tcW w:w="5580" w:type="dxa"/>
            <w:tcBorders>
              <w:top w:val="nil"/>
              <w:left w:val="nil"/>
              <w:bottom w:val="single" w:sz="4" w:space="0" w:color="BFBFBF"/>
              <w:right w:val="single" w:sz="4" w:space="0" w:color="auto"/>
            </w:tcBorders>
            <w:shd w:val="clear" w:color="auto" w:fill="auto"/>
            <w:hideMark/>
          </w:tcPr>
          <w:p w14:paraId="6C1E8B41" w14:textId="200992A5"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To ensure that load-responsible protective relays are expected to not trip in response to stable power swings during non-Fault conditions.</w:t>
            </w:r>
          </w:p>
        </w:tc>
      </w:tr>
      <w:tr w:rsidR="00B82999" w:rsidRPr="00B82999" w14:paraId="7D28E0A5" w14:textId="77777777" w:rsidTr="00A9689D">
        <w:trPr>
          <w:trHeight w:val="828"/>
        </w:trPr>
        <w:tc>
          <w:tcPr>
            <w:tcW w:w="1460" w:type="dxa"/>
            <w:tcBorders>
              <w:top w:val="nil"/>
              <w:left w:val="single" w:sz="4" w:space="0" w:color="auto"/>
              <w:bottom w:val="single" w:sz="4" w:space="0" w:color="BFBFBF"/>
              <w:right w:val="single" w:sz="4" w:space="0" w:color="BFBFBF"/>
            </w:tcBorders>
            <w:shd w:val="clear" w:color="auto" w:fill="auto"/>
            <w:noWrap/>
            <w:hideMark/>
          </w:tcPr>
          <w:p w14:paraId="737F44A4"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TPL-001</w:t>
            </w:r>
          </w:p>
        </w:tc>
        <w:tc>
          <w:tcPr>
            <w:tcW w:w="3305" w:type="dxa"/>
            <w:tcBorders>
              <w:top w:val="nil"/>
              <w:left w:val="nil"/>
              <w:bottom w:val="single" w:sz="4" w:space="0" w:color="BFBFBF"/>
              <w:right w:val="single" w:sz="4" w:space="0" w:color="BFBFBF"/>
            </w:tcBorders>
            <w:shd w:val="clear" w:color="auto" w:fill="auto"/>
            <w:hideMark/>
          </w:tcPr>
          <w:p w14:paraId="74792C81"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Transmission System Planning Performance Requirements</w:t>
            </w:r>
          </w:p>
        </w:tc>
        <w:tc>
          <w:tcPr>
            <w:tcW w:w="5580" w:type="dxa"/>
            <w:tcBorders>
              <w:top w:val="nil"/>
              <w:left w:val="nil"/>
              <w:bottom w:val="single" w:sz="4" w:space="0" w:color="BFBFBF"/>
              <w:right w:val="single" w:sz="4" w:space="0" w:color="auto"/>
            </w:tcBorders>
            <w:shd w:val="clear" w:color="auto" w:fill="auto"/>
            <w:hideMark/>
          </w:tcPr>
          <w:p w14:paraId="67AD447A" w14:textId="2A4B95B1" w:rsidR="00B82999" w:rsidRPr="00B82999" w:rsidRDefault="00B82999" w:rsidP="00AE5F01">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Transmission system planning performance requirements within the planning horizon to develop a Bulk Electric System (BES) that will operate reliably over a broad spectrum of System conditions and following a wide range of probable Contingencies.</w:t>
            </w:r>
          </w:p>
        </w:tc>
      </w:tr>
      <w:tr w:rsidR="00B82999" w:rsidRPr="00B82999" w14:paraId="6AF8409C" w14:textId="77777777" w:rsidTr="00A9689D">
        <w:trPr>
          <w:trHeight w:val="552"/>
        </w:trPr>
        <w:tc>
          <w:tcPr>
            <w:tcW w:w="1460" w:type="dxa"/>
            <w:tcBorders>
              <w:top w:val="nil"/>
              <w:left w:val="single" w:sz="4" w:space="0" w:color="auto"/>
              <w:bottom w:val="single" w:sz="4" w:space="0" w:color="auto"/>
              <w:right w:val="single" w:sz="4" w:space="0" w:color="BFBFBF"/>
            </w:tcBorders>
            <w:shd w:val="clear" w:color="auto" w:fill="auto"/>
            <w:noWrap/>
            <w:hideMark/>
          </w:tcPr>
          <w:p w14:paraId="243F2276"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TPL-007</w:t>
            </w:r>
          </w:p>
        </w:tc>
        <w:tc>
          <w:tcPr>
            <w:tcW w:w="3305" w:type="dxa"/>
            <w:tcBorders>
              <w:top w:val="nil"/>
              <w:left w:val="nil"/>
              <w:bottom w:val="single" w:sz="4" w:space="0" w:color="auto"/>
              <w:right w:val="single" w:sz="4" w:space="0" w:color="BFBFBF"/>
            </w:tcBorders>
            <w:shd w:val="clear" w:color="auto" w:fill="auto"/>
            <w:hideMark/>
          </w:tcPr>
          <w:p w14:paraId="2519E0E9"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Transmission System Planned Performance for Geomagnetic Disturbance Events</w:t>
            </w:r>
          </w:p>
        </w:tc>
        <w:tc>
          <w:tcPr>
            <w:tcW w:w="5580" w:type="dxa"/>
            <w:tcBorders>
              <w:top w:val="nil"/>
              <w:left w:val="nil"/>
              <w:bottom w:val="single" w:sz="4" w:space="0" w:color="auto"/>
              <w:right w:val="single" w:sz="4" w:space="0" w:color="auto"/>
            </w:tcBorders>
            <w:shd w:val="clear" w:color="auto" w:fill="auto"/>
            <w:hideMark/>
          </w:tcPr>
          <w:p w14:paraId="6CD60E87" w14:textId="77777777" w:rsidR="00B82999" w:rsidRPr="00B82999" w:rsidRDefault="00B82999" w:rsidP="00B82999">
            <w:pPr>
              <w:spacing w:after="0"/>
              <w:ind w:left="0" w:firstLine="0"/>
              <w:rPr>
                <w:rFonts w:ascii="Franklin Gothic Book" w:hAnsi="Franklin Gothic Book"/>
                <w:color w:val="000000"/>
                <w:szCs w:val="20"/>
                <w:lang w:bidi="ar-SA"/>
              </w:rPr>
            </w:pPr>
            <w:r w:rsidRPr="00B82999">
              <w:rPr>
                <w:rFonts w:ascii="Franklin Gothic Book" w:hAnsi="Franklin Gothic Book"/>
                <w:color w:val="000000"/>
                <w:szCs w:val="20"/>
                <w:lang w:bidi="ar-SA"/>
              </w:rPr>
              <w:t>Establish requirements for Transmission system planned performance during geomagnetic disturbance (GMD) events.</w:t>
            </w:r>
          </w:p>
        </w:tc>
      </w:tr>
    </w:tbl>
    <w:p w14:paraId="217D8A05" w14:textId="77777777" w:rsidR="00B82999" w:rsidRDefault="00B82999" w:rsidP="00B82999">
      <w:pPr>
        <w:pStyle w:val="Figure"/>
      </w:pPr>
    </w:p>
    <w:p w14:paraId="7CA382E1" w14:textId="2683BC59" w:rsidR="00B82999" w:rsidRPr="00B82999" w:rsidRDefault="00B82999" w:rsidP="00B82999">
      <w:pPr>
        <w:pStyle w:val="Heading2"/>
      </w:pPr>
      <w:bookmarkStart w:id="216" w:name="_Toc48252311"/>
      <w:r w:rsidRPr="00B82999">
        <w:t>NPCC/NYSRC Area Transmission Reviews</w:t>
      </w:r>
      <w:r w:rsidR="00CB64CE">
        <w:t xml:space="preserve"> (ATRs)</w:t>
      </w:r>
      <w:bookmarkEnd w:id="216"/>
    </w:p>
    <w:p w14:paraId="27E0E4D4" w14:textId="5DA4ADC2" w:rsidR="00B82999" w:rsidRPr="00B82999" w:rsidRDefault="00B82999" w:rsidP="00B82999">
      <w:pPr>
        <w:pStyle w:val="BodyText"/>
      </w:pPr>
      <w:r w:rsidRPr="00B82999">
        <w:t xml:space="preserve">The NPCC/NYSRC ATRs are performed on an annual basis to demonstrate that conformance with the performance criteria specified in NPCC Directory #1 and the NYSRC Reliability Rules.  In the ATRs, the NYISO assesses the BPTF for a period </w:t>
      </w:r>
      <w:r w:rsidR="00CB64CE">
        <w:t>four to six</w:t>
      </w:r>
      <w:r w:rsidRPr="00B82999">
        <w:t xml:space="preserve"> years in the future (the NYISO evaluates year 5</w:t>
      </w:r>
      <w:r w:rsidR="00CB64CE">
        <w:t xml:space="preserve"> of the Study Period</w:t>
      </w:r>
      <w:r w:rsidRPr="00B82999">
        <w:t xml:space="preserve">).  Seven assessments are required as part of each ATR.  </w:t>
      </w:r>
    </w:p>
    <w:p w14:paraId="79B772DA" w14:textId="6B75DFEF" w:rsidR="00B82999" w:rsidRPr="00B82999" w:rsidRDefault="00B82999" w:rsidP="00B82999">
      <w:pPr>
        <w:pStyle w:val="BodyText"/>
      </w:pPr>
      <w:r w:rsidRPr="00B82999">
        <w:t>The first assessment evaluates the steady state and dynamics transmission security</w:t>
      </w:r>
      <w:r>
        <w:t xml:space="preserve">. </w:t>
      </w:r>
      <w:r w:rsidRPr="00B82999">
        <w:t>For instances where the transmission security assessments results indicate that the planned system does not meet the specified criteria</w:t>
      </w:r>
      <w:r w:rsidR="00E66B21">
        <w:t>,</w:t>
      </w:r>
      <w:r w:rsidRPr="00B82999">
        <w:t xml:space="preserve"> a corrective action plan is incorporated to achieve conformance.</w:t>
      </w:r>
      <w:r>
        <w:t xml:space="preserve"> </w:t>
      </w:r>
      <w:r w:rsidRPr="00B82999">
        <w:t>As part of the ATRs</w:t>
      </w:r>
      <w:r w:rsidR="00E66B21">
        <w:t xml:space="preserve">, </w:t>
      </w:r>
      <w:r w:rsidRPr="00B82999">
        <w:t xml:space="preserve">and </w:t>
      </w:r>
      <w:r w:rsidRPr="00B82999">
        <w:lastRenderedPageBreak/>
        <w:t>also for compliance with NERC FAC-013</w:t>
      </w:r>
      <w:r w:rsidR="00E66B21">
        <w:t>,</w:t>
      </w:r>
      <w:r w:rsidRPr="00B82999">
        <w:t xml:space="preserve"> thermal, voltage, and stability transfer limits are performed to identify the limiting constraints for power transfers</w:t>
      </w:r>
      <w:r>
        <w:t xml:space="preserve">. </w:t>
      </w:r>
    </w:p>
    <w:p w14:paraId="0DBE0D3C" w14:textId="69597FAC" w:rsidR="00B82999" w:rsidRPr="00B82999" w:rsidRDefault="00B82999" w:rsidP="00B82999">
      <w:pPr>
        <w:pStyle w:val="BodyText"/>
      </w:pPr>
      <w:r w:rsidRPr="00B82999">
        <w:t>For the second assessment, steady state and dynamics analysis are conducted to evaluate the performance of the system for low probability extreme contingencies</w:t>
      </w:r>
      <w:r>
        <w:t xml:space="preserve">. </w:t>
      </w:r>
      <w:r w:rsidRPr="00B82999">
        <w:t>The purpose of the extreme contingency analysis is to examine the post contingency steady state conditions, as well as stability, overload, cascading outages</w:t>
      </w:r>
      <w:r w:rsidR="00E66B21">
        <w:t>,</w:t>
      </w:r>
      <w:r w:rsidRPr="00B82999">
        <w:t xml:space="preserve"> and voltage collapse</w:t>
      </w:r>
      <w:r w:rsidR="00E66B21">
        <w:t>,</w:t>
      </w:r>
      <w:r w:rsidRPr="00B82999">
        <w:t xml:space="preserve"> to obtain an indication of system robustness and to determine the extent of any potential widespread system disturbance</w:t>
      </w:r>
      <w:r>
        <w:t xml:space="preserve">. </w:t>
      </w:r>
      <w:r w:rsidRPr="00B82999">
        <w:t xml:space="preserve">In instances where the extreme contingency assessment concludes there are serious consequences, </w:t>
      </w:r>
      <w:r w:rsidR="00E66B21">
        <w:t>the NYISO evaluates</w:t>
      </w:r>
      <w:r w:rsidRPr="00B82999">
        <w:t xml:space="preserve"> implementing a change to design or operating practices to address the issues.</w:t>
      </w:r>
    </w:p>
    <w:p w14:paraId="4F0E69F9" w14:textId="797B0D1C" w:rsidR="00B82999" w:rsidRPr="00B82999" w:rsidRDefault="00B82999" w:rsidP="00B82999">
      <w:pPr>
        <w:pStyle w:val="BodyText"/>
      </w:pPr>
      <w:r w:rsidRPr="00B82999">
        <w:t xml:space="preserve">The third assessment evaluates extreme system conditions </w:t>
      </w:r>
      <w:r w:rsidR="00E66B21">
        <w:t>that</w:t>
      </w:r>
      <w:r w:rsidR="00E66B21" w:rsidRPr="00B82999">
        <w:t xml:space="preserve"> </w:t>
      </w:r>
      <w:r w:rsidRPr="00B82999">
        <w:t>have a low probability of occurrence such as high peak load conditions (</w:t>
      </w:r>
      <w:r w:rsidRPr="00BC0517">
        <w:rPr>
          <w:i/>
        </w:rPr>
        <w:t>e.g</w:t>
      </w:r>
      <w:r w:rsidRPr="00BC0517">
        <w:t>.</w:t>
      </w:r>
      <w:r w:rsidR="00E66B21" w:rsidRPr="00BC0517">
        <w:t>,</w:t>
      </w:r>
      <w:r w:rsidRPr="00DD64EF">
        <w:rPr>
          <w:color w:val="FF0000"/>
        </w:rPr>
        <w:t xml:space="preserve"> </w:t>
      </w:r>
      <w:r w:rsidRPr="00B82999">
        <w:t>90</w:t>
      </w:r>
      <w:r w:rsidR="00E66B21" w:rsidRPr="00DD64EF">
        <w:rPr>
          <w:vertAlign w:val="superscript"/>
        </w:rPr>
        <w:t>th</w:t>
      </w:r>
      <w:r w:rsidR="00E66B21">
        <w:t xml:space="preserve"> percentile</w:t>
      </w:r>
      <w:r w:rsidRPr="00B82999">
        <w:t xml:space="preserve"> load) resulting from extreme weather or the loss of fuel supply from a given resource (</w:t>
      </w:r>
      <w:r w:rsidRPr="00DD64EF">
        <w:rPr>
          <w:i/>
        </w:rPr>
        <w:t>e.g.</w:t>
      </w:r>
      <w:r w:rsidR="00E66B21" w:rsidRPr="00DD64EF">
        <w:rPr>
          <w:i/>
        </w:rPr>
        <w:t>,</w:t>
      </w:r>
      <w:r w:rsidRPr="00B82999">
        <w:t xml:space="preserve"> loss of all gas units under winter peak load)</w:t>
      </w:r>
      <w:r>
        <w:t xml:space="preserve">. </w:t>
      </w:r>
      <w:r w:rsidRPr="00B82999">
        <w:t>The extreme system conditions evaluate various design criteria contingencies to evaluate the post contingency steady state conditions, as well as stability, overload, cascading outages and voltage collapse</w:t>
      </w:r>
      <w:r w:rsidR="00E66B21">
        <w:t xml:space="preserve">.  The evaluation of extreme contingencies indicate </w:t>
      </w:r>
      <w:r w:rsidRPr="00B82999">
        <w:t>system robustness and determine the extent of any potential widespread system disturbance</w:t>
      </w:r>
      <w:r>
        <w:t xml:space="preserve">. </w:t>
      </w:r>
      <w:r w:rsidRPr="00B82999">
        <w:t xml:space="preserve">In instances where the extreme contingency assessment concludes </w:t>
      </w:r>
      <w:r w:rsidR="00E66B21">
        <w:t xml:space="preserve">that </w:t>
      </w:r>
      <w:r w:rsidRPr="00B82999">
        <w:t xml:space="preserve">there are serious consequences, </w:t>
      </w:r>
      <w:r w:rsidR="00E66B21">
        <w:t>the NYISO evaluates</w:t>
      </w:r>
      <w:r w:rsidR="00BC0517">
        <w:t xml:space="preserve"> </w:t>
      </w:r>
      <w:r w:rsidRPr="00B82999">
        <w:t>implementing a change to design or operating practices to address the issues.</w:t>
      </w:r>
    </w:p>
    <w:p w14:paraId="7704519E" w14:textId="77777777" w:rsidR="00B82999" w:rsidRPr="00B82999" w:rsidRDefault="00B82999" w:rsidP="00B82999">
      <w:pPr>
        <w:pStyle w:val="BodyText"/>
      </w:pPr>
      <w:r w:rsidRPr="00B82999">
        <w:t>The fourth assessment evaluates the breaker fault duty at BPTF buses.</w:t>
      </w:r>
    </w:p>
    <w:p w14:paraId="7BBC0445" w14:textId="77777777" w:rsidR="00B82999" w:rsidRPr="00B82999" w:rsidRDefault="00B82999" w:rsidP="00B82999">
      <w:pPr>
        <w:pStyle w:val="BodyText"/>
      </w:pPr>
      <w:r w:rsidRPr="00B82999">
        <w:t>The fifth assessment evaluates other requirements specific to the NYSRC Reliability Rules including an evaluation of the impacts of planned system expansion or configuration facilities on the NYCA System Restoration Plan and Local Area Operation Rules for New York City Operations, loss of gas supply – New York City, and loss of gas supply – Long Island.</w:t>
      </w:r>
    </w:p>
    <w:p w14:paraId="76FCBE3A" w14:textId="4B8625D9" w:rsidR="00B82999" w:rsidRPr="00B82999" w:rsidRDefault="00B82999" w:rsidP="00B82999">
      <w:pPr>
        <w:pStyle w:val="BodyText"/>
      </w:pPr>
      <w:r w:rsidRPr="00B82999">
        <w:t xml:space="preserve">The sixth assessment is a </w:t>
      </w:r>
      <w:r w:rsidR="00BC0517">
        <w:t>review</w:t>
      </w:r>
      <w:r w:rsidR="00BC0517" w:rsidRPr="00B82999">
        <w:t xml:space="preserve"> </w:t>
      </w:r>
      <w:r w:rsidRPr="00B82999">
        <w:t>of Special Protection Systems (SPSs)</w:t>
      </w:r>
      <w:r>
        <w:t xml:space="preserve">. </w:t>
      </w:r>
      <w:r w:rsidRPr="00B82999">
        <w:t>This review evaluates the designed operation and possible consequences of failure to operate or mis-operation of the SPS within the NYCA.</w:t>
      </w:r>
    </w:p>
    <w:p w14:paraId="591ABE51" w14:textId="77777777" w:rsidR="00B82999" w:rsidRPr="00B82999" w:rsidRDefault="00B82999" w:rsidP="00B82999">
      <w:pPr>
        <w:pStyle w:val="BodyText"/>
      </w:pPr>
      <w:r w:rsidRPr="00B82999">
        <w:t xml:space="preserve">The seventh assessment is a review of requested exclusions to the NPCC Directory #1 criteria. </w:t>
      </w:r>
    </w:p>
    <w:p w14:paraId="7203FE04" w14:textId="7C76419F" w:rsidR="00B82999" w:rsidRPr="00B82999" w:rsidRDefault="00B82999" w:rsidP="00D843CF">
      <w:pPr>
        <w:pStyle w:val="Heading2"/>
      </w:pPr>
      <w:bookmarkStart w:id="217" w:name="_Toc48252312"/>
      <w:r w:rsidRPr="00B82999">
        <w:t>NERC Planning Assessments (TPL-001)</w:t>
      </w:r>
      <w:bookmarkEnd w:id="217"/>
    </w:p>
    <w:p w14:paraId="1E34E26E" w14:textId="74223AE8" w:rsidR="00B82999" w:rsidRPr="00B82999" w:rsidRDefault="00B82999" w:rsidP="00B82999">
      <w:pPr>
        <w:pStyle w:val="BodyText"/>
      </w:pPr>
      <w:r w:rsidRPr="00B82999">
        <w:t>The NERC TPL-001 assessment (“Planning Assessment”) is performed annually</w:t>
      </w:r>
      <w:r>
        <w:t xml:space="preserve">. </w:t>
      </w:r>
      <w:r w:rsidRPr="00B82999">
        <w:t>The purpose of the Planning Assessment is to demonstrate conformance with the applicable NERC transmission system planning performance requirements for the NYCA BES</w:t>
      </w:r>
      <w:r>
        <w:t xml:space="preserve">. </w:t>
      </w:r>
      <w:r w:rsidRPr="00B82999">
        <w:t xml:space="preserve">The Planning Assessment is a coordinated study </w:t>
      </w:r>
      <w:r w:rsidRPr="00B82999">
        <w:lastRenderedPageBreak/>
        <w:t>between the NYISO and New York Transmission Owners.</w:t>
      </w:r>
    </w:p>
    <w:p w14:paraId="6DDF5CEA" w14:textId="585339AF" w:rsidR="00B82999" w:rsidRDefault="00B82999" w:rsidP="00B82999">
      <w:pPr>
        <w:pStyle w:val="BodyText"/>
      </w:pPr>
      <w:r w:rsidRPr="00B82999">
        <w:t xml:space="preserve">The required system conditions to evaluate for this assessment include planned system representations over a 10-year study period for a variety of </w:t>
      </w:r>
      <w:r w:rsidRPr="00F94268">
        <w:t>system conditions</w:t>
      </w:r>
      <w:r w:rsidR="00F94268" w:rsidRPr="00F94268">
        <w:t xml:space="preserve">. </w:t>
      </w:r>
      <w:r w:rsidR="00F94268" w:rsidRPr="00F94268">
        <w:fldChar w:fldCharType="begin"/>
      </w:r>
      <w:r w:rsidR="00F94268" w:rsidRPr="00F94268">
        <w:instrText xml:space="preserve"> REF _Ref47680732 \h </w:instrText>
      </w:r>
      <w:r w:rsidR="00F94268">
        <w:instrText xml:space="preserve"> \* MERGEFORMAT </w:instrText>
      </w:r>
      <w:r w:rsidR="00F94268" w:rsidRPr="00F94268">
        <w:fldChar w:fldCharType="separate"/>
      </w:r>
      <w:r w:rsidR="00F94268" w:rsidRPr="00F94268">
        <w:t xml:space="preserve">Figure </w:t>
      </w:r>
      <w:r w:rsidR="00F94268">
        <w:rPr>
          <w:noProof/>
        </w:rPr>
        <w:t>56</w:t>
      </w:r>
      <w:r w:rsidR="00F94268" w:rsidRPr="00F94268">
        <w:fldChar w:fldCharType="end"/>
      </w:r>
      <w:r w:rsidR="00F94268" w:rsidRPr="00F94268">
        <w:t xml:space="preserve"> </w:t>
      </w:r>
      <w:r w:rsidRPr="00F94268">
        <w:t>provides a description of the steady state, dynamics, and short circuit cases required to be evaluated</w:t>
      </w:r>
      <w:r w:rsidRPr="00B82999">
        <w:t xml:space="preserve"> in the Planning Assessment.</w:t>
      </w:r>
    </w:p>
    <w:p w14:paraId="5EF9A262" w14:textId="4B645EE7" w:rsidR="00D843CF" w:rsidRPr="00B82999" w:rsidRDefault="00F94268" w:rsidP="00D843CF">
      <w:pPr>
        <w:pStyle w:val="Figure"/>
      </w:pPr>
      <w:bookmarkStart w:id="218" w:name="_Ref47680732"/>
      <w:bookmarkStart w:id="219" w:name="_Toc48251374"/>
      <w:r w:rsidRPr="00F94268">
        <w:t xml:space="preserve">Figure </w:t>
      </w:r>
      <w:r w:rsidR="00D517E4">
        <w:fldChar w:fldCharType="begin"/>
      </w:r>
      <w:r w:rsidR="00D517E4">
        <w:instrText xml:space="preserve"> SEQ Figure \* ARABIC </w:instrText>
      </w:r>
      <w:r w:rsidR="00D517E4">
        <w:fldChar w:fldCharType="separate"/>
      </w:r>
      <w:r>
        <w:rPr>
          <w:noProof/>
        </w:rPr>
        <w:t>56</w:t>
      </w:r>
      <w:r w:rsidR="00D517E4">
        <w:rPr>
          <w:noProof/>
        </w:rPr>
        <w:fldChar w:fldCharType="end"/>
      </w:r>
      <w:bookmarkEnd w:id="218"/>
      <w:r w:rsidR="00D843CF">
        <w:t>:</w:t>
      </w:r>
      <w:r w:rsidR="00D90FFB">
        <w:t xml:space="preserve"> Description of NERC TPL-001 Planning Assessment Study Cases</w:t>
      </w:r>
      <w:bookmarkEnd w:id="219"/>
    </w:p>
    <w:p w14:paraId="7C25F4EE" w14:textId="306D8B6D" w:rsidR="006236DE" w:rsidRDefault="00127933">
      <w:r w:rsidRPr="00127933">
        <w:rPr>
          <w:noProof/>
          <w:lang w:bidi="ar-SA"/>
        </w:rPr>
        <w:drawing>
          <wp:inline distT="0" distB="0" distL="0" distR="0" wp14:anchorId="3463C71B" wp14:editId="0F20E960">
            <wp:extent cx="5378450" cy="173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407" t="-671" r="49635" b="48647"/>
                    <a:stretch/>
                  </pic:blipFill>
                  <pic:spPr bwMode="auto">
                    <a:xfrm>
                      <a:off x="0" y="0"/>
                      <a:ext cx="5385466" cy="1742169"/>
                    </a:xfrm>
                    <a:prstGeom prst="rect">
                      <a:avLst/>
                    </a:prstGeom>
                    <a:noFill/>
                    <a:ln>
                      <a:noFill/>
                    </a:ln>
                    <a:extLst>
                      <a:ext uri="{53640926-AAD7-44D8-BBD7-CCE9431645EC}">
                        <a14:shadowObscured xmlns:a14="http://schemas.microsoft.com/office/drawing/2010/main"/>
                      </a:ext>
                    </a:extLst>
                  </pic:spPr>
                </pic:pic>
              </a:graphicData>
            </a:graphic>
          </wp:inline>
        </w:drawing>
      </w:r>
    </w:p>
    <w:p w14:paraId="1E86D43E" w14:textId="77777777" w:rsidR="006236DE" w:rsidRPr="000A14B3" w:rsidRDefault="006236DE" w:rsidP="006236DE">
      <w:pPr>
        <w:pStyle w:val="caption10"/>
        <w:ind w:left="792"/>
        <w:rPr>
          <w:sz w:val="18"/>
          <w:szCs w:val="18"/>
        </w:rPr>
      </w:pPr>
      <w:r w:rsidRPr="000A14B3">
        <w:rPr>
          <w:sz w:val="18"/>
          <w:szCs w:val="18"/>
        </w:rPr>
        <w:t>Notes:</w:t>
      </w:r>
    </w:p>
    <w:p w14:paraId="61786061" w14:textId="720FCECD" w:rsidR="00A8579E" w:rsidRPr="000A14B3" w:rsidRDefault="006236DE" w:rsidP="00A8579E">
      <w:pPr>
        <w:pStyle w:val="caption10"/>
        <w:numPr>
          <w:ilvl w:val="0"/>
          <w:numId w:val="49"/>
        </w:numPr>
        <w:rPr>
          <w:sz w:val="18"/>
          <w:szCs w:val="18"/>
        </w:rPr>
      </w:pPr>
      <w:r w:rsidRPr="000A14B3">
        <w:rPr>
          <w:sz w:val="18"/>
          <w:szCs w:val="18"/>
        </w:rPr>
        <w:t>Only required to be assessed to address the impact of proposed material generation additions or changes i</w:t>
      </w:r>
      <w:r w:rsidR="00A8579E" w:rsidRPr="000A14B3">
        <w:rPr>
          <w:sz w:val="18"/>
          <w:szCs w:val="18"/>
        </w:rPr>
        <w:t xml:space="preserve">n </w:t>
      </w:r>
      <w:r w:rsidRPr="000A14B3">
        <w:rPr>
          <w:sz w:val="18"/>
          <w:szCs w:val="18"/>
        </w:rPr>
        <w:t>that timeframe</w:t>
      </w:r>
    </w:p>
    <w:p w14:paraId="4322696D" w14:textId="3EC1CB23" w:rsidR="00A8579E" w:rsidRPr="00A8579E" w:rsidRDefault="00A8579E" w:rsidP="00A8579E">
      <w:pPr>
        <w:pStyle w:val="BodyText"/>
      </w:pPr>
      <w:r w:rsidRPr="00A8579E">
        <w:t xml:space="preserve">The steady state and dynamics transmission security </w:t>
      </w:r>
      <w:r w:rsidR="008A6326">
        <w:t xml:space="preserve">analyses </w:t>
      </w:r>
      <w:r w:rsidRPr="00A8579E">
        <w:t>evaluate the New York State BES to meet the applicable criteria.</w:t>
      </w:r>
      <w:r>
        <w:t xml:space="preserve"> </w:t>
      </w:r>
      <w:r w:rsidRPr="00A8579E">
        <w:t>As part of this assessment, the unavailability of major transmission equipment with a lead time of more</w:t>
      </w:r>
      <w:r>
        <w:t xml:space="preserve"> than a year is also assessed. </w:t>
      </w:r>
      <w:r w:rsidRPr="00A8579E">
        <w:t>The fault duty at BES buses are evaluated in the</w:t>
      </w:r>
      <w:r>
        <w:t xml:space="preserve"> short-circuit representation. </w:t>
      </w:r>
      <w:r w:rsidRPr="00A8579E">
        <w:t>When the steady state, dynamics, or short circuit analysis indicates an inability of the system to meet the performance requirements in the standard, a corrective action plan is developed addressing how the performance requirements will be met. Corrective action plans are reviewed in subsequent Planning Assessments for continued validity and implementation status.</w:t>
      </w:r>
    </w:p>
    <w:p w14:paraId="1A334EAB" w14:textId="14C1A3C4" w:rsidR="00A8579E" w:rsidRDefault="00A8579E" w:rsidP="00A8579E">
      <w:pPr>
        <w:pStyle w:val="BodyText"/>
      </w:pPr>
      <w:r w:rsidRPr="00A8579E">
        <w:t>For each steady state and dynamics case, the Planning Assessment evaluates the system res</w:t>
      </w:r>
      <w:r>
        <w:t>ponse to extreme contingencies.</w:t>
      </w:r>
      <w:r w:rsidRPr="00A8579E">
        <w:t xml:space="preserve"> Similar to the ATR, when the Planning Assessment extreme contingency analysis concludes there is cascading caused by an extreme contingency</w:t>
      </w:r>
      <w:r w:rsidR="008A6326">
        <w:t>,</w:t>
      </w:r>
      <w:r w:rsidRPr="00A8579E">
        <w:t xml:space="preserve"> </w:t>
      </w:r>
      <w:r w:rsidR="008A6326">
        <w:t>the NYISO evaluates</w:t>
      </w:r>
      <w:r w:rsidRPr="00A8579E">
        <w:t xml:space="preserve"> possible actions designed to reduce the likelihood or mitigate the consequences and adverse impacts.</w:t>
      </w:r>
    </w:p>
    <w:p w14:paraId="3FC8C845" w14:textId="4FBD1EE1" w:rsidR="00DB6C30" w:rsidRPr="00A8579E" w:rsidRDefault="00DB6C30" w:rsidP="00DB6C30">
      <w:pPr>
        <w:pStyle w:val="Heading2"/>
      </w:pPr>
      <w:bookmarkStart w:id="220" w:name="_Toc48252313"/>
      <w:r>
        <w:t>Resource Adequacy Compliance Efforts</w:t>
      </w:r>
      <w:bookmarkEnd w:id="220"/>
    </w:p>
    <w:p w14:paraId="3DAA5E7F" w14:textId="0A1C8AF0" w:rsidR="005210D1" w:rsidRDefault="007430BB" w:rsidP="007430BB">
      <w:pPr>
        <w:pStyle w:val="BodyText"/>
      </w:pPr>
      <w:r>
        <w:t>NPCC</w:t>
      </w:r>
      <w:r w:rsidR="00F517E2">
        <w:t>’s</w:t>
      </w:r>
      <w:r>
        <w:t xml:space="preserve"> </w:t>
      </w:r>
      <w:hyperlink r:id="rId74" w:history="1">
        <w:r w:rsidRPr="005210D1">
          <w:rPr>
            <w:rStyle w:val="Hyperlink"/>
          </w:rPr>
          <w:t>Directory 1</w:t>
        </w:r>
      </w:hyperlink>
      <w:r>
        <w:t xml:space="preserve"> defines </w:t>
      </w:r>
      <w:r w:rsidR="005210D1">
        <w:t>a compliance obligation for the NYISO</w:t>
      </w:r>
      <w:r w:rsidR="008A6326">
        <w:t>,</w:t>
      </w:r>
      <w:r w:rsidR="005210D1">
        <w:t xml:space="preserve"> as Resource Planner </w:t>
      </w:r>
      <w:r w:rsidR="00143615">
        <w:t xml:space="preserve">and </w:t>
      </w:r>
      <w:r w:rsidR="005210D1">
        <w:t>Planning Coordinator</w:t>
      </w:r>
      <w:r w:rsidR="008A6326">
        <w:t>,</w:t>
      </w:r>
      <w:r w:rsidR="005210D1">
        <w:t xml:space="preserve"> to perform a resource adequacy study evaluating a </w:t>
      </w:r>
      <w:r w:rsidR="008A6326">
        <w:t>five</w:t>
      </w:r>
      <w:r w:rsidR="005210D1">
        <w:t xml:space="preserve">-year planning horizon. The NYISO delivers a report every year under this study process to verify the system against the one-day-in-ten-years </w:t>
      </w:r>
      <w:r w:rsidR="00BE15A9">
        <w:t xml:space="preserve">loss of load expectation (LOLE) </w:t>
      </w:r>
      <w:r w:rsidR="005210D1">
        <w:t xml:space="preserve">criterion, usually based on the </w:t>
      </w:r>
      <w:r w:rsidR="00BE15A9">
        <w:t xml:space="preserve">latest available </w:t>
      </w:r>
      <w:r w:rsidR="005210D1">
        <w:t>RNA</w:t>
      </w:r>
      <w:r w:rsidR="00BE15A9">
        <w:t>/CRP</w:t>
      </w:r>
      <w:r w:rsidR="005210D1">
        <w:t xml:space="preserve"> results and </w:t>
      </w:r>
      <w:r w:rsidR="005210D1">
        <w:lastRenderedPageBreak/>
        <w:t>assumptions.</w:t>
      </w:r>
    </w:p>
    <w:p w14:paraId="74B8C08F" w14:textId="6E4AF743" w:rsidR="00BE15A9" w:rsidRDefault="005210D1" w:rsidP="007430BB">
      <w:pPr>
        <w:pStyle w:val="BodyText"/>
      </w:pPr>
      <w:r>
        <w:t xml:space="preserve">NYSRC </w:t>
      </w:r>
      <w:hyperlink r:id="rId75" w:history="1">
        <w:r w:rsidR="00EF702D" w:rsidRPr="00F517E2">
          <w:rPr>
            <w:rStyle w:val="Hyperlink"/>
          </w:rPr>
          <w:t>Reliability Rules</w:t>
        </w:r>
      </w:hyperlink>
      <w:r w:rsidR="00EF702D">
        <w:t xml:space="preserve"> </w:t>
      </w:r>
      <w:r w:rsidR="005B0DF0">
        <w:t xml:space="preserve">have recently included a requirement </w:t>
      </w:r>
      <w:r w:rsidR="00650BD6">
        <w:t>A3.</w:t>
      </w:r>
      <w:r w:rsidR="005B0DF0">
        <w:t xml:space="preserve">R3 defining the NYISO’s obligation to deliver a Long Term Resource Adequacy Assessment report every RNA year, </w:t>
      </w:r>
      <w:r w:rsidR="00913809">
        <w:t>and an annual update</w:t>
      </w:r>
      <w:r w:rsidR="005B0DF0">
        <w:t xml:space="preserve"> </w:t>
      </w:r>
      <w:r w:rsidR="00041765">
        <w:t>in the non-RNA years</w:t>
      </w:r>
      <w:r w:rsidR="005B0DF0">
        <w:t xml:space="preserve">. The </w:t>
      </w:r>
      <w:r w:rsidR="008A6326">
        <w:t xml:space="preserve">NYISO will </w:t>
      </w:r>
      <w:r w:rsidR="005B0DF0">
        <w:t xml:space="preserve">first implement of this requirement after </w:t>
      </w:r>
      <w:r w:rsidR="00650BD6">
        <w:t>finalizing the</w:t>
      </w:r>
      <w:r w:rsidR="005B0DF0">
        <w:t xml:space="preserve"> </w:t>
      </w:r>
      <w:r w:rsidR="00650BD6">
        <w:t>2020 RNA.</w:t>
      </w:r>
    </w:p>
    <w:p w14:paraId="4DA8DD72" w14:textId="60D3E88D" w:rsidR="001663D9" w:rsidRDefault="00BE15A9" w:rsidP="007430BB">
      <w:pPr>
        <w:pStyle w:val="BodyText"/>
        <w:rPr>
          <w:rFonts w:ascii="Franklin Gothic Medium" w:hAnsi="Franklin Gothic Medium"/>
          <w:color w:val="005F86"/>
          <w:sz w:val="32"/>
          <w:szCs w:val="28"/>
        </w:rPr>
      </w:pPr>
      <w:r>
        <w:t xml:space="preserve">The NYISO is also </w:t>
      </w:r>
      <w:r w:rsidR="00F517E2">
        <w:t xml:space="preserve">actively </w:t>
      </w:r>
      <w:r>
        <w:t xml:space="preserve">involved in </w:t>
      </w:r>
      <w:r w:rsidR="00F517E2">
        <w:t xml:space="preserve">other activities such as </w:t>
      </w:r>
      <w:r>
        <w:t xml:space="preserve">the NERC’s </w:t>
      </w:r>
      <w:r w:rsidR="00650BD6">
        <w:t xml:space="preserve">annual </w:t>
      </w:r>
      <w:r>
        <w:t>Long Term Reliability Assessment</w:t>
      </w:r>
      <w:r w:rsidR="00494C5D">
        <w:t xml:space="preserve"> (LTRA)</w:t>
      </w:r>
      <w:r w:rsidR="00650BD6">
        <w:t>, along with its bi</w:t>
      </w:r>
      <w:r w:rsidR="00143615">
        <w:t>ennial</w:t>
      </w:r>
      <w:r w:rsidR="00650BD6">
        <w:t xml:space="preserve"> Probabilistic Assessment</w:t>
      </w:r>
      <w:r w:rsidR="00494C5D">
        <w:t xml:space="preserve"> (ProbA)</w:t>
      </w:r>
      <w:r w:rsidR="00650BD6">
        <w:t>,</w:t>
      </w:r>
      <w:r>
        <w:t xml:space="preserve"> performed </w:t>
      </w:r>
      <w:r w:rsidR="00650BD6">
        <w:t xml:space="preserve">by </w:t>
      </w:r>
      <w:r>
        <w:t>NERC with the input from all the NERC Regions and A</w:t>
      </w:r>
      <w:r w:rsidR="00F517E2">
        <w:t>reas, as well as NPCC’s Long Range Adequacy Overview (LROA).</w:t>
      </w:r>
      <w:r w:rsidR="001663D9">
        <w:br w:type="page"/>
      </w:r>
    </w:p>
    <w:p w14:paraId="6A645CF6" w14:textId="11AB9C9B" w:rsidR="0068243C" w:rsidRPr="001663D9" w:rsidRDefault="00BB0019" w:rsidP="00732907">
      <w:pPr>
        <w:pStyle w:val="Heading1"/>
        <w:numPr>
          <w:ilvl w:val="0"/>
          <w:numId w:val="36"/>
        </w:numPr>
      </w:pPr>
      <w:bookmarkStart w:id="221" w:name="_Toc48252314"/>
      <w:r>
        <w:lastRenderedPageBreak/>
        <w:t xml:space="preserve">A Grid In Transition: </w:t>
      </w:r>
      <w:r w:rsidR="0068243C">
        <w:t xml:space="preserve">Reliability </w:t>
      </w:r>
      <w:r>
        <w:t>Gap Analysis</w:t>
      </w:r>
      <w:bookmarkEnd w:id="221"/>
      <w:r w:rsidR="0068243C" w:rsidRPr="001663D9">
        <w:t xml:space="preserve"> </w:t>
      </w:r>
    </w:p>
    <w:p w14:paraId="3E9BAAAE" w14:textId="263D07A5" w:rsidR="00BB0019" w:rsidRPr="00BB0019" w:rsidRDefault="00BB0019" w:rsidP="00BB0019">
      <w:pPr>
        <w:pStyle w:val="BodyText"/>
      </w:pPr>
      <w:r>
        <w:t>In 2019</w:t>
      </w:r>
      <w:r w:rsidR="00E630FA">
        <w:t>,</w:t>
      </w:r>
      <w:r>
        <w:t xml:space="preserve"> the NYISO published the </w:t>
      </w:r>
      <w:hyperlink r:id="rId76" w:history="1">
        <w:r w:rsidRPr="00E630FA">
          <w:rPr>
            <w:rStyle w:val="Hyperlink"/>
            <w:i/>
          </w:rPr>
          <w:t>Reliability and Market Considerations For A Grid In Transition</w:t>
        </w:r>
      </w:hyperlink>
      <w:r>
        <w:t xml:space="preserve"> white paper to facilitate a review of how market signals are aligned with system reliability needs in order to attract investment and retain competitive suppliers through the transition to 70% renewable energy by 2030.  </w:t>
      </w:r>
      <w:r w:rsidRPr="00BB0019">
        <w:t>As</w:t>
      </w:r>
      <w:r>
        <w:t xml:space="preserve"> part of that white paper, the NYISO conducted a reliability gap analysis to identify ways in which the transition towards intermittent resources could lead to operational circumstances that may violate system reliability requirements.</w:t>
      </w:r>
      <w:r w:rsidRPr="002E374F">
        <w:t xml:space="preserve"> </w:t>
      </w:r>
      <w:r w:rsidRPr="00BB0019">
        <w:t xml:space="preserve">The analysis included potential areas that the NYISO must be prepared to address in order to continue to meet mandatory reliability standards, such as: </w:t>
      </w:r>
    </w:p>
    <w:p w14:paraId="74EFA5D5" w14:textId="77777777" w:rsidR="00BB0019" w:rsidRPr="002E374F" w:rsidRDefault="00BB0019" w:rsidP="00BB0019">
      <w:pPr>
        <w:pStyle w:val="BodyText10"/>
        <w:numPr>
          <w:ilvl w:val="0"/>
          <w:numId w:val="54"/>
        </w:numPr>
      </w:pPr>
      <w:r w:rsidRPr="002E374F">
        <w:rPr>
          <w:b/>
        </w:rPr>
        <w:t xml:space="preserve">Maintaining ability to balance load and generation: </w:t>
      </w:r>
      <w:r>
        <w:t>B</w:t>
      </w:r>
      <w:r w:rsidRPr="002E374F">
        <w:t xml:space="preserve">alancing high levels of intermittent generation with system demand that may be difficult to forecast in </w:t>
      </w:r>
      <w:r>
        <w:br/>
      </w:r>
      <w:r w:rsidRPr="002E374F">
        <w:t xml:space="preserve">real-time operations. </w:t>
      </w:r>
    </w:p>
    <w:p w14:paraId="28B9C74E" w14:textId="77777777" w:rsidR="00BB0019" w:rsidRPr="002E374F" w:rsidRDefault="00BB0019" w:rsidP="00BB0019">
      <w:pPr>
        <w:pStyle w:val="BodyText10"/>
        <w:numPr>
          <w:ilvl w:val="0"/>
          <w:numId w:val="54"/>
        </w:numPr>
      </w:pPr>
      <w:r w:rsidRPr="002E374F">
        <w:rPr>
          <w:b/>
        </w:rPr>
        <w:t xml:space="preserve">Maintaining </w:t>
      </w:r>
      <w:r>
        <w:rPr>
          <w:b/>
        </w:rPr>
        <w:t>10</w:t>
      </w:r>
      <w:r w:rsidRPr="002E374F">
        <w:rPr>
          <w:b/>
        </w:rPr>
        <w:t xml:space="preserve">-minute operating reserves: </w:t>
      </w:r>
      <w:r>
        <w:t>H</w:t>
      </w:r>
      <w:r w:rsidRPr="002E374F">
        <w:t xml:space="preserve">igh levels of intermittent resources may result in challenges to maintaining sufficient </w:t>
      </w:r>
      <w:r>
        <w:t>10</w:t>
      </w:r>
      <w:r w:rsidRPr="002E374F">
        <w:t xml:space="preserve">-minute operating reserves and disturbance-control performance requirements. </w:t>
      </w:r>
    </w:p>
    <w:p w14:paraId="7A1FB69A" w14:textId="77777777" w:rsidR="00BB0019" w:rsidRPr="002E374F" w:rsidRDefault="00BB0019" w:rsidP="00BB0019">
      <w:pPr>
        <w:pStyle w:val="BodyText10"/>
        <w:numPr>
          <w:ilvl w:val="0"/>
          <w:numId w:val="54"/>
        </w:numPr>
      </w:pPr>
      <w:r w:rsidRPr="002E374F">
        <w:rPr>
          <w:b/>
        </w:rPr>
        <w:t xml:space="preserve">Maintaining total </w:t>
      </w:r>
      <w:r>
        <w:rPr>
          <w:b/>
        </w:rPr>
        <w:t>30</w:t>
      </w:r>
      <w:r w:rsidRPr="002E374F">
        <w:rPr>
          <w:b/>
        </w:rPr>
        <w:t xml:space="preserve">-minute operating reserves: </w:t>
      </w:r>
      <w:r>
        <w:t>H</w:t>
      </w:r>
      <w:r w:rsidRPr="002E374F">
        <w:t xml:space="preserve">igh levels of intermittent resources may lead to challenges in meeting operating reserve requirements in response to longer-term variations in generation levels from intermittent generation. </w:t>
      </w:r>
    </w:p>
    <w:p w14:paraId="2DAD25C9" w14:textId="77777777" w:rsidR="00BB0019" w:rsidRPr="002E374F" w:rsidRDefault="00BB0019" w:rsidP="00BB0019">
      <w:pPr>
        <w:pStyle w:val="BodyText10"/>
        <w:numPr>
          <w:ilvl w:val="0"/>
          <w:numId w:val="54"/>
        </w:numPr>
      </w:pPr>
      <w:r w:rsidRPr="002E374F">
        <w:rPr>
          <w:b/>
        </w:rPr>
        <w:t xml:space="preserve">Maintaining ability to meet daily energy requirements: </w:t>
      </w:r>
      <w:r>
        <w:t>R</w:t>
      </w:r>
      <w:r w:rsidRPr="002E374F">
        <w:t xml:space="preserve">eliance on high levels of intermittent resources and limited energy storage resources may present challenges to meeting control-performance requirements and daily energy requirements in real-time operations. </w:t>
      </w:r>
    </w:p>
    <w:p w14:paraId="668F62F7" w14:textId="77777777" w:rsidR="00BB0019" w:rsidRPr="002E374F" w:rsidRDefault="00BB0019" w:rsidP="00BB0019">
      <w:pPr>
        <w:pStyle w:val="BodyText10"/>
        <w:numPr>
          <w:ilvl w:val="0"/>
          <w:numId w:val="54"/>
        </w:numPr>
      </w:pPr>
      <w:r w:rsidRPr="002E374F">
        <w:rPr>
          <w:b/>
        </w:rPr>
        <w:t xml:space="preserve">Maintaining reliable transmission operations: </w:t>
      </w:r>
      <w:r>
        <w:t>I</w:t>
      </w:r>
      <w:r w:rsidRPr="002E374F">
        <w:t xml:space="preserve">t may become difficult to forecast system and locational demand requirements in real time when operating under high levels of intermittent generation. </w:t>
      </w:r>
    </w:p>
    <w:p w14:paraId="25D47A7E" w14:textId="77777777" w:rsidR="00BB0019" w:rsidRPr="002E374F" w:rsidRDefault="00BB0019" w:rsidP="00BB0019">
      <w:pPr>
        <w:pStyle w:val="BodyText10"/>
        <w:numPr>
          <w:ilvl w:val="0"/>
          <w:numId w:val="54"/>
        </w:numPr>
      </w:pPr>
      <w:r w:rsidRPr="002E374F">
        <w:rPr>
          <w:b/>
        </w:rPr>
        <w:t xml:space="preserve">Maintaining black start capability: </w:t>
      </w:r>
      <w:r w:rsidRPr="002E374F">
        <w:t xml:space="preserve">The NYISO may be challenged to effectively restore the system within expected timeframes following a blackout given a system with high levels of intermittent generation. </w:t>
      </w:r>
    </w:p>
    <w:p w14:paraId="636C08AA" w14:textId="77777777" w:rsidR="00BB0019" w:rsidRPr="002E374F" w:rsidRDefault="00BB0019" w:rsidP="00BB0019">
      <w:pPr>
        <w:pStyle w:val="BodyText10"/>
        <w:numPr>
          <w:ilvl w:val="0"/>
          <w:numId w:val="54"/>
        </w:numPr>
      </w:pPr>
      <w:r w:rsidRPr="002E374F">
        <w:rPr>
          <w:b/>
        </w:rPr>
        <w:t xml:space="preserve">Maintaining voltage support capability: </w:t>
      </w:r>
      <w:r w:rsidRPr="002E374F">
        <w:t xml:space="preserve">The NYISO may be challenged to meet voltage performance requirements with high levels of intermittent generation. </w:t>
      </w:r>
    </w:p>
    <w:p w14:paraId="42955A3E" w14:textId="77777777" w:rsidR="00BB0019" w:rsidRPr="002E374F" w:rsidRDefault="00BB0019" w:rsidP="00BB0019">
      <w:pPr>
        <w:pStyle w:val="BodyText10"/>
        <w:numPr>
          <w:ilvl w:val="0"/>
          <w:numId w:val="54"/>
        </w:numPr>
      </w:pPr>
      <w:r w:rsidRPr="002E374F">
        <w:rPr>
          <w:b/>
        </w:rPr>
        <w:t xml:space="preserve">Maintaining frequency response capability: </w:t>
      </w:r>
      <w:r w:rsidRPr="002E374F">
        <w:t xml:space="preserve">The NYISO may be challenged to meet frequency performance requirements for a power system with high levels of intermittent generation. </w:t>
      </w:r>
    </w:p>
    <w:p w14:paraId="76B3D95B" w14:textId="77777777" w:rsidR="00BB0019" w:rsidRPr="002E374F" w:rsidRDefault="00BB0019" w:rsidP="00BB0019">
      <w:pPr>
        <w:pStyle w:val="BodyText10"/>
        <w:numPr>
          <w:ilvl w:val="0"/>
          <w:numId w:val="54"/>
        </w:numPr>
      </w:pPr>
      <w:r w:rsidRPr="002E374F">
        <w:rPr>
          <w:b/>
        </w:rPr>
        <w:t xml:space="preserve">Maintaining resource adequacy: </w:t>
      </w:r>
      <w:r w:rsidRPr="002E374F">
        <w:t xml:space="preserve">The NYISO may be challenged to maintain acceptable levels of resource adequacy. </w:t>
      </w:r>
    </w:p>
    <w:p w14:paraId="6CA67A48" w14:textId="77777777" w:rsidR="00BB0019" w:rsidRPr="002E374F" w:rsidRDefault="00BB0019" w:rsidP="00BB0019">
      <w:pPr>
        <w:pStyle w:val="BodyText10"/>
        <w:numPr>
          <w:ilvl w:val="0"/>
          <w:numId w:val="54"/>
        </w:numPr>
      </w:pPr>
      <w:r w:rsidRPr="002E374F">
        <w:rPr>
          <w:b/>
        </w:rPr>
        <w:t xml:space="preserve">Maintaining the ability to manage supply resource outage schedules: </w:t>
      </w:r>
      <w:r w:rsidRPr="002E374F">
        <w:t xml:space="preserve">The NYISO may be challenged to manage supply resource maintenance outage scheduling. </w:t>
      </w:r>
    </w:p>
    <w:p w14:paraId="49AE10AB" w14:textId="61EA2BF2" w:rsidR="00BB0019" w:rsidRDefault="00BB0019" w:rsidP="00732907">
      <w:pPr>
        <w:pStyle w:val="BodyText"/>
      </w:pPr>
      <w:r w:rsidRPr="00217349">
        <w:t xml:space="preserve">These concepts will </w:t>
      </w:r>
      <w:r>
        <w:t>continued to be</w:t>
      </w:r>
      <w:r w:rsidRPr="00217349">
        <w:t xml:space="preserve"> explored in </w:t>
      </w:r>
      <w:r w:rsidRPr="00D77697">
        <w:t xml:space="preserve">the </w:t>
      </w:r>
      <w:r w:rsidRPr="00732907">
        <w:t xml:space="preserve">2021-2030 Comprehensive Reliability Plan </w:t>
      </w:r>
      <w:r w:rsidRPr="00217349">
        <w:t xml:space="preserve">and </w:t>
      </w:r>
      <w:r w:rsidRPr="00217349">
        <w:lastRenderedPageBreak/>
        <w:t>numerous other reliability studies in the near future.</w:t>
      </w:r>
      <w:r>
        <w:t xml:space="preserve"> </w:t>
      </w:r>
      <w:r w:rsidRPr="00F375B5">
        <w:t xml:space="preserve">None of the identified potential reliability gaps </w:t>
      </w:r>
      <w:r>
        <w:t xml:space="preserve">relative to intermittent resources </w:t>
      </w:r>
      <w:r w:rsidRPr="00F375B5">
        <w:t>represent near-term concerns</w:t>
      </w:r>
      <w:r>
        <w:t>. H</w:t>
      </w:r>
      <w:r w:rsidRPr="00F375B5">
        <w:t xml:space="preserve">owever, the challenge for the NYISO is to design and implement a portfolio of market products, reliability planning, and operational enhancements that facilitate achievement of clean energy policies while maintaining system reliability through the competitive wholesale electricity markets. </w:t>
      </w:r>
      <w:r>
        <w:t>There may also be a need for review of established reliability criteria to address reliability gaps that may arise due to the changing system operating characteristics as New York transitions to a zero emission resource mix.</w:t>
      </w:r>
    </w:p>
    <w:p w14:paraId="132F1812" w14:textId="3361F9E0" w:rsidR="0084324A" w:rsidRDefault="0084324A" w:rsidP="00732907">
      <w:pPr>
        <w:pStyle w:val="Heading1"/>
        <w:numPr>
          <w:ilvl w:val="0"/>
          <w:numId w:val="36"/>
        </w:numPr>
      </w:pPr>
      <w:bookmarkStart w:id="222" w:name="_Toc48252315"/>
      <w:r w:rsidRPr="00BC5328">
        <w:t>Observations and Recommendations</w:t>
      </w:r>
      <w:bookmarkEnd w:id="222"/>
    </w:p>
    <w:p w14:paraId="37A5C0A0" w14:textId="77777777" w:rsidR="00041765" w:rsidRPr="00041765" w:rsidRDefault="00041765" w:rsidP="00041765"/>
    <w:p w14:paraId="52D4C416" w14:textId="56D3A0AF" w:rsidR="00041765" w:rsidRDefault="0068243C" w:rsidP="00903EC1">
      <w:pPr>
        <w:pStyle w:val="BodyText"/>
        <w:rPr>
          <w:color w:val="FF0000"/>
        </w:rPr>
      </w:pPr>
      <w:r>
        <w:rPr>
          <w:color w:val="FF0000"/>
        </w:rPr>
        <w:t xml:space="preserve">[PLACEHOLDER] </w:t>
      </w:r>
    </w:p>
    <w:p w14:paraId="151451B7" w14:textId="0D8E3093" w:rsidR="0084324A" w:rsidRPr="00041765" w:rsidRDefault="0084324A" w:rsidP="00903EC1">
      <w:pPr>
        <w:pStyle w:val="BodyText"/>
        <w:rPr>
          <w:b/>
          <w:color w:val="FF0000"/>
        </w:rPr>
      </w:pPr>
    </w:p>
    <w:sectPr w:rsidR="0084324A" w:rsidRPr="00041765" w:rsidSect="0068750C">
      <w:pgSz w:w="12240" w:h="15840" w:code="1"/>
      <w:pgMar w:top="1440" w:right="1080" w:bottom="1440" w:left="1080" w:header="720" w:footer="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31E1E" w14:textId="77777777" w:rsidR="00732907" w:rsidRDefault="00732907" w:rsidP="00FD76C9">
      <w:pPr>
        <w:spacing w:after="0"/>
      </w:pPr>
      <w:r>
        <w:separator/>
      </w:r>
    </w:p>
  </w:endnote>
  <w:endnote w:type="continuationSeparator" w:id="0">
    <w:p w14:paraId="27E0C135" w14:textId="77777777" w:rsidR="00732907" w:rsidRDefault="00732907" w:rsidP="00FD7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Roboto Condensed">
    <w:altName w:val="Times New Roman"/>
    <w:charset w:val="00"/>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E8EA8" w14:textId="77777777" w:rsidR="00732907" w:rsidRDefault="00732907">
    <w:pPr>
      <w:pStyle w:val="Footer"/>
    </w:pPr>
    <w:r>
      <w:tab/>
    </w:r>
    <w:r>
      <w:tab/>
    </w:r>
    <w:r>
      <w:tab/>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51548" w14:textId="2E2BA157" w:rsidR="00732907" w:rsidRPr="00180509" w:rsidRDefault="00732907" w:rsidP="00B44233">
    <w:pPr>
      <w:pStyle w:val="Footer"/>
      <w:tabs>
        <w:tab w:val="clear" w:pos="9360"/>
        <w:tab w:val="right" w:pos="10080"/>
      </w:tabs>
      <w:ind w:left="0" w:firstLine="0"/>
      <w:rPr>
        <w:rFonts w:ascii="Franklin Gothic Medium" w:hAnsi="Franklin Gothic Medium"/>
        <w:sz w:val="16"/>
        <w:szCs w:val="16"/>
      </w:rPr>
    </w:pPr>
    <w:r>
      <w:rPr>
        <w:rFonts w:ascii="Franklin Gothic Medium" w:hAnsi="Franklin Gothic Medium"/>
        <w:sz w:val="16"/>
        <w:szCs w:val="16"/>
      </w:rPr>
      <w:t xml:space="preserve">Draft for Discussion at the August 20 ESPWG/TPAS </w:t>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color w:val="005F86"/>
        <w:sz w:val="16"/>
        <w:szCs w:val="16"/>
      </w:rPr>
      <w:t>NYISO 2020 Reliability Needs Assessment</w:t>
    </w:r>
    <w:r w:rsidRPr="00180509">
      <w:rPr>
        <w:rFonts w:ascii="Franklin Gothic Medium" w:hAnsi="Franklin Gothic Medium"/>
        <w:sz w:val="16"/>
        <w:szCs w:val="16"/>
      </w:rPr>
      <w:t xml:space="preserve">   </w:t>
    </w:r>
    <w:r w:rsidRPr="00180509">
      <w:rPr>
        <w:rFonts w:ascii="Franklin Gothic Medium" w:hAnsi="Franklin Gothic Medium"/>
        <w:color w:val="5BC2E7"/>
        <w:sz w:val="16"/>
        <w:szCs w:val="16"/>
      </w:rPr>
      <w:t>|</w:t>
    </w:r>
    <w:r w:rsidRPr="00180509">
      <w:rPr>
        <w:rFonts w:ascii="Franklin Gothic Medium" w:hAnsi="Franklin Gothic Medium"/>
        <w:sz w:val="16"/>
        <w:szCs w:val="16"/>
      </w:rPr>
      <w:t xml:space="preserve">   </w:t>
    </w:r>
    <w:r w:rsidRPr="00180509">
      <w:rPr>
        <w:rFonts w:ascii="Franklin Gothic Medium" w:hAnsi="Franklin Gothic Medium"/>
        <w:color w:val="005F86"/>
        <w:sz w:val="16"/>
        <w:szCs w:val="16"/>
      </w:rPr>
      <w:fldChar w:fldCharType="begin"/>
    </w:r>
    <w:r w:rsidRPr="00180509">
      <w:rPr>
        <w:rFonts w:ascii="Franklin Gothic Medium" w:hAnsi="Franklin Gothic Medium"/>
        <w:color w:val="005F86"/>
        <w:sz w:val="16"/>
        <w:szCs w:val="16"/>
      </w:rPr>
      <w:instrText xml:space="preserve"> PAGE   \* MERGEFORMAT </w:instrText>
    </w:r>
    <w:r w:rsidRPr="00180509">
      <w:rPr>
        <w:rFonts w:ascii="Franklin Gothic Medium" w:hAnsi="Franklin Gothic Medium"/>
        <w:color w:val="005F86"/>
        <w:sz w:val="16"/>
        <w:szCs w:val="16"/>
      </w:rPr>
      <w:fldChar w:fldCharType="separate"/>
    </w:r>
    <w:r w:rsidR="00D517E4">
      <w:rPr>
        <w:rFonts w:ascii="Franklin Gothic Medium" w:hAnsi="Franklin Gothic Medium"/>
        <w:noProof/>
        <w:color w:val="005F86"/>
        <w:sz w:val="16"/>
        <w:szCs w:val="16"/>
      </w:rPr>
      <w:t>6</w:t>
    </w:r>
    <w:r w:rsidRPr="00180509">
      <w:rPr>
        <w:rFonts w:ascii="Franklin Gothic Medium" w:hAnsi="Franklin Gothic Medium"/>
        <w:color w:val="005F86"/>
        <w:sz w:val="16"/>
        <w:szCs w:val="16"/>
      </w:rPr>
      <w:fldChar w:fldCharType="end"/>
    </w:r>
  </w:p>
  <w:p w14:paraId="778E668F" w14:textId="77777777" w:rsidR="00732907" w:rsidRDefault="00732907" w:rsidP="006F00C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368A7" w14:textId="0F5A2465" w:rsidR="00732907" w:rsidRPr="00180509" w:rsidRDefault="00732907" w:rsidP="0068750C">
    <w:pPr>
      <w:pStyle w:val="Footer"/>
      <w:tabs>
        <w:tab w:val="clear" w:pos="9360"/>
        <w:tab w:val="right" w:pos="10080"/>
      </w:tabs>
      <w:ind w:left="0" w:firstLine="0"/>
      <w:rPr>
        <w:rFonts w:ascii="Franklin Gothic Medium" w:hAnsi="Franklin Gothic Medium"/>
        <w:sz w:val="16"/>
        <w:szCs w:val="16"/>
      </w:rPr>
    </w:pPr>
    <w:r>
      <w:rPr>
        <w:rFonts w:ascii="Franklin Gothic Medium" w:hAnsi="Franklin Gothic Medium"/>
        <w:sz w:val="16"/>
        <w:szCs w:val="16"/>
      </w:rPr>
      <w:t>Draft for Discussion Only at the August 20, 2020 ESPWG/TPAS</w:t>
    </w:r>
    <w:r>
      <w:rPr>
        <w:rFonts w:ascii="Franklin Gothic Medium" w:hAnsi="Franklin Gothic Medium"/>
        <w:sz w:val="16"/>
        <w:szCs w:val="16"/>
      </w:rPr>
      <w:tab/>
    </w:r>
    <w:r>
      <w:rPr>
        <w:rFonts w:ascii="Franklin Gothic Medium" w:hAnsi="Franklin Gothic Medium"/>
        <w:sz w:val="16"/>
        <w:szCs w:val="16"/>
      </w:rPr>
      <w:tab/>
    </w:r>
    <w:r>
      <w:rPr>
        <w:rFonts w:ascii="Franklin Gothic Medium" w:hAnsi="Franklin Gothic Medium"/>
        <w:color w:val="005F86"/>
        <w:sz w:val="16"/>
        <w:szCs w:val="16"/>
      </w:rPr>
      <w:t>NYISO 2020 Reliability Needs Assessment</w:t>
    </w:r>
    <w:r w:rsidRPr="00180509">
      <w:rPr>
        <w:rFonts w:ascii="Franklin Gothic Medium" w:hAnsi="Franklin Gothic Medium"/>
        <w:sz w:val="16"/>
        <w:szCs w:val="16"/>
      </w:rPr>
      <w:t xml:space="preserve">   </w:t>
    </w:r>
    <w:r w:rsidRPr="00180509">
      <w:rPr>
        <w:rFonts w:ascii="Franklin Gothic Medium" w:hAnsi="Franklin Gothic Medium"/>
        <w:color w:val="5BC2E7"/>
        <w:sz w:val="16"/>
        <w:szCs w:val="16"/>
      </w:rPr>
      <w:t>|</w:t>
    </w:r>
    <w:r w:rsidRPr="00180509">
      <w:rPr>
        <w:rFonts w:ascii="Franklin Gothic Medium" w:hAnsi="Franklin Gothic Medium"/>
        <w:sz w:val="16"/>
        <w:szCs w:val="16"/>
      </w:rPr>
      <w:t xml:space="preserve">   </w:t>
    </w:r>
    <w:r w:rsidRPr="00180509">
      <w:rPr>
        <w:rFonts w:ascii="Franklin Gothic Medium" w:hAnsi="Franklin Gothic Medium"/>
        <w:color w:val="005F86"/>
        <w:sz w:val="16"/>
        <w:szCs w:val="16"/>
      </w:rPr>
      <w:fldChar w:fldCharType="begin"/>
    </w:r>
    <w:r w:rsidRPr="00180509">
      <w:rPr>
        <w:rFonts w:ascii="Franklin Gothic Medium" w:hAnsi="Franklin Gothic Medium"/>
        <w:color w:val="005F86"/>
        <w:sz w:val="16"/>
        <w:szCs w:val="16"/>
      </w:rPr>
      <w:instrText xml:space="preserve"> PAGE   \* MERGEFORMAT </w:instrText>
    </w:r>
    <w:r w:rsidRPr="00180509">
      <w:rPr>
        <w:rFonts w:ascii="Franklin Gothic Medium" w:hAnsi="Franklin Gothic Medium"/>
        <w:color w:val="005F86"/>
        <w:sz w:val="16"/>
        <w:szCs w:val="16"/>
      </w:rPr>
      <w:fldChar w:fldCharType="separate"/>
    </w:r>
    <w:r w:rsidR="00D517E4">
      <w:rPr>
        <w:rFonts w:ascii="Franklin Gothic Medium" w:hAnsi="Franklin Gothic Medium"/>
        <w:noProof/>
        <w:color w:val="005F86"/>
        <w:sz w:val="16"/>
        <w:szCs w:val="16"/>
      </w:rPr>
      <w:t>i</w:t>
    </w:r>
    <w:r w:rsidRPr="00180509">
      <w:rPr>
        <w:rFonts w:ascii="Franklin Gothic Medium" w:hAnsi="Franklin Gothic Medium"/>
        <w:color w:val="005F86"/>
        <w:sz w:val="16"/>
        <w:szCs w:val="16"/>
      </w:rPr>
      <w:fldChar w:fldCharType="end"/>
    </w:r>
  </w:p>
  <w:p w14:paraId="6ED3E915" w14:textId="77777777" w:rsidR="00732907" w:rsidRDefault="00732907" w:rsidP="00E97FFA">
    <w:pPr>
      <w:pStyle w:val="Footer"/>
      <w:tabs>
        <w:tab w:val="left" w:pos="9360"/>
        <w:tab w:val="left" w:pos="999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50BF" w14:textId="77777777" w:rsidR="00732907" w:rsidRDefault="00732907" w:rsidP="00FD76C9">
      <w:pPr>
        <w:spacing w:after="0"/>
      </w:pPr>
      <w:r>
        <w:separator/>
      </w:r>
    </w:p>
  </w:footnote>
  <w:footnote w:type="continuationSeparator" w:id="0">
    <w:p w14:paraId="58542DC3" w14:textId="77777777" w:rsidR="00732907" w:rsidRDefault="00732907" w:rsidP="00FD76C9">
      <w:pPr>
        <w:spacing w:after="0"/>
      </w:pPr>
      <w:r>
        <w:continuationSeparator/>
      </w:r>
    </w:p>
  </w:footnote>
  <w:footnote w:id="1">
    <w:p w14:paraId="3BFD8995" w14:textId="11A7F411" w:rsidR="00732907" w:rsidRPr="00BA4711" w:rsidRDefault="00732907" w:rsidP="003B4D4B">
      <w:pPr>
        <w:pStyle w:val="BodyText"/>
        <w:ind w:firstLine="0"/>
        <w:rPr>
          <w:rFonts w:ascii="Franklin Gothic Book" w:hAnsi="Franklin Gothic Book"/>
          <w:sz w:val="18"/>
          <w:szCs w:val="18"/>
        </w:rPr>
      </w:pPr>
      <w:r>
        <w:rPr>
          <w:rStyle w:val="FootnoteReference"/>
        </w:rPr>
        <w:footnoteRef/>
      </w:r>
      <w:r>
        <w:t xml:space="preserve"> </w:t>
      </w:r>
      <w:r w:rsidRPr="00BA4711">
        <w:rPr>
          <w:rFonts w:ascii="Franklin Gothic Book" w:hAnsi="Franklin Gothic Book"/>
          <w:sz w:val="18"/>
          <w:szCs w:val="18"/>
        </w:rPr>
        <w:t>A condition identified by the NYISO in the RNA as a violation or potential violation of Reliability Criteria.</w:t>
      </w:r>
    </w:p>
    <w:p w14:paraId="7CE5D383" w14:textId="79B4F397" w:rsidR="00732907" w:rsidRDefault="00732907">
      <w:pPr>
        <w:pStyle w:val="FootnoteText"/>
      </w:pPr>
    </w:p>
  </w:footnote>
  <w:footnote w:id="2">
    <w:p w14:paraId="1F17C6CE" w14:textId="08BCA148" w:rsidR="00732907" w:rsidRDefault="00732907" w:rsidP="00827A1B">
      <w:pPr>
        <w:pStyle w:val="FootnoteText"/>
      </w:pPr>
      <w:r>
        <w:rPr>
          <w:rStyle w:val="FootnoteReference"/>
        </w:rPr>
        <w:footnoteRef/>
      </w:r>
      <w:r>
        <w:t xml:space="preserve"> This change was implemented in the RPP Manual in 2019.</w:t>
      </w:r>
    </w:p>
  </w:footnote>
  <w:footnote w:id="3">
    <w:p w14:paraId="20CF5A89" w14:textId="4C660DE9" w:rsidR="00732907" w:rsidRDefault="00732907" w:rsidP="00827A1B">
      <w:pPr>
        <w:pStyle w:val="FootnoteText"/>
      </w:pPr>
      <w:r>
        <w:rPr>
          <w:rStyle w:val="FootnoteReference"/>
        </w:rPr>
        <w:footnoteRef/>
      </w:r>
      <w:r>
        <w:t xml:space="preserve"> This change was implemented in the RPP Manual in 2019.</w:t>
      </w:r>
    </w:p>
  </w:footnote>
  <w:footnote w:id="4">
    <w:p w14:paraId="5EF85FD3" w14:textId="77777777" w:rsidR="00732907" w:rsidRDefault="00732907" w:rsidP="006E7D43">
      <w:pPr>
        <w:pStyle w:val="FootnoteText"/>
      </w:pPr>
      <w:r>
        <w:rPr>
          <w:rStyle w:val="FootnoteReference"/>
        </w:rPr>
        <w:footnoteRef/>
      </w:r>
      <w:r>
        <w:t xml:space="preserve"> </w:t>
      </w:r>
      <w:hyperlink r:id="rId1" w:history="1">
        <w:r w:rsidRPr="00492E35">
          <w:rPr>
            <w:rStyle w:val="Hyperlink"/>
          </w:rPr>
          <w:t>https://www.dec.ny.gov/regulations/116131.html</w:t>
        </w:r>
      </w:hyperlink>
      <w:r>
        <w:t xml:space="preserve"> </w:t>
      </w:r>
    </w:p>
  </w:footnote>
  <w:footnote w:id="5">
    <w:p w14:paraId="7980FCE9" w14:textId="77777777" w:rsidR="00732907" w:rsidRDefault="00732907" w:rsidP="006E7D43">
      <w:pPr>
        <w:pStyle w:val="caption10"/>
        <w:rPr>
          <w:rStyle w:val="Hyperlink"/>
        </w:rPr>
      </w:pPr>
      <w:r>
        <w:rPr>
          <w:rStyle w:val="FootnoteReference"/>
        </w:rPr>
        <w:footnoteRef/>
      </w:r>
      <w:r>
        <w:t xml:space="preserve"> See ‘Generator Deactivation Assessments’ at </w:t>
      </w:r>
      <w:hyperlink r:id="rId2" w:history="1">
        <w:r w:rsidRPr="002C38F4">
          <w:rPr>
            <w:rStyle w:val="Hyperlink"/>
          </w:rPr>
          <w:t>https://www.nyiso.com/cspp</w:t>
        </w:r>
      </w:hyperlink>
      <w:r>
        <w:rPr>
          <w:rStyle w:val="Hyperlink"/>
        </w:rPr>
        <w:t xml:space="preserve">: </w:t>
      </w:r>
    </w:p>
    <w:p w14:paraId="64737FFC" w14:textId="77777777" w:rsidR="00732907" w:rsidRDefault="00732907" w:rsidP="006E7D43">
      <w:pPr>
        <w:pStyle w:val="caption10"/>
      </w:pPr>
      <w:r>
        <w:t xml:space="preserve">     </w:t>
      </w:r>
      <w:hyperlink r:id="rId3" w:tgtFrame="_blank" w:history="1">
        <w:r>
          <w:rPr>
            <w:rStyle w:val="Hyperlink"/>
          </w:rPr>
          <w:t>Cayuga 1 and 2 Generator Deactivation Assessment (Retirement)</w:t>
        </w:r>
      </w:hyperlink>
    </w:p>
    <w:p w14:paraId="3E01E4CD" w14:textId="77777777" w:rsidR="00732907" w:rsidRDefault="00732907" w:rsidP="006E7D43">
      <w:pPr>
        <w:pStyle w:val="caption10"/>
      </w:pPr>
      <w:r>
        <w:t xml:space="preserve">     </w:t>
      </w:r>
      <w:hyperlink r:id="rId4" w:tgtFrame="_blank" w:history="1">
        <w:r>
          <w:rPr>
            <w:rStyle w:val="Hyperlink"/>
          </w:rPr>
          <w:t>Somerset Generator Deactivation Assessment</w:t>
        </w:r>
      </w:hyperlink>
    </w:p>
    <w:p w14:paraId="69B368C8" w14:textId="77777777" w:rsidR="00732907" w:rsidRDefault="00732907" w:rsidP="006E7D43">
      <w:pPr>
        <w:pStyle w:val="caption10"/>
      </w:pPr>
      <w:r>
        <w:t xml:space="preserve">      </w:t>
      </w:r>
      <w:hyperlink r:id="rId5" w:tgtFrame="_blank" w:history="1">
        <w:r>
          <w:rPr>
            <w:rStyle w:val="Hyperlink"/>
          </w:rPr>
          <w:t>Cayuga 1 Generator Deactivation Assessment</w:t>
        </w:r>
      </w:hyperlink>
    </w:p>
  </w:footnote>
  <w:footnote w:id="6">
    <w:p w14:paraId="22C7B878" w14:textId="77777777" w:rsidR="00732907" w:rsidRDefault="00732907" w:rsidP="006E7D43">
      <w:pPr>
        <w:pStyle w:val="FootnoteText"/>
        <w:ind w:left="360"/>
      </w:pPr>
      <w:r>
        <w:rPr>
          <w:rStyle w:val="FootnoteReference"/>
        </w:rPr>
        <w:footnoteRef/>
      </w:r>
      <w:r>
        <w:t xml:space="preserve"> </w:t>
      </w:r>
      <w:r w:rsidRPr="00E610CB">
        <w:rPr>
          <w:rStyle w:val="caption1Char"/>
        </w:rPr>
        <w:t>https://www.dec.ny.gov/regulations/120061.html</w:t>
      </w:r>
    </w:p>
  </w:footnote>
  <w:footnote w:id="7">
    <w:p w14:paraId="62FC9814" w14:textId="77777777" w:rsidR="00732907" w:rsidRDefault="00732907" w:rsidP="006E7D43">
      <w:pPr>
        <w:pStyle w:val="FootnoteText"/>
      </w:pPr>
      <w:r>
        <w:rPr>
          <w:rStyle w:val="FootnoteReference"/>
        </w:rPr>
        <w:footnoteRef/>
      </w:r>
      <w:r>
        <w:t xml:space="preserve"> </w:t>
      </w:r>
      <w:hyperlink r:id="rId6" w:history="1">
        <w:r w:rsidRPr="003009A8">
          <w:rPr>
            <w:rStyle w:val="Hyperlink"/>
          </w:rPr>
          <w:t>http://documents.dps.ny.gov/public/MatterManagement/CaseMaster.aspx?MatterCaseNo=20-E-0197&amp;submit=Search</w:t>
        </w:r>
      </w:hyperlink>
      <w:r>
        <w:t xml:space="preserve"> </w:t>
      </w:r>
    </w:p>
  </w:footnote>
  <w:footnote w:id="8">
    <w:p w14:paraId="0F6311DB" w14:textId="77777777" w:rsidR="00732907" w:rsidRDefault="00732907" w:rsidP="006E7D43">
      <w:pPr>
        <w:pStyle w:val="FootnoteText"/>
      </w:pPr>
      <w:r>
        <w:rPr>
          <w:rStyle w:val="FootnoteReference"/>
        </w:rPr>
        <w:footnoteRef/>
      </w:r>
      <w:r>
        <w:t xml:space="preserve"> See </w:t>
      </w:r>
      <w:hyperlink r:id="rId7" w:history="1">
        <w:r w:rsidRPr="00FD71F7">
          <w:rPr>
            <w:rStyle w:val="Hyperlink"/>
          </w:rPr>
          <w:t>http://documents.dps.ny.gov/public/Common/ViewDoc.aspx?DocRefId={DEEEB5EF-4676-49AD-B8E7-C72681D99C49}</w:t>
        </w:r>
      </w:hyperlink>
      <w:r>
        <w:t xml:space="preserve"> and </w:t>
      </w:r>
      <w:hyperlink r:id="rId8" w:history="1">
        <w:r w:rsidRPr="00FD71F7">
          <w:rPr>
            <w:rStyle w:val="Hyperlink"/>
          </w:rPr>
          <w:t>http://documents.dps.ny.gov/public/Common/ViewDoc.aspx?DocRefId={C36465AD-E0AE-4823-86B4-183810F247B2}</w:t>
        </w:r>
      </w:hyperlink>
      <w:r>
        <w:t xml:space="preserve"> </w:t>
      </w:r>
    </w:p>
  </w:footnote>
  <w:footnote w:id="9">
    <w:p w14:paraId="4A2086D9" w14:textId="5664F369" w:rsidR="00732907" w:rsidRPr="00504886" w:rsidRDefault="00732907" w:rsidP="00560215">
      <w:pPr>
        <w:pStyle w:val="FootnoteText"/>
        <w:rPr>
          <w:sz w:val="18"/>
          <w:szCs w:val="18"/>
        </w:rPr>
      </w:pPr>
      <w:r w:rsidRPr="00504886">
        <w:rPr>
          <w:rStyle w:val="FootnoteReference"/>
          <w:sz w:val="18"/>
          <w:szCs w:val="18"/>
        </w:rPr>
        <w:footnoteRef/>
      </w:r>
      <w:r w:rsidRPr="00504886">
        <w:rPr>
          <w:sz w:val="18"/>
          <w:szCs w:val="18"/>
        </w:rPr>
        <w:t xml:space="preserve"> The term “Special Case Resource” is </w:t>
      </w:r>
      <w:r w:rsidRPr="00504886">
        <w:rPr>
          <w:rFonts w:ascii="Franklin Gothic Book" w:hAnsi="Franklin Gothic Book"/>
          <w:sz w:val="18"/>
          <w:szCs w:val="18"/>
        </w:rPr>
        <w:t xml:space="preserve">defined in </w:t>
      </w:r>
      <w:r w:rsidRPr="00504886">
        <w:rPr>
          <w:rFonts w:ascii="Franklin Gothic Book" w:hAnsi="Franklin Gothic Book"/>
          <w:color w:val="000000"/>
          <w:sz w:val="18"/>
          <w:szCs w:val="18"/>
          <w:lang w:bidi="ar-SA"/>
        </w:rPr>
        <w:t xml:space="preserve">Section 2.19 of Market Services Tariff </w:t>
      </w:r>
      <w:r w:rsidR="00504886">
        <w:rPr>
          <w:rFonts w:ascii="Franklin Gothic Book" w:hAnsi="Franklin Gothic Book"/>
          <w:color w:val="000000"/>
          <w:sz w:val="18"/>
          <w:szCs w:val="18"/>
          <w:lang w:bidi="ar-SA"/>
        </w:rPr>
        <w:t>and also in the Appendix A of this report</w:t>
      </w:r>
      <w:r w:rsidRPr="00504886">
        <w:rPr>
          <w:rFonts w:ascii="Franklin Gothic Book" w:hAnsi="Franklin Gothic Book"/>
          <w:sz w:val="18"/>
          <w:szCs w:val="18"/>
        </w:rPr>
        <w:t> </w:t>
      </w:r>
      <w:r w:rsidR="00504886">
        <w:rPr>
          <w:rFonts w:ascii="Franklin Gothic Book" w:hAnsi="Franklin Gothic Book"/>
          <w:sz w:val="18"/>
          <w:szCs w:val="18"/>
        </w:rPr>
        <w:t>(Glossary)</w:t>
      </w:r>
    </w:p>
  </w:footnote>
  <w:footnote w:id="10">
    <w:p w14:paraId="1A110FFB" w14:textId="77777777" w:rsidR="00732907" w:rsidRDefault="00732907" w:rsidP="000F7A65">
      <w:pPr>
        <w:pStyle w:val="FootnoteText"/>
      </w:pPr>
      <w:r>
        <w:rPr>
          <w:rStyle w:val="FootnoteReference"/>
        </w:rPr>
        <w:footnoteRef/>
      </w:r>
      <w:r>
        <w:t xml:space="preserve"> Attachment I of Transmission, Expansion and Interconnection Manual.</w:t>
      </w:r>
    </w:p>
  </w:footnote>
  <w:footnote w:id="11">
    <w:p w14:paraId="3FC3CB2D" w14:textId="1AA27822" w:rsidR="00732907" w:rsidRDefault="00732907" w:rsidP="00972D4C">
      <w:pPr>
        <w:pStyle w:val="FootnoteText"/>
      </w:pPr>
      <w:r>
        <w:rPr>
          <w:rStyle w:val="FootnoteReference"/>
        </w:rPr>
        <w:footnoteRef/>
      </w:r>
      <w:r>
        <w:t xml:space="preserve"> No generation pockets in Zone J and Zone K are modeled in detail in MARS.</w:t>
      </w:r>
    </w:p>
  </w:footnote>
  <w:footnote w:id="12">
    <w:p w14:paraId="5556443B" w14:textId="580E1C06" w:rsidR="00732907" w:rsidRDefault="00732907" w:rsidP="00972D4C">
      <w:pPr>
        <w:pStyle w:val="FootnoteText"/>
      </w:pPr>
      <w:r>
        <w:rPr>
          <w:rStyle w:val="FootnoteReference"/>
        </w:rPr>
        <w:footnoteRef/>
      </w:r>
      <w:r>
        <w:t xml:space="preserve"> Links to related stakeholders’ presentations are in the Appendix D, assumptions matrix.</w:t>
      </w:r>
    </w:p>
  </w:footnote>
  <w:footnote w:id="13">
    <w:p w14:paraId="69845ED4" w14:textId="77777777" w:rsidR="00732907" w:rsidRDefault="00732907" w:rsidP="00972D4C">
      <w:pPr>
        <w:pStyle w:val="FootnoteText"/>
      </w:pPr>
      <w:r>
        <w:rPr>
          <w:rStyle w:val="FootnoteReference"/>
        </w:rPr>
        <w:footnoteRef/>
      </w:r>
      <w:r>
        <w:t xml:space="preserve"> No local transmission load area limits are modeled for the resource adequacy assessment – deficiencies at this local level are identified in the transmission security assessments.</w:t>
      </w:r>
    </w:p>
  </w:footnote>
  <w:footnote w:id="14">
    <w:p w14:paraId="1636CB3A" w14:textId="77777777" w:rsidR="00732907" w:rsidRPr="0043166F" w:rsidRDefault="00732907" w:rsidP="00972D4C">
      <w:pPr>
        <w:pStyle w:val="FootnoteText"/>
      </w:pPr>
      <w:r w:rsidRPr="0043166F">
        <w:rPr>
          <w:rStyle w:val="FootnoteReference"/>
        </w:rPr>
        <w:footnoteRef/>
      </w:r>
      <w:r w:rsidRPr="0043166F">
        <w:t xml:space="preserve"> No local transmission load area limits are modeled for the resource adequacy assessment – deficiencies at this local level are identified in the transmission security assessments.</w:t>
      </w:r>
    </w:p>
  </w:footnote>
  <w:footnote w:id="15">
    <w:p w14:paraId="4F1F2C3D" w14:textId="77777777" w:rsidR="00732907" w:rsidRDefault="00732907" w:rsidP="00972D4C">
      <w:pPr>
        <w:pStyle w:val="FootnoteText"/>
      </w:pPr>
      <w:r>
        <w:rPr>
          <w:rStyle w:val="FootnoteReference"/>
        </w:rPr>
        <w:footnoteRef/>
      </w:r>
      <w:r>
        <w:t xml:space="preserve"> No local transmission load area limits are modeled for the resource adequacy assessment – deficiencies at this local level are identified in the transmission security assessments.</w:t>
      </w:r>
    </w:p>
  </w:footnote>
  <w:footnote w:id="16">
    <w:p w14:paraId="0DC289A0" w14:textId="27484030" w:rsidR="00732907" w:rsidRDefault="00732907">
      <w:pPr>
        <w:pStyle w:val="FootnoteText"/>
      </w:pPr>
      <w:r>
        <w:rPr>
          <w:rStyle w:val="FootnoteReference"/>
        </w:rPr>
        <w:footnoteRef/>
      </w:r>
      <w:r>
        <w:t xml:space="preserve"> </w:t>
      </w:r>
      <w:hyperlink r:id="rId9" w:history="1">
        <w:r w:rsidRPr="00B53224">
          <w:rPr>
            <w:rStyle w:val="Hyperlink"/>
          </w:rPr>
          <w:t>https://www.nerc.com/docs/pc/tis/FIDVR_Tech_Ref%20V1-2_PC_Approved.pdf</w:t>
        </w:r>
      </w:hyperlink>
    </w:p>
  </w:footnote>
  <w:footnote w:id="17">
    <w:p w14:paraId="74190134" w14:textId="77777777" w:rsidR="00732907" w:rsidRDefault="00732907" w:rsidP="00857106">
      <w:pPr>
        <w:pStyle w:val="FootnoteText"/>
      </w:pPr>
      <w:r>
        <w:rPr>
          <w:rStyle w:val="FootnoteReference"/>
        </w:rPr>
        <w:footnoteRef/>
      </w:r>
      <w:r>
        <w:t xml:space="preserve"> </w:t>
      </w:r>
      <w:hyperlink r:id="rId10" w:history="1">
        <w:r w:rsidRPr="00B53224">
          <w:rPr>
            <w:rStyle w:val="Hyperlink"/>
          </w:rPr>
          <w:t>https://www.nerc.com/comm/PC_Reliability_Guidelines_DL/Reliability%20Guideline%20-%20Reactive%20Power%20Planning.pdf</w:t>
        </w:r>
      </w:hyperlink>
    </w:p>
  </w:footnote>
  <w:footnote w:id="18">
    <w:p w14:paraId="38EBB6E3" w14:textId="544F1082" w:rsidR="00732907" w:rsidRPr="00F40104" w:rsidRDefault="00732907" w:rsidP="00951CA5">
      <w:pPr>
        <w:pStyle w:val="BodyText"/>
        <w:spacing w:line="240" w:lineRule="auto"/>
        <w:ind w:left="1440" w:firstLine="0"/>
      </w:pPr>
      <w:r>
        <w:rPr>
          <w:rStyle w:val="FootnoteReference"/>
        </w:rPr>
        <w:footnoteRef/>
      </w:r>
      <w:r>
        <w:t xml:space="preserve"> </w:t>
      </w:r>
      <w:r w:rsidRPr="00F40104">
        <w:rPr>
          <w:rFonts w:eastAsia="Times New Roman"/>
        </w:rPr>
        <w:t>During the 2020 RNA</w:t>
      </w:r>
      <w:r>
        <w:rPr>
          <w:rFonts w:eastAsia="Times New Roman"/>
        </w:rPr>
        <w:t>,</w:t>
      </w:r>
      <w:r w:rsidRPr="00F40104">
        <w:rPr>
          <w:rFonts w:eastAsia="Times New Roman"/>
        </w:rPr>
        <w:t xml:space="preserve"> the External Areas Model for the RNA Base Case was simplified to consolidate </w:t>
      </w:r>
      <w:r>
        <w:rPr>
          <w:rFonts w:eastAsia="Times New Roman"/>
        </w:rPr>
        <w:t xml:space="preserve">five </w:t>
      </w:r>
      <w:r w:rsidRPr="00F40104">
        <w:rPr>
          <w:rFonts w:eastAsia="Times New Roman"/>
        </w:rPr>
        <w:t xml:space="preserve">PJM (mid-Atlantic) areas into a single area and </w:t>
      </w:r>
      <w:r>
        <w:rPr>
          <w:rFonts w:eastAsia="Times New Roman"/>
        </w:rPr>
        <w:t>eight</w:t>
      </w:r>
      <w:r w:rsidRPr="00F40104">
        <w:rPr>
          <w:rFonts w:eastAsia="Times New Roman"/>
        </w:rPr>
        <w:t xml:space="preserve"> ISO</w:t>
      </w:r>
      <w:r>
        <w:rPr>
          <w:rFonts w:eastAsia="Times New Roman"/>
        </w:rPr>
        <w:t>-</w:t>
      </w:r>
      <w:r w:rsidRPr="00F40104">
        <w:rPr>
          <w:rFonts w:eastAsia="Times New Roman"/>
        </w:rPr>
        <w:t>NE areas into a single area</w:t>
      </w:r>
      <w:r>
        <w:rPr>
          <w:rFonts w:eastAsia="Times New Roman"/>
        </w:rPr>
        <w:t>.</w:t>
      </w:r>
    </w:p>
    <w:p w14:paraId="53423F34" w14:textId="3981A895" w:rsidR="00732907" w:rsidRPr="00E33318" w:rsidRDefault="00732907" w:rsidP="00434269">
      <w:pPr>
        <w:pStyle w:val="BodyText"/>
        <w:ind w:left="1872" w:firstLine="0"/>
      </w:pPr>
    </w:p>
    <w:p w14:paraId="440BC178" w14:textId="22899F4B" w:rsidR="00732907" w:rsidRDefault="00732907">
      <w:pPr>
        <w:pStyle w:val="FootnoteText"/>
      </w:pPr>
    </w:p>
  </w:footnote>
  <w:footnote w:id="19">
    <w:p w14:paraId="21374F5F" w14:textId="5E46A002" w:rsidR="00732907" w:rsidRDefault="00732907">
      <w:pPr>
        <w:pStyle w:val="FootnoteText"/>
      </w:pPr>
      <w:r>
        <w:rPr>
          <w:rStyle w:val="FootnoteReference"/>
        </w:rPr>
        <w:footnoteRef/>
      </w:r>
      <w:r>
        <w:t xml:space="preserve"> </w:t>
      </w:r>
      <w:hyperlink r:id="rId11" w:history="1">
        <w:r>
          <w:rPr>
            <w:rStyle w:val="Hyperlink"/>
          </w:rPr>
          <w:t>https://www.nyiso.com/documents/20142/2924447/rel-anl-data-mnl.pdf/2d42445e-317d-b7e9-24b8-c983ae6518ec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1C9C" w14:textId="15566F00" w:rsidR="00732907" w:rsidRDefault="00732907" w:rsidP="00072EFB">
    <w:pPr>
      <w:pStyle w:val="Header"/>
      <w:tabs>
        <w:tab w:val="clear" w:pos="4680"/>
        <w:tab w:val="left" w:pos="9360"/>
        <w:tab w:val="right" w:pos="9450"/>
      </w:tabs>
      <w:jc w:val="right"/>
    </w:pPr>
    <w:r>
      <w:t xml:space="preserve">  </w:t>
    </w:r>
    <w:r>
      <w:rPr>
        <w:noProof/>
        <w:lang w:bidi="ar-SA"/>
      </w:rPr>
      <w:drawing>
        <wp:inline distT="0" distB="0" distL="0" distR="0" wp14:anchorId="1F87B7E0" wp14:editId="7563EBB5">
          <wp:extent cx="1066800" cy="228600"/>
          <wp:effectExtent l="0" t="0" r="0" b="0"/>
          <wp:docPr id="14" name="Picture 14" descr="NewYorkISO logo-2cN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YorkISO logo-2cNO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D046E" w14:textId="7937E9F2" w:rsidR="00732907" w:rsidRDefault="00732907">
    <w:pPr>
      <w:pStyle w:val="Header"/>
    </w:pPr>
    <w:r>
      <w:rPr>
        <w:noProof/>
        <w:lang w:bidi="ar-SA"/>
      </w:rPr>
      <w:drawing>
        <wp:inline distT="0" distB="0" distL="0" distR="0" wp14:anchorId="579D0D92" wp14:editId="16D4B532">
          <wp:extent cx="2819400" cy="533400"/>
          <wp:effectExtent l="0" t="0" r="0" b="0"/>
          <wp:docPr id="8" name="Picture 8" descr="NewYorkISO logo-2c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ISO logo-2c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0253_"/>
        <o:lock v:ext="edit" cropping="t"/>
      </v:shape>
    </w:pict>
  </w:numPicBullet>
  <w:abstractNum w:abstractNumId="0" w15:restartNumberingAfterBreak="0">
    <w:nsid w:val="FFFFFF7C"/>
    <w:multiLevelType w:val="singleLevel"/>
    <w:tmpl w:val="946806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E4AE962"/>
    <w:lvl w:ilvl="0">
      <w:start w:val="1"/>
      <w:numFmt w:val="upperLetter"/>
      <w:pStyle w:val="ListNumber4"/>
      <w:lvlText w:val="%1."/>
      <w:lvlJc w:val="left"/>
      <w:pPr>
        <w:tabs>
          <w:tab w:val="num" w:pos="1440"/>
        </w:tabs>
        <w:ind w:left="1440" w:hanging="360"/>
      </w:pPr>
      <w:rPr>
        <w:rFonts w:hint="default"/>
      </w:rPr>
    </w:lvl>
  </w:abstractNum>
  <w:abstractNum w:abstractNumId="2" w15:restartNumberingAfterBreak="0">
    <w:nsid w:val="FFFFFF7E"/>
    <w:multiLevelType w:val="singleLevel"/>
    <w:tmpl w:val="CBDC6E00"/>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88"/>
    <w:multiLevelType w:val="singleLevel"/>
    <w:tmpl w:val="5BECD694"/>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54164BA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446DD9"/>
    <w:multiLevelType w:val="hybridMultilevel"/>
    <w:tmpl w:val="04D6E9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9552231"/>
    <w:multiLevelType w:val="hybridMultilevel"/>
    <w:tmpl w:val="F4702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177F47"/>
    <w:multiLevelType w:val="hybridMultilevel"/>
    <w:tmpl w:val="88AA86BC"/>
    <w:lvl w:ilvl="0" w:tplc="4D60CEA0">
      <w:start w:val="1"/>
      <w:numFmt w:val="bullet"/>
      <w:pStyle w:val="H2BULLET"/>
      <w:lvlText w:val=""/>
      <w:lvlJc w:val="left"/>
      <w:pPr>
        <w:tabs>
          <w:tab w:val="num" w:pos="1080"/>
        </w:tabs>
        <w:ind w:left="1080" w:hanging="360"/>
      </w:pPr>
      <w:rPr>
        <w:rFonts w:ascii="Symbol" w:hAnsi="Symbol" w:cs="Symbol" w:hint="default"/>
        <w:sz w:val="18"/>
        <w:szCs w:val="18"/>
      </w:rPr>
    </w:lvl>
    <w:lvl w:ilvl="1" w:tplc="37A2BCB4">
      <w:start w:val="1"/>
      <w:numFmt w:val="bullet"/>
      <w:lvlText w:val="o"/>
      <w:lvlJc w:val="left"/>
      <w:pPr>
        <w:tabs>
          <w:tab w:val="num" w:pos="1799"/>
        </w:tabs>
        <w:ind w:left="1799" w:hanging="360"/>
      </w:pPr>
      <w:rPr>
        <w:rFonts w:ascii="Courier New" w:hAnsi="Courier New" w:cs="Courier New" w:hint="default"/>
      </w:rPr>
    </w:lvl>
    <w:lvl w:ilvl="2" w:tplc="04090005">
      <w:start w:val="1"/>
      <w:numFmt w:val="bullet"/>
      <w:lvlText w:val=""/>
      <w:lvlJc w:val="left"/>
      <w:pPr>
        <w:tabs>
          <w:tab w:val="num" w:pos="2519"/>
        </w:tabs>
        <w:ind w:left="2519" w:hanging="360"/>
      </w:pPr>
      <w:rPr>
        <w:rFonts w:ascii="Wingdings" w:hAnsi="Wingdings" w:cs="Wingdings" w:hint="default"/>
      </w:rPr>
    </w:lvl>
    <w:lvl w:ilvl="3" w:tplc="04090001">
      <w:start w:val="1"/>
      <w:numFmt w:val="bullet"/>
      <w:lvlText w:val=""/>
      <w:lvlJc w:val="left"/>
      <w:pPr>
        <w:tabs>
          <w:tab w:val="num" w:pos="3239"/>
        </w:tabs>
        <w:ind w:left="3239" w:hanging="360"/>
      </w:pPr>
      <w:rPr>
        <w:rFonts w:ascii="Symbol" w:hAnsi="Symbol" w:cs="Symbol" w:hint="default"/>
      </w:rPr>
    </w:lvl>
    <w:lvl w:ilvl="4" w:tplc="04090003">
      <w:start w:val="1"/>
      <w:numFmt w:val="bullet"/>
      <w:lvlText w:val="o"/>
      <w:lvlJc w:val="left"/>
      <w:pPr>
        <w:tabs>
          <w:tab w:val="num" w:pos="3959"/>
        </w:tabs>
        <w:ind w:left="3959" w:hanging="360"/>
      </w:pPr>
      <w:rPr>
        <w:rFonts w:ascii="Courier New" w:hAnsi="Courier New" w:cs="Courier New" w:hint="default"/>
      </w:rPr>
    </w:lvl>
    <w:lvl w:ilvl="5" w:tplc="04090005">
      <w:start w:val="1"/>
      <w:numFmt w:val="bullet"/>
      <w:lvlText w:val=""/>
      <w:lvlJc w:val="left"/>
      <w:pPr>
        <w:tabs>
          <w:tab w:val="num" w:pos="4679"/>
        </w:tabs>
        <w:ind w:left="4679" w:hanging="360"/>
      </w:pPr>
      <w:rPr>
        <w:rFonts w:ascii="Wingdings" w:hAnsi="Wingdings" w:cs="Wingdings" w:hint="default"/>
      </w:rPr>
    </w:lvl>
    <w:lvl w:ilvl="6" w:tplc="04090001">
      <w:start w:val="1"/>
      <w:numFmt w:val="bullet"/>
      <w:lvlText w:val=""/>
      <w:lvlJc w:val="left"/>
      <w:pPr>
        <w:tabs>
          <w:tab w:val="num" w:pos="5399"/>
        </w:tabs>
        <w:ind w:left="5399" w:hanging="360"/>
      </w:pPr>
      <w:rPr>
        <w:rFonts w:ascii="Symbol" w:hAnsi="Symbol" w:cs="Symbol" w:hint="default"/>
      </w:rPr>
    </w:lvl>
    <w:lvl w:ilvl="7" w:tplc="04090003">
      <w:start w:val="1"/>
      <w:numFmt w:val="bullet"/>
      <w:lvlText w:val="o"/>
      <w:lvlJc w:val="left"/>
      <w:pPr>
        <w:tabs>
          <w:tab w:val="num" w:pos="6119"/>
        </w:tabs>
        <w:ind w:left="6119" w:hanging="360"/>
      </w:pPr>
      <w:rPr>
        <w:rFonts w:ascii="Courier New" w:hAnsi="Courier New" w:cs="Courier New" w:hint="default"/>
      </w:rPr>
    </w:lvl>
    <w:lvl w:ilvl="8" w:tplc="04090005">
      <w:start w:val="1"/>
      <w:numFmt w:val="bullet"/>
      <w:lvlText w:val=""/>
      <w:lvlJc w:val="left"/>
      <w:pPr>
        <w:tabs>
          <w:tab w:val="num" w:pos="6839"/>
        </w:tabs>
        <w:ind w:left="6839" w:hanging="360"/>
      </w:pPr>
      <w:rPr>
        <w:rFonts w:ascii="Wingdings" w:hAnsi="Wingdings" w:cs="Wingdings" w:hint="default"/>
      </w:rPr>
    </w:lvl>
  </w:abstractNum>
  <w:abstractNum w:abstractNumId="8" w15:restartNumberingAfterBreak="0">
    <w:nsid w:val="10762E27"/>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45DB0"/>
    <w:multiLevelType w:val="multilevel"/>
    <w:tmpl w:val="E1CC08C2"/>
    <w:styleLink w:val="Italis"/>
    <w:lvl w:ilvl="0">
      <w:start w:val="1"/>
      <w:numFmt w:val="lowerRoman"/>
      <w:lvlText w:val="%1."/>
      <w:lvlJc w:val="right"/>
      <w:pPr>
        <w:tabs>
          <w:tab w:val="num" w:pos="1440"/>
        </w:tabs>
        <w:ind w:left="1440" w:hanging="180"/>
      </w:pPr>
      <w:rPr>
        <w:b/>
        <w:bCs/>
        <w:sz w:val="24"/>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0" w15:restartNumberingAfterBreak="0">
    <w:nsid w:val="15023562"/>
    <w:multiLevelType w:val="hybridMultilevel"/>
    <w:tmpl w:val="5E345720"/>
    <w:lvl w:ilvl="0" w:tplc="F056D62E">
      <w:numFmt w:val="bullet"/>
      <w:lvlText w:val=""/>
      <w:lvlJc w:val="left"/>
      <w:pPr>
        <w:ind w:left="1080" w:hanging="360"/>
      </w:pPr>
      <w:rPr>
        <w:rFonts w:ascii="Symbol" w:eastAsia="Arial Narrow"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1A3C6F"/>
    <w:multiLevelType w:val="hybridMultilevel"/>
    <w:tmpl w:val="70447A2E"/>
    <w:lvl w:ilvl="0" w:tplc="1624B94E">
      <w:start w:val="1"/>
      <w:numFmt w:val="bullet"/>
      <w:lvlText w:val="■"/>
      <w:lvlJc w:val="left"/>
      <w:pPr>
        <w:ind w:left="1152" w:hanging="360"/>
      </w:pPr>
      <w:rPr>
        <w:rFonts w:ascii="Franklin Gothic Book" w:hAnsi="Franklin Gothic Book"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15A626CE"/>
    <w:multiLevelType w:val="hybridMultilevel"/>
    <w:tmpl w:val="5DA04D3C"/>
    <w:lvl w:ilvl="0" w:tplc="61A2116A">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 w15:restartNumberingAfterBreak="0">
    <w:nsid w:val="17431577"/>
    <w:multiLevelType w:val="hybridMultilevel"/>
    <w:tmpl w:val="70DC162A"/>
    <w:lvl w:ilvl="0" w:tplc="1624B94E">
      <w:start w:val="1"/>
      <w:numFmt w:val="bullet"/>
      <w:lvlText w:val="■"/>
      <w:lvlJc w:val="left"/>
      <w:pPr>
        <w:ind w:left="1080" w:hanging="360"/>
      </w:pPr>
      <w:rPr>
        <w:rFonts w:ascii="Franklin Gothic Book" w:hAnsi="Franklin Gothic Book" w:hint="default"/>
        <w:color w:val="005F8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944EB1"/>
    <w:multiLevelType w:val="hybridMultilevel"/>
    <w:tmpl w:val="94724DF4"/>
    <w:lvl w:ilvl="0" w:tplc="23B66CDC">
      <w:start w:val="1"/>
      <w:numFmt w:val="bullet"/>
      <w:pStyle w:val="BL"/>
      <w:lvlText w:val=""/>
      <w:lvlJc w:val="left"/>
      <w:pPr>
        <w:ind w:left="1224" w:hanging="360"/>
      </w:pPr>
      <w:rPr>
        <w:rFonts w:ascii="Wingdings" w:hAnsi="Wingdings" w:hint="default"/>
        <w:color w:val="005F86"/>
      </w:rPr>
    </w:lvl>
    <w:lvl w:ilvl="1" w:tplc="04090019" w:tentative="1">
      <w:start w:val="1"/>
      <w:numFmt w:val="bullet"/>
      <w:lvlText w:val="o"/>
      <w:lvlJc w:val="left"/>
      <w:pPr>
        <w:ind w:left="1944" w:hanging="360"/>
      </w:pPr>
      <w:rPr>
        <w:rFonts w:ascii="Courier New" w:hAnsi="Courier New" w:cs="Courier New" w:hint="default"/>
      </w:rPr>
    </w:lvl>
    <w:lvl w:ilvl="2" w:tplc="0409001B" w:tentative="1">
      <w:start w:val="1"/>
      <w:numFmt w:val="bullet"/>
      <w:lvlText w:val=""/>
      <w:lvlJc w:val="left"/>
      <w:pPr>
        <w:ind w:left="2664" w:hanging="360"/>
      </w:pPr>
      <w:rPr>
        <w:rFonts w:ascii="Wingdings" w:hAnsi="Wingdings" w:hint="default"/>
      </w:rPr>
    </w:lvl>
    <w:lvl w:ilvl="3" w:tplc="0409000F" w:tentative="1">
      <w:start w:val="1"/>
      <w:numFmt w:val="bullet"/>
      <w:lvlText w:val=""/>
      <w:lvlJc w:val="left"/>
      <w:pPr>
        <w:ind w:left="3384" w:hanging="360"/>
      </w:pPr>
      <w:rPr>
        <w:rFonts w:ascii="Symbol" w:hAnsi="Symbol" w:hint="default"/>
      </w:rPr>
    </w:lvl>
    <w:lvl w:ilvl="4" w:tplc="04090019" w:tentative="1">
      <w:start w:val="1"/>
      <w:numFmt w:val="bullet"/>
      <w:lvlText w:val="o"/>
      <w:lvlJc w:val="left"/>
      <w:pPr>
        <w:ind w:left="4104" w:hanging="360"/>
      </w:pPr>
      <w:rPr>
        <w:rFonts w:ascii="Courier New" w:hAnsi="Courier New" w:cs="Courier New" w:hint="default"/>
      </w:rPr>
    </w:lvl>
    <w:lvl w:ilvl="5" w:tplc="0409001B" w:tentative="1">
      <w:start w:val="1"/>
      <w:numFmt w:val="bullet"/>
      <w:lvlText w:val=""/>
      <w:lvlJc w:val="left"/>
      <w:pPr>
        <w:ind w:left="4824" w:hanging="360"/>
      </w:pPr>
      <w:rPr>
        <w:rFonts w:ascii="Wingdings" w:hAnsi="Wingdings" w:hint="default"/>
      </w:rPr>
    </w:lvl>
    <w:lvl w:ilvl="6" w:tplc="0409000F" w:tentative="1">
      <w:start w:val="1"/>
      <w:numFmt w:val="bullet"/>
      <w:lvlText w:val=""/>
      <w:lvlJc w:val="left"/>
      <w:pPr>
        <w:ind w:left="5544" w:hanging="360"/>
      </w:pPr>
      <w:rPr>
        <w:rFonts w:ascii="Symbol" w:hAnsi="Symbol" w:hint="default"/>
      </w:rPr>
    </w:lvl>
    <w:lvl w:ilvl="7" w:tplc="04090019" w:tentative="1">
      <w:start w:val="1"/>
      <w:numFmt w:val="bullet"/>
      <w:lvlText w:val="o"/>
      <w:lvlJc w:val="left"/>
      <w:pPr>
        <w:ind w:left="6264" w:hanging="360"/>
      </w:pPr>
      <w:rPr>
        <w:rFonts w:ascii="Courier New" w:hAnsi="Courier New" w:cs="Courier New" w:hint="default"/>
      </w:rPr>
    </w:lvl>
    <w:lvl w:ilvl="8" w:tplc="0409001B" w:tentative="1">
      <w:start w:val="1"/>
      <w:numFmt w:val="bullet"/>
      <w:lvlText w:val=""/>
      <w:lvlJc w:val="left"/>
      <w:pPr>
        <w:ind w:left="6984" w:hanging="360"/>
      </w:pPr>
      <w:rPr>
        <w:rFonts w:ascii="Wingdings" w:hAnsi="Wingdings" w:hint="default"/>
      </w:rPr>
    </w:lvl>
  </w:abstractNum>
  <w:abstractNum w:abstractNumId="15" w15:restartNumberingAfterBreak="0">
    <w:nsid w:val="18D54D41"/>
    <w:multiLevelType w:val="multilevel"/>
    <w:tmpl w:val="72000384"/>
    <w:styleLink w:val="ExecutiveSummaryList1"/>
    <w:lvl w:ilvl="0">
      <w:start w:val="1"/>
      <w:numFmt w:val="none"/>
      <w:pStyle w:val="NLBegin"/>
      <w:lvlText w:val="%1"/>
      <w:lvlJc w:val="left"/>
      <w:pPr>
        <w:tabs>
          <w:tab w:val="num" w:pos="1296"/>
        </w:tabs>
        <w:ind w:left="1296" w:hanging="504"/>
      </w:pPr>
    </w:lvl>
    <w:lvl w:ilvl="1">
      <w:start w:val="1"/>
      <w:numFmt w:val="decimal"/>
      <w:pStyle w:val="NLItem"/>
      <w:lvlText w:val="%2."/>
      <w:lvlJc w:val="left"/>
      <w:pPr>
        <w:tabs>
          <w:tab w:val="num" w:pos="1296"/>
        </w:tabs>
        <w:ind w:left="1296" w:hanging="504"/>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E77E28"/>
    <w:multiLevelType w:val="singleLevel"/>
    <w:tmpl w:val="DF44BB9E"/>
    <w:lvl w:ilvl="0">
      <w:start w:val="1"/>
      <w:numFmt w:val="bullet"/>
      <w:pStyle w:val="dashtext"/>
      <w:lvlText w:val=""/>
      <w:lvlJc w:val="left"/>
      <w:pPr>
        <w:tabs>
          <w:tab w:val="num" w:pos="360"/>
        </w:tabs>
        <w:ind w:left="360" w:hanging="360"/>
      </w:pPr>
      <w:rPr>
        <w:rFonts w:ascii="Symbol" w:hAnsi="Symbol" w:cs="Times New Roman" w:hint="default"/>
        <w:color w:val="auto"/>
      </w:rPr>
    </w:lvl>
  </w:abstractNum>
  <w:abstractNum w:abstractNumId="17" w15:restartNumberingAfterBreak="0">
    <w:nsid w:val="20F22448"/>
    <w:multiLevelType w:val="multilevel"/>
    <w:tmpl w:val="383E2C4E"/>
    <w:styleLink w:val="NYISOBullets"/>
    <w:lvl w:ilvl="0">
      <w:start w:val="1"/>
      <w:numFmt w:val="bullet"/>
      <w:lvlText w:val=""/>
      <w:lvlJc w:val="left"/>
      <w:pPr>
        <w:ind w:left="1152" w:hanging="360"/>
      </w:pPr>
      <w:rPr>
        <w:rFonts w:ascii="Wingdings" w:hAnsi="Wingdings" w:hint="default"/>
        <w:color w:val="005F86"/>
      </w:rPr>
    </w:lvl>
    <w:lvl w:ilvl="1">
      <w:start w:val="1"/>
      <w:numFmt w:val="bullet"/>
      <w:lvlText w:val=""/>
      <w:lvlJc w:val="left"/>
      <w:pPr>
        <w:ind w:left="1872" w:hanging="360"/>
      </w:pPr>
      <w:rPr>
        <w:rFonts w:ascii="Symbol" w:hAnsi="Symbol" w:hint="default"/>
        <w:color w:val="auto"/>
        <w:sz w:val="16"/>
      </w:rPr>
    </w:lvl>
    <w:lvl w:ilvl="2">
      <w:start w:val="1"/>
      <w:numFmt w:val="bullet"/>
      <w:lvlText w:val="○"/>
      <w:lvlJc w:val="left"/>
      <w:pPr>
        <w:ind w:left="2592" w:hanging="180"/>
      </w:pPr>
      <w:rPr>
        <w:rFonts w:ascii="Cambria" w:hAnsi="Cambria" w:hint="default"/>
      </w:rPr>
    </w:lvl>
    <w:lvl w:ilvl="3">
      <w:start w:val="1"/>
      <w:numFmt w:val="bullet"/>
      <w:lvlText w:val=""/>
      <w:lvlJc w:val="left"/>
      <w:pPr>
        <w:ind w:left="3312" w:hanging="360"/>
      </w:pPr>
      <w:rPr>
        <w:rFonts w:ascii="Wingdings" w:hAnsi="Wingdings" w:hint="default"/>
        <w:color w:val="808080" w:themeColor="background1" w:themeShade="80"/>
      </w:rPr>
    </w:lvl>
    <w:lvl w:ilvl="4">
      <w:start w:val="1"/>
      <w:numFmt w:val="bullet"/>
      <w:lvlText w:val=""/>
      <w:lvlJc w:val="left"/>
      <w:pPr>
        <w:ind w:left="4032" w:hanging="360"/>
      </w:pPr>
      <w:rPr>
        <w:rFonts w:ascii="Symbol" w:hAnsi="Symbol" w:hint="default"/>
        <w:color w:val="A6A6A6" w:themeColor="background1" w:themeShade="A6"/>
      </w:rPr>
    </w:lvl>
    <w:lvl w:ilvl="5">
      <w:start w:val="1"/>
      <w:numFmt w:val="bullet"/>
      <w:lvlText w:val=""/>
      <w:lvlJc w:val="left"/>
      <w:pPr>
        <w:ind w:left="4752" w:hanging="180"/>
      </w:pPr>
      <w:rPr>
        <w:rFonts w:ascii="Symbol" w:hAnsi="Symbol" w:hint="default"/>
      </w:rPr>
    </w:lvl>
    <w:lvl w:ilvl="6">
      <w:start w:val="1"/>
      <w:numFmt w:val="bullet"/>
      <w:lvlText w:val=""/>
      <w:lvlJc w:val="left"/>
      <w:pPr>
        <w:ind w:left="5472" w:hanging="360"/>
      </w:pPr>
      <w:rPr>
        <w:rFonts w:ascii="Symbol" w:hAnsi="Symbol" w:hint="default"/>
      </w:rPr>
    </w:lvl>
    <w:lvl w:ilvl="7">
      <w:start w:val="1"/>
      <w:numFmt w:val="bullet"/>
      <w:lvlText w:val=""/>
      <w:lvlJc w:val="left"/>
      <w:pPr>
        <w:ind w:left="6192" w:hanging="360"/>
      </w:pPr>
      <w:rPr>
        <w:rFonts w:ascii="Symbol" w:hAnsi="Symbol" w:hint="default"/>
      </w:rPr>
    </w:lvl>
    <w:lvl w:ilvl="8">
      <w:start w:val="1"/>
      <w:numFmt w:val="bullet"/>
      <w:lvlText w:val=""/>
      <w:lvlJc w:val="left"/>
      <w:pPr>
        <w:ind w:left="6912" w:hanging="180"/>
      </w:pPr>
      <w:rPr>
        <w:rFonts w:ascii="Symbol" w:hAnsi="Symbol" w:hint="default"/>
      </w:rPr>
    </w:lvl>
  </w:abstractNum>
  <w:abstractNum w:abstractNumId="18" w15:restartNumberingAfterBreak="0">
    <w:nsid w:val="2A012217"/>
    <w:multiLevelType w:val="hybridMultilevel"/>
    <w:tmpl w:val="5DA04D3C"/>
    <w:lvl w:ilvl="0" w:tplc="61A2116A">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2C3D5EF8"/>
    <w:multiLevelType w:val="hybridMultilevel"/>
    <w:tmpl w:val="05A62544"/>
    <w:lvl w:ilvl="0" w:tplc="61A2116A">
      <w:start w:val="1"/>
      <w:numFmt w:val="decimal"/>
      <w:lvlText w:val="%1."/>
      <w:lvlJc w:val="left"/>
      <w:pPr>
        <w:ind w:left="1152" w:hanging="360"/>
      </w:pPr>
      <w:rPr>
        <w:b/>
      </w:rPr>
    </w:lvl>
    <w:lvl w:ilvl="1" w:tplc="04090001">
      <w:start w:val="1"/>
      <w:numFmt w:val="bullet"/>
      <w:lvlText w:val=""/>
      <w:lvlJc w:val="left"/>
      <w:pPr>
        <w:ind w:left="1872" w:hanging="360"/>
      </w:pPr>
      <w:rPr>
        <w:rFonts w:ascii="Symbol" w:hAnsi="Symbol"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2CA32AD6"/>
    <w:multiLevelType w:val="hybridMultilevel"/>
    <w:tmpl w:val="8B42DFEE"/>
    <w:lvl w:ilvl="0" w:tplc="89E47FB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30877AD0"/>
    <w:multiLevelType w:val="hybridMultilevel"/>
    <w:tmpl w:val="EFAC62B2"/>
    <w:lvl w:ilvl="0" w:tplc="AFB6798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3EA57A4"/>
    <w:multiLevelType w:val="hybridMultilevel"/>
    <w:tmpl w:val="AD06394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4EE5C89"/>
    <w:multiLevelType w:val="hybridMultilevel"/>
    <w:tmpl w:val="D73217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35820587"/>
    <w:multiLevelType w:val="multilevel"/>
    <w:tmpl w:val="11929218"/>
    <w:styleLink w:val="NYISOList"/>
    <w:lvl w:ilvl="0">
      <w:start w:val="1"/>
      <w:numFmt w:val="decimal"/>
      <w:lvlText w:val="%1."/>
      <w:lvlJc w:val="left"/>
      <w:pPr>
        <w:ind w:left="2160" w:hanging="360"/>
      </w:pPr>
      <w:rPr>
        <w:rFonts w:ascii="Cambria" w:hAnsi="Cambria" w:hint="default"/>
      </w:rPr>
    </w:lvl>
    <w:lvl w:ilvl="1">
      <w:start w:val="1"/>
      <w:numFmt w:val="lowerLetter"/>
      <w:lvlText w:val="%2."/>
      <w:lvlJc w:val="left"/>
      <w:pPr>
        <w:ind w:left="2520" w:hanging="360"/>
      </w:pPr>
      <w:rPr>
        <w:rFonts w:ascii="Cambria" w:hAnsi="Cambria" w:hint="default"/>
      </w:rPr>
    </w:lvl>
    <w:lvl w:ilvl="2">
      <w:start w:val="1"/>
      <w:numFmt w:val="lowerRoman"/>
      <w:lvlText w:val="%3."/>
      <w:lvlJc w:val="left"/>
      <w:pPr>
        <w:ind w:left="2880" w:hanging="360"/>
      </w:pPr>
      <w:rPr>
        <w:rFonts w:ascii="Cambria" w:hAnsi="Cambria" w:hint="default"/>
      </w:rPr>
    </w:lvl>
    <w:lvl w:ilvl="3">
      <w:start w:val="1"/>
      <w:numFmt w:val="decimal"/>
      <w:lvlText w:val="(%4)"/>
      <w:lvlJc w:val="left"/>
      <w:pPr>
        <w:ind w:left="3240" w:hanging="360"/>
      </w:pPr>
      <w:rPr>
        <w:rFonts w:ascii="Cambria" w:hAnsi="Cambria" w:hint="default"/>
      </w:rPr>
    </w:lvl>
    <w:lvl w:ilvl="4">
      <w:start w:val="1"/>
      <w:numFmt w:val="lowerLetter"/>
      <w:lvlText w:val="(%5)"/>
      <w:lvlJc w:val="left"/>
      <w:pPr>
        <w:ind w:left="3600" w:hanging="360"/>
      </w:pPr>
      <w:rPr>
        <w:rFonts w:ascii="Cambria" w:hAnsi="Cambria" w:hint="default"/>
      </w:rPr>
    </w:lvl>
    <w:lvl w:ilvl="5">
      <w:start w:val="1"/>
      <w:numFmt w:val="lowerRoman"/>
      <w:lvlText w:val="(%6)"/>
      <w:lvlJc w:val="left"/>
      <w:pPr>
        <w:ind w:left="3960" w:hanging="360"/>
      </w:pPr>
      <w:rPr>
        <w:rFonts w:ascii="Cambria" w:hAnsi="Cambria"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25" w15:restartNumberingAfterBreak="0">
    <w:nsid w:val="366F76B1"/>
    <w:multiLevelType w:val="hybridMultilevel"/>
    <w:tmpl w:val="7E7614EA"/>
    <w:lvl w:ilvl="0" w:tplc="8CCAC610">
      <w:start w:val="1"/>
      <w:numFmt w:val="bullet"/>
      <w:pStyle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6" w15:restartNumberingAfterBreak="0">
    <w:nsid w:val="367C6519"/>
    <w:multiLevelType w:val="hybridMultilevel"/>
    <w:tmpl w:val="43FC6B60"/>
    <w:lvl w:ilvl="0" w:tplc="04090005">
      <w:start w:val="1"/>
      <w:numFmt w:val="bullet"/>
      <w:lvlText w:val=""/>
      <w:lvlJc w:val="left"/>
      <w:pPr>
        <w:ind w:left="1152" w:hanging="360"/>
      </w:pPr>
      <w:rPr>
        <w:rFonts w:ascii="Wingdings" w:hAnsi="Wingdings" w:hint="default"/>
        <w:color w:val="005F86"/>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41FD3C01"/>
    <w:multiLevelType w:val="hybridMultilevel"/>
    <w:tmpl w:val="54A6F87A"/>
    <w:lvl w:ilvl="0" w:tplc="1568B394">
      <w:start w:val="1"/>
      <w:numFmt w:val="bullet"/>
      <w:lvlText w:val="•"/>
      <w:lvlJc w:val="left"/>
      <w:pPr>
        <w:tabs>
          <w:tab w:val="num" w:pos="1080"/>
        </w:tabs>
        <w:ind w:left="1080" w:hanging="360"/>
      </w:pPr>
      <w:rPr>
        <w:rFonts w:ascii="Arial" w:hAnsi="Arial" w:hint="default"/>
      </w:rPr>
    </w:lvl>
    <w:lvl w:ilvl="1" w:tplc="ECE24F46">
      <w:numFmt w:val="bullet"/>
      <w:lvlText w:val="•"/>
      <w:lvlJc w:val="left"/>
      <w:pPr>
        <w:tabs>
          <w:tab w:val="num" w:pos="1800"/>
        </w:tabs>
        <w:ind w:left="1800" w:hanging="360"/>
      </w:pPr>
      <w:rPr>
        <w:rFonts w:ascii="Arial" w:hAnsi="Arial" w:hint="default"/>
      </w:rPr>
    </w:lvl>
    <w:lvl w:ilvl="2" w:tplc="A8E85368" w:tentative="1">
      <w:start w:val="1"/>
      <w:numFmt w:val="bullet"/>
      <w:lvlText w:val="•"/>
      <w:lvlJc w:val="left"/>
      <w:pPr>
        <w:tabs>
          <w:tab w:val="num" w:pos="2520"/>
        </w:tabs>
        <w:ind w:left="2520" w:hanging="360"/>
      </w:pPr>
      <w:rPr>
        <w:rFonts w:ascii="Arial" w:hAnsi="Arial" w:hint="default"/>
      </w:rPr>
    </w:lvl>
    <w:lvl w:ilvl="3" w:tplc="18027C70" w:tentative="1">
      <w:start w:val="1"/>
      <w:numFmt w:val="bullet"/>
      <w:lvlText w:val="•"/>
      <w:lvlJc w:val="left"/>
      <w:pPr>
        <w:tabs>
          <w:tab w:val="num" w:pos="3240"/>
        </w:tabs>
        <w:ind w:left="3240" w:hanging="360"/>
      </w:pPr>
      <w:rPr>
        <w:rFonts w:ascii="Arial" w:hAnsi="Arial" w:hint="default"/>
      </w:rPr>
    </w:lvl>
    <w:lvl w:ilvl="4" w:tplc="410A816E" w:tentative="1">
      <w:start w:val="1"/>
      <w:numFmt w:val="bullet"/>
      <w:lvlText w:val="•"/>
      <w:lvlJc w:val="left"/>
      <w:pPr>
        <w:tabs>
          <w:tab w:val="num" w:pos="3960"/>
        </w:tabs>
        <w:ind w:left="3960" w:hanging="360"/>
      </w:pPr>
      <w:rPr>
        <w:rFonts w:ascii="Arial" w:hAnsi="Arial" w:hint="default"/>
      </w:rPr>
    </w:lvl>
    <w:lvl w:ilvl="5" w:tplc="0234EAD4" w:tentative="1">
      <w:start w:val="1"/>
      <w:numFmt w:val="bullet"/>
      <w:lvlText w:val="•"/>
      <w:lvlJc w:val="left"/>
      <w:pPr>
        <w:tabs>
          <w:tab w:val="num" w:pos="4680"/>
        </w:tabs>
        <w:ind w:left="4680" w:hanging="360"/>
      </w:pPr>
      <w:rPr>
        <w:rFonts w:ascii="Arial" w:hAnsi="Arial" w:hint="default"/>
      </w:rPr>
    </w:lvl>
    <w:lvl w:ilvl="6" w:tplc="88907236" w:tentative="1">
      <w:start w:val="1"/>
      <w:numFmt w:val="bullet"/>
      <w:lvlText w:val="•"/>
      <w:lvlJc w:val="left"/>
      <w:pPr>
        <w:tabs>
          <w:tab w:val="num" w:pos="5400"/>
        </w:tabs>
        <w:ind w:left="5400" w:hanging="360"/>
      </w:pPr>
      <w:rPr>
        <w:rFonts w:ascii="Arial" w:hAnsi="Arial" w:hint="default"/>
      </w:rPr>
    </w:lvl>
    <w:lvl w:ilvl="7" w:tplc="EC168782" w:tentative="1">
      <w:start w:val="1"/>
      <w:numFmt w:val="bullet"/>
      <w:lvlText w:val="•"/>
      <w:lvlJc w:val="left"/>
      <w:pPr>
        <w:tabs>
          <w:tab w:val="num" w:pos="6120"/>
        </w:tabs>
        <w:ind w:left="6120" w:hanging="360"/>
      </w:pPr>
      <w:rPr>
        <w:rFonts w:ascii="Arial" w:hAnsi="Arial" w:hint="default"/>
      </w:rPr>
    </w:lvl>
    <w:lvl w:ilvl="8" w:tplc="1B6ED148" w:tentative="1">
      <w:start w:val="1"/>
      <w:numFmt w:val="bullet"/>
      <w:lvlText w:val="•"/>
      <w:lvlJc w:val="left"/>
      <w:pPr>
        <w:tabs>
          <w:tab w:val="num" w:pos="6840"/>
        </w:tabs>
        <w:ind w:left="6840" w:hanging="360"/>
      </w:pPr>
      <w:rPr>
        <w:rFonts w:ascii="Arial" w:hAnsi="Arial" w:hint="default"/>
      </w:rPr>
    </w:lvl>
  </w:abstractNum>
  <w:abstractNum w:abstractNumId="28" w15:restartNumberingAfterBreak="0">
    <w:nsid w:val="462C4293"/>
    <w:multiLevelType w:val="hybridMultilevel"/>
    <w:tmpl w:val="830846EE"/>
    <w:lvl w:ilvl="0" w:tplc="97CE61D8">
      <w:start w:val="1"/>
      <w:numFmt w:val="bullet"/>
      <w:pStyle w:val="lv1bullet"/>
      <w:lvlText w:val=""/>
      <w:lvlPicBulletId w:val="0"/>
      <w:lvlJc w:val="left"/>
      <w:pPr>
        <w:tabs>
          <w:tab w:val="num" w:pos="2880"/>
        </w:tabs>
        <w:ind w:left="2880" w:hanging="360"/>
      </w:pPr>
      <w:rPr>
        <w:rFonts w:ascii="Symbol" w:hAnsi="Symbol" w:cs="Times New Roman Bold" w:hint="default"/>
        <w:b/>
        <w:i w:val="0"/>
        <w:color w:val="auto"/>
        <w:sz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48314BCA"/>
    <w:multiLevelType w:val="hybridMultilevel"/>
    <w:tmpl w:val="AE56AA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48B21C1D"/>
    <w:multiLevelType w:val="hybridMultilevel"/>
    <w:tmpl w:val="8E9C5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F7F7C"/>
    <w:multiLevelType w:val="hybridMultilevel"/>
    <w:tmpl w:val="09FEC64C"/>
    <w:lvl w:ilvl="0" w:tplc="A6EC167A">
      <w:start w:val="1"/>
      <w:numFmt w:val="bullet"/>
      <w:pStyle w:val="H1Bullet"/>
      <w:lvlText w:val=""/>
      <w:lvlJc w:val="left"/>
      <w:pPr>
        <w:tabs>
          <w:tab w:val="num" w:pos="432"/>
        </w:tabs>
        <w:ind w:left="432" w:hanging="144"/>
      </w:pPr>
      <w:rPr>
        <w:rFonts w:ascii="Symbol" w:hAnsi="Symbol" w:cs="Times New Roman" w:hint="default"/>
        <w:b w:val="0"/>
        <w:i w:val="0"/>
        <w:color w:val="auto"/>
        <w:sz w:val="24"/>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2" w15:restartNumberingAfterBreak="0">
    <w:nsid w:val="4E5A1046"/>
    <w:multiLevelType w:val="hybridMultilevel"/>
    <w:tmpl w:val="5DA04D3C"/>
    <w:lvl w:ilvl="0" w:tplc="61A2116A">
      <w:start w:val="1"/>
      <w:numFmt w:val="decimal"/>
      <w:lvlText w:val="%1."/>
      <w:lvlJc w:val="left"/>
      <w:pPr>
        <w:ind w:left="1152" w:hanging="360"/>
      </w:pPr>
      <w:rPr>
        <w:b/>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4F1346C7"/>
    <w:multiLevelType w:val="hybridMultilevel"/>
    <w:tmpl w:val="F3CC734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50CD0FE0"/>
    <w:multiLevelType w:val="hybridMultilevel"/>
    <w:tmpl w:val="7E841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E31D18"/>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4C1B5E"/>
    <w:multiLevelType w:val="hybridMultilevel"/>
    <w:tmpl w:val="77D2585E"/>
    <w:lvl w:ilvl="0" w:tplc="D684150E">
      <w:start w:val="1"/>
      <w:numFmt w:val="bullet"/>
      <w:lvlText w:val=""/>
      <w:lvlJc w:val="left"/>
      <w:pPr>
        <w:tabs>
          <w:tab w:val="num" w:pos="1080"/>
        </w:tabs>
        <w:ind w:left="1080" w:hanging="360"/>
      </w:pPr>
      <w:rPr>
        <w:rFonts w:ascii="Symbol" w:hAnsi="Symbol" w:cs="Symbol" w:hint="default"/>
        <w:sz w:val="18"/>
        <w:szCs w:val="18"/>
      </w:rPr>
    </w:lvl>
    <w:lvl w:ilvl="1" w:tplc="FB42C1EE">
      <w:start w:val="1"/>
      <w:numFmt w:val="bullet"/>
      <w:lvlText w:val=""/>
      <w:lvlJc w:val="left"/>
      <w:pPr>
        <w:tabs>
          <w:tab w:val="num" w:pos="1799"/>
        </w:tabs>
        <w:ind w:left="1799" w:hanging="360"/>
      </w:pPr>
      <w:rPr>
        <w:rFonts w:ascii="Symbol" w:hAnsi="Symbol" w:cs="Symbol" w:hint="default"/>
        <w:color w:val="auto"/>
        <w:sz w:val="22"/>
        <w:szCs w:val="22"/>
      </w:rPr>
    </w:lvl>
    <w:lvl w:ilvl="2" w:tplc="69A41F64">
      <w:start w:val="1"/>
      <w:numFmt w:val="bullet"/>
      <w:pStyle w:val="H3SUBBUL"/>
      <w:lvlText w:val=""/>
      <w:lvlJc w:val="left"/>
      <w:pPr>
        <w:tabs>
          <w:tab w:val="num" w:pos="2519"/>
        </w:tabs>
        <w:ind w:left="2519" w:hanging="360"/>
      </w:pPr>
      <w:rPr>
        <w:rFonts w:ascii="Wingdings" w:hAnsi="Wingdings" w:cs="Wingdings" w:hint="default"/>
      </w:rPr>
    </w:lvl>
    <w:lvl w:ilvl="3" w:tplc="C9A455E6">
      <w:start w:val="1"/>
      <w:numFmt w:val="bullet"/>
      <w:lvlText w:val=""/>
      <w:lvlJc w:val="left"/>
      <w:pPr>
        <w:tabs>
          <w:tab w:val="num" w:pos="3239"/>
        </w:tabs>
        <w:ind w:left="3239" w:hanging="360"/>
      </w:pPr>
      <w:rPr>
        <w:rFonts w:ascii="Symbol" w:hAnsi="Symbol" w:cs="Symbol" w:hint="default"/>
      </w:rPr>
    </w:lvl>
    <w:lvl w:ilvl="4" w:tplc="CD5E15D0">
      <w:start w:val="1"/>
      <w:numFmt w:val="bullet"/>
      <w:lvlText w:val="o"/>
      <w:lvlJc w:val="left"/>
      <w:pPr>
        <w:tabs>
          <w:tab w:val="num" w:pos="3959"/>
        </w:tabs>
        <w:ind w:left="3959" w:hanging="360"/>
      </w:pPr>
      <w:rPr>
        <w:rFonts w:ascii="Courier New" w:hAnsi="Courier New" w:cs="Courier New" w:hint="default"/>
      </w:rPr>
    </w:lvl>
    <w:lvl w:ilvl="5" w:tplc="3B220A76">
      <w:start w:val="1"/>
      <w:numFmt w:val="bullet"/>
      <w:lvlText w:val=""/>
      <w:lvlJc w:val="left"/>
      <w:pPr>
        <w:tabs>
          <w:tab w:val="num" w:pos="4679"/>
        </w:tabs>
        <w:ind w:left="4679" w:hanging="360"/>
      </w:pPr>
      <w:rPr>
        <w:rFonts w:ascii="Wingdings" w:hAnsi="Wingdings" w:cs="Wingdings" w:hint="default"/>
      </w:rPr>
    </w:lvl>
    <w:lvl w:ilvl="6" w:tplc="B7C809F4">
      <w:start w:val="1"/>
      <w:numFmt w:val="bullet"/>
      <w:lvlText w:val=""/>
      <w:lvlJc w:val="left"/>
      <w:pPr>
        <w:tabs>
          <w:tab w:val="num" w:pos="5399"/>
        </w:tabs>
        <w:ind w:left="5399" w:hanging="360"/>
      </w:pPr>
      <w:rPr>
        <w:rFonts w:ascii="Symbol" w:hAnsi="Symbol" w:cs="Symbol" w:hint="default"/>
      </w:rPr>
    </w:lvl>
    <w:lvl w:ilvl="7" w:tplc="2CBEC34C">
      <w:start w:val="1"/>
      <w:numFmt w:val="bullet"/>
      <w:lvlText w:val="o"/>
      <w:lvlJc w:val="left"/>
      <w:pPr>
        <w:tabs>
          <w:tab w:val="num" w:pos="6119"/>
        </w:tabs>
        <w:ind w:left="6119" w:hanging="360"/>
      </w:pPr>
      <w:rPr>
        <w:rFonts w:ascii="Courier New" w:hAnsi="Courier New" w:cs="Courier New" w:hint="default"/>
      </w:rPr>
    </w:lvl>
    <w:lvl w:ilvl="8" w:tplc="CDE6A626">
      <w:start w:val="1"/>
      <w:numFmt w:val="bullet"/>
      <w:lvlText w:val=""/>
      <w:lvlJc w:val="left"/>
      <w:pPr>
        <w:tabs>
          <w:tab w:val="num" w:pos="6839"/>
        </w:tabs>
        <w:ind w:left="6839" w:hanging="360"/>
      </w:pPr>
      <w:rPr>
        <w:rFonts w:ascii="Wingdings" w:hAnsi="Wingdings" w:cs="Wingdings" w:hint="default"/>
      </w:rPr>
    </w:lvl>
  </w:abstractNum>
  <w:abstractNum w:abstractNumId="37" w15:restartNumberingAfterBreak="0">
    <w:nsid w:val="5556192D"/>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291505"/>
    <w:multiLevelType w:val="hybridMultilevel"/>
    <w:tmpl w:val="093820D4"/>
    <w:lvl w:ilvl="0" w:tplc="D0F8407C">
      <w:start w:val="1"/>
      <w:numFmt w:val="bullet"/>
      <w:pStyle w:val="SquareBulletstyle"/>
      <w:lvlText w:val="■"/>
      <w:lvlJc w:val="left"/>
      <w:pPr>
        <w:ind w:left="1152" w:hanging="360"/>
      </w:pPr>
      <w:rPr>
        <w:rFonts w:ascii="Franklin Gothic Book" w:hAnsi="Franklin Gothic Book" w:hint="default"/>
        <w:color w:val="005F86"/>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39" w15:restartNumberingAfterBreak="0">
    <w:nsid w:val="58DE0338"/>
    <w:multiLevelType w:val="hybridMultilevel"/>
    <w:tmpl w:val="729A1BE2"/>
    <w:lvl w:ilvl="0" w:tplc="0C14DA94">
      <w:start w:val="1"/>
      <w:numFmt w:val="bullet"/>
      <w:lvlText w:val="•"/>
      <w:lvlJc w:val="left"/>
      <w:pPr>
        <w:tabs>
          <w:tab w:val="num" w:pos="720"/>
        </w:tabs>
        <w:ind w:left="720" w:hanging="360"/>
      </w:pPr>
      <w:rPr>
        <w:rFonts w:ascii="Arial" w:hAnsi="Arial" w:hint="default"/>
      </w:rPr>
    </w:lvl>
    <w:lvl w:ilvl="1" w:tplc="17021020" w:tentative="1">
      <w:start w:val="1"/>
      <w:numFmt w:val="bullet"/>
      <w:lvlText w:val="•"/>
      <w:lvlJc w:val="left"/>
      <w:pPr>
        <w:tabs>
          <w:tab w:val="num" w:pos="1440"/>
        </w:tabs>
        <w:ind w:left="1440" w:hanging="360"/>
      </w:pPr>
      <w:rPr>
        <w:rFonts w:ascii="Arial" w:hAnsi="Arial" w:hint="default"/>
      </w:rPr>
    </w:lvl>
    <w:lvl w:ilvl="2" w:tplc="03E2539C" w:tentative="1">
      <w:start w:val="1"/>
      <w:numFmt w:val="bullet"/>
      <w:lvlText w:val="•"/>
      <w:lvlJc w:val="left"/>
      <w:pPr>
        <w:tabs>
          <w:tab w:val="num" w:pos="2160"/>
        </w:tabs>
        <w:ind w:left="2160" w:hanging="360"/>
      </w:pPr>
      <w:rPr>
        <w:rFonts w:ascii="Arial" w:hAnsi="Arial" w:hint="default"/>
      </w:rPr>
    </w:lvl>
    <w:lvl w:ilvl="3" w:tplc="DF7088A2" w:tentative="1">
      <w:start w:val="1"/>
      <w:numFmt w:val="bullet"/>
      <w:lvlText w:val="•"/>
      <w:lvlJc w:val="left"/>
      <w:pPr>
        <w:tabs>
          <w:tab w:val="num" w:pos="2880"/>
        </w:tabs>
        <w:ind w:left="2880" w:hanging="360"/>
      </w:pPr>
      <w:rPr>
        <w:rFonts w:ascii="Arial" w:hAnsi="Arial" w:hint="default"/>
      </w:rPr>
    </w:lvl>
    <w:lvl w:ilvl="4" w:tplc="1CFEAFA2" w:tentative="1">
      <w:start w:val="1"/>
      <w:numFmt w:val="bullet"/>
      <w:lvlText w:val="•"/>
      <w:lvlJc w:val="left"/>
      <w:pPr>
        <w:tabs>
          <w:tab w:val="num" w:pos="3600"/>
        </w:tabs>
        <w:ind w:left="3600" w:hanging="360"/>
      </w:pPr>
      <w:rPr>
        <w:rFonts w:ascii="Arial" w:hAnsi="Arial" w:hint="default"/>
      </w:rPr>
    </w:lvl>
    <w:lvl w:ilvl="5" w:tplc="90185E2E" w:tentative="1">
      <w:start w:val="1"/>
      <w:numFmt w:val="bullet"/>
      <w:lvlText w:val="•"/>
      <w:lvlJc w:val="left"/>
      <w:pPr>
        <w:tabs>
          <w:tab w:val="num" w:pos="4320"/>
        </w:tabs>
        <w:ind w:left="4320" w:hanging="360"/>
      </w:pPr>
      <w:rPr>
        <w:rFonts w:ascii="Arial" w:hAnsi="Arial" w:hint="default"/>
      </w:rPr>
    </w:lvl>
    <w:lvl w:ilvl="6" w:tplc="99FA9AE8" w:tentative="1">
      <w:start w:val="1"/>
      <w:numFmt w:val="bullet"/>
      <w:lvlText w:val="•"/>
      <w:lvlJc w:val="left"/>
      <w:pPr>
        <w:tabs>
          <w:tab w:val="num" w:pos="5040"/>
        </w:tabs>
        <w:ind w:left="5040" w:hanging="360"/>
      </w:pPr>
      <w:rPr>
        <w:rFonts w:ascii="Arial" w:hAnsi="Arial" w:hint="default"/>
      </w:rPr>
    </w:lvl>
    <w:lvl w:ilvl="7" w:tplc="5226CDAA" w:tentative="1">
      <w:start w:val="1"/>
      <w:numFmt w:val="bullet"/>
      <w:lvlText w:val="•"/>
      <w:lvlJc w:val="left"/>
      <w:pPr>
        <w:tabs>
          <w:tab w:val="num" w:pos="5760"/>
        </w:tabs>
        <w:ind w:left="5760" w:hanging="360"/>
      </w:pPr>
      <w:rPr>
        <w:rFonts w:ascii="Arial" w:hAnsi="Arial" w:hint="default"/>
      </w:rPr>
    </w:lvl>
    <w:lvl w:ilvl="8" w:tplc="960CF8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9001E09"/>
    <w:multiLevelType w:val="multilevel"/>
    <w:tmpl w:val="63E0E0BC"/>
    <w:styleLink w:val="ReportHeadings-III"/>
    <w:lvl w:ilvl="0">
      <w:start w:val="1"/>
      <w:numFmt w:val="decimal"/>
      <w:lvlText w:val="%1."/>
      <w:lvlJc w:val="left"/>
      <w:pPr>
        <w:ind w:left="576" w:hanging="576"/>
      </w:pPr>
    </w:lvl>
    <w:lvl w:ilvl="1">
      <w:start w:val="1"/>
      <w:numFmt w:val="decimal"/>
      <w:suff w:val="space"/>
      <w:lvlText w:val="%1.%2"/>
      <w:lvlJc w:val="left"/>
      <w:pPr>
        <w:ind w:left="576" w:firstLine="0"/>
      </w:pPr>
    </w:lvl>
    <w:lvl w:ilvl="2">
      <w:start w:val="1"/>
      <w:numFmt w:val="decimal"/>
      <w:suff w:val="space"/>
      <w:lvlText w:val="%1.%2.%3"/>
      <w:lvlJc w:val="left"/>
      <w:pPr>
        <w:ind w:left="1080" w:firstLine="0"/>
      </w:pPr>
    </w:lvl>
    <w:lvl w:ilvl="3">
      <w:start w:val="1"/>
      <w:numFmt w:val="decimal"/>
      <w:suff w:val="space"/>
      <w:lvlText w:val="(%4)"/>
      <w:lvlJc w:val="left"/>
      <w:pPr>
        <w:ind w:left="1728" w:firstLine="0"/>
      </w:pPr>
    </w:lvl>
    <w:lvl w:ilvl="4">
      <w:start w:val="1"/>
      <w:numFmt w:val="lowerLetter"/>
      <w:suff w:val="space"/>
      <w:lvlText w:val="(%5)"/>
      <w:lvlJc w:val="left"/>
      <w:pPr>
        <w:ind w:left="2880" w:hanging="792"/>
      </w:pPr>
    </w:lvl>
    <w:lvl w:ilvl="5">
      <w:start w:val="1"/>
      <w:numFmt w:val="upperLetter"/>
      <w:lvlRestart w:val="4"/>
      <w:lvlText w:val="Appendix %6."/>
      <w:lvlJc w:val="left"/>
      <w:pPr>
        <w:tabs>
          <w:tab w:val="num" w:pos="576"/>
        </w:tabs>
        <w:ind w:left="576" w:hanging="576"/>
      </w:pPr>
    </w:lvl>
    <w:lvl w:ilvl="6">
      <w:start w:val="1"/>
      <w:numFmt w:val="decimal"/>
      <w:suff w:val="space"/>
      <w:lvlText w:val="%6.%7"/>
      <w:lvlJc w:val="left"/>
      <w:pPr>
        <w:ind w:left="684" w:hanging="144"/>
      </w:pPr>
    </w:lvl>
    <w:lvl w:ilvl="7">
      <w:start w:val="1"/>
      <w:numFmt w:val="decimal"/>
      <w:suff w:val="space"/>
      <w:lvlText w:val="%6.%7.%8"/>
      <w:lvlJc w:val="left"/>
      <w:pPr>
        <w:ind w:left="1080" w:firstLine="0"/>
      </w:pPr>
    </w:lvl>
    <w:lvl w:ilvl="8">
      <w:start w:val="1"/>
      <w:numFmt w:val="decimal"/>
      <w:suff w:val="space"/>
      <w:lvlText w:val="(%9)"/>
      <w:lvlJc w:val="left"/>
      <w:pPr>
        <w:ind w:left="1728" w:firstLine="0"/>
      </w:pPr>
    </w:lvl>
  </w:abstractNum>
  <w:abstractNum w:abstractNumId="41" w15:restartNumberingAfterBreak="0">
    <w:nsid w:val="5C946310"/>
    <w:multiLevelType w:val="hybridMultilevel"/>
    <w:tmpl w:val="84EA8E98"/>
    <w:lvl w:ilvl="0" w:tplc="C42427AE">
      <w:start w:val="1"/>
      <w:numFmt w:val="decimal"/>
      <w:pStyle w:val="StyleNumbered"/>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607A7F97"/>
    <w:multiLevelType w:val="multilevel"/>
    <w:tmpl w:val="5ADE5A8C"/>
    <w:styleLink w:val="ExecutiveSummaryList"/>
    <w:lvl w:ilvl="0">
      <w:start w:val="1"/>
      <w:numFmt w:val="upperLetter"/>
      <w:pStyle w:val="A1AppendixI"/>
      <w:lvlText w:val="Appendix %1."/>
      <w:lvlJc w:val="right"/>
      <w:pPr>
        <w:ind w:left="1800" w:hanging="360"/>
      </w:pPr>
      <w:rPr>
        <w:rFonts w:hint="default"/>
      </w:rPr>
    </w:lvl>
    <w:lvl w:ilvl="1">
      <w:start w:val="1"/>
      <w:numFmt w:val="none"/>
      <w:pStyle w:val="A2AppendixII"/>
      <w:lvlText w:val=""/>
      <w:lvlJc w:val="left"/>
      <w:pPr>
        <w:tabs>
          <w:tab w:val="num" w:pos="1800"/>
        </w:tabs>
        <w:ind w:left="1800"/>
      </w:pPr>
      <w:rPr>
        <w:rFonts w:cs="Times New Roman" w:hint="default"/>
      </w:rPr>
    </w:lvl>
    <w:lvl w:ilvl="2">
      <w:start w:val="1"/>
      <w:numFmt w:val="none"/>
      <w:pStyle w:val="A3AppendixIII"/>
      <w:lvlText w:val=""/>
      <w:lvlJc w:val="left"/>
      <w:pPr>
        <w:tabs>
          <w:tab w:val="num" w:pos="2160"/>
        </w:tabs>
        <w:ind w:left="2160"/>
      </w:pPr>
      <w:rPr>
        <w:rFonts w:cs="Times New Roman" w:hint="default"/>
      </w:rPr>
    </w:lvl>
    <w:lvl w:ilvl="3">
      <w:start w:val="1"/>
      <w:numFmt w:val="none"/>
      <w:pStyle w:val="A4AppendixIV"/>
      <w:lvlText w:val=""/>
      <w:lvlJc w:val="left"/>
      <w:pPr>
        <w:tabs>
          <w:tab w:val="num" w:pos="2520"/>
        </w:tabs>
        <w:ind w:left="2520"/>
      </w:pPr>
      <w:rPr>
        <w:rFonts w:cs="Times New Roman" w:hint="default"/>
      </w:rPr>
    </w:lvl>
    <w:lvl w:ilvl="4">
      <w:start w:val="1"/>
      <w:numFmt w:val="decimal"/>
      <w:pStyle w:val="A5AppendixListLevel1"/>
      <w:lvlText w:val="%5."/>
      <w:lvlJc w:val="left"/>
      <w:pPr>
        <w:ind w:left="3240" w:hanging="360"/>
      </w:pPr>
      <w:rPr>
        <w:rFonts w:cs="Times New Roman" w:hint="default"/>
        <w:b w:val="0"/>
        <w:i w:val="0"/>
      </w:rPr>
    </w:lvl>
    <w:lvl w:ilvl="5">
      <w:start w:val="1"/>
      <w:numFmt w:val="lowerLetter"/>
      <w:pStyle w:val="A6AppendixListLevel2"/>
      <w:lvlText w:val="%6)"/>
      <w:lvlJc w:val="left"/>
      <w:pPr>
        <w:ind w:left="3600" w:hanging="360"/>
      </w:pPr>
      <w:rPr>
        <w:rFonts w:cs="Times New Roman" w:hint="default"/>
        <w:b w:val="0"/>
        <w:i w:val="0"/>
      </w:rPr>
    </w:lvl>
    <w:lvl w:ilvl="6">
      <w:start w:val="1"/>
      <w:numFmt w:val="none"/>
      <w:lvlText w:val=""/>
      <w:lvlJc w:val="left"/>
      <w:pPr>
        <w:ind w:left="3960" w:hanging="360"/>
      </w:pPr>
      <w:rPr>
        <w:rFonts w:ascii="Calibri" w:hAnsi="Calibri" w:cs="Times New Roman" w:hint="default"/>
        <w:b w:val="0"/>
        <w:i w:val="0"/>
        <w:sz w:val="20"/>
      </w:rPr>
    </w:lvl>
    <w:lvl w:ilvl="7">
      <w:start w:val="1"/>
      <w:numFmt w:val="decimal"/>
      <w:pStyle w:val="A7Appendix-Caption-Table"/>
      <w:lvlText w:val="Table ES-%8: "/>
      <w:lvlJc w:val="left"/>
      <w:pPr>
        <w:ind w:left="4320" w:hanging="360"/>
      </w:pPr>
      <w:rPr>
        <w:rFonts w:cs="Times New Roman" w:hint="default"/>
        <w:sz w:val="18"/>
      </w:rPr>
    </w:lvl>
    <w:lvl w:ilvl="8">
      <w:start w:val="1"/>
      <w:numFmt w:val="decimal"/>
      <w:pStyle w:val="A8Appendix-Caption-Figure"/>
      <w:lvlText w:val="Figure ES-%9: "/>
      <w:lvlJc w:val="left"/>
      <w:pPr>
        <w:ind w:left="4680" w:hanging="360"/>
      </w:pPr>
      <w:rPr>
        <w:rFonts w:ascii="Calibri" w:hAnsi="Calibri" w:cs="Times New Roman" w:hint="default"/>
        <w:b w:val="0"/>
        <w:i w:val="0"/>
        <w:sz w:val="20"/>
      </w:rPr>
    </w:lvl>
  </w:abstractNum>
  <w:abstractNum w:abstractNumId="43" w15:restartNumberingAfterBreak="0">
    <w:nsid w:val="648B7136"/>
    <w:multiLevelType w:val="hybridMultilevel"/>
    <w:tmpl w:val="A28C7276"/>
    <w:lvl w:ilvl="0" w:tplc="788E7AAC">
      <w:start w:val="1"/>
      <w:numFmt w:val="bullet"/>
      <w:pStyle w:val="H3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723CB3"/>
    <w:multiLevelType w:val="hybridMultilevel"/>
    <w:tmpl w:val="211EF32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5" w15:restartNumberingAfterBreak="0">
    <w:nsid w:val="6E11641E"/>
    <w:multiLevelType w:val="multilevel"/>
    <w:tmpl w:val="E098D8E4"/>
    <w:lvl w:ilvl="0">
      <w:start w:val="1"/>
      <w:numFmt w:val="decimal"/>
      <w:pStyle w:val="appendixheading1"/>
      <w:lvlText w:val="E-%1"/>
      <w:lvlJc w:val="left"/>
      <w:pPr>
        <w:tabs>
          <w:tab w:val="num" w:pos="540"/>
        </w:tabs>
        <w:ind w:left="1440" w:hanging="720"/>
      </w:pPr>
      <w:rPr>
        <w:rFonts w:cs="Times New Roman" w:hint="default"/>
      </w:rPr>
    </w:lvl>
    <w:lvl w:ilvl="1">
      <w:start w:val="1"/>
      <w:numFmt w:val="decimal"/>
      <w:pStyle w:val="Appendixheading2"/>
      <w:lvlText w:val="E-%1.%2"/>
      <w:lvlJc w:val="left"/>
      <w:pPr>
        <w:tabs>
          <w:tab w:val="num" w:pos="1242"/>
        </w:tabs>
        <w:ind w:left="2610" w:hanging="720"/>
      </w:pPr>
      <w:rPr>
        <w:rFonts w:cs="Times New Roman" w:hint="default"/>
      </w:rPr>
    </w:lvl>
    <w:lvl w:ilvl="2">
      <w:start w:val="1"/>
      <w:numFmt w:val="decimal"/>
      <w:lvlText w:val="E-%1.%2.%3"/>
      <w:lvlJc w:val="left"/>
      <w:pPr>
        <w:tabs>
          <w:tab w:val="num" w:pos="3600"/>
        </w:tabs>
        <w:ind w:left="2520" w:hanging="360"/>
      </w:pPr>
      <w:rPr>
        <w:rFonts w:cs="Times New Roman" w:hint="default"/>
        <w:b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72EC1E86"/>
    <w:multiLevelType w:val="hybridMultilevel"/>
    <w:tmpl w:val="45F2BA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 w15:restartNumberingAfterBreak="0">
    <w:nsid w:val="7443745E"/>
    <w:multiLevelType w:val="hybridMultilevel"/>
    <w:tmpl w:val="2B7ED828"/>
    <w:lvl w:ilvl="0" w:tplc="04090005">
      <w:start w:val="1"/>
      <w:numFmt w:val="bullet"/>
      <w:lvlText w:val=""/>
      <w:lvlJc w:val="left"/>
      <w:pPr>
        <w:ind w:left="1152" w:hanging="360"/>
      </w:pPr>
      <w:rPr>
        <w:rFonts w:ascii="Wingdings" w:hAnsi="Wingdings" w:hint="default"/>
        <w:color w:val="005F8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8" w15:restartNumberingAfterBreak="0">
    <w:nsid w:val="760B4D08"/>
    <w:multiLevelType w:val="hybridMultilevel"/>
    <w:tmpl w:val="8134509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9" w15:restartNumberingAfterBreak="0">
    <w:nsid w:val="792F40B0"/>
    <w:multiLevelType w:val="multilevel"/>
    <w:tmpl w:val="5A8C21EA"/>
    <w:lvl w:ilvl="0">
      <w:start w:val="1"/>
      <w:numFmt w:val="none"/>
      <w:pStyle w:val="ALBegin"/>
      <w:lvlText w:val="%1"/>
      <w:lvlJc w:val="left"/>
      <w:pPr>
        <w:tabs>
          <w:tab w:val="num" w:pos="1584"/>
        </w:tabs>
        <w:ind w:left="1584" w:hanging="288"/>
      </w:pPr>
    </w:lvl>
    <w:lvl w:ilvl="1">
      <w:start w:val="1"/>
      <w:numFmt w:val="lowerLetter"/>
      <w:pStyle w:val="ALItem"/>
      <w:lvlText w:val="%2."/>
      <w:lvlJc w:val="left"/>
      <w:pPr>
        <w:tabs>
          <w:tab w:val="num" w:pos="1584"/>
        </w:tabs>
        <w:ind w:left="1584" w:hanging="288"/>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15:restartNumberingAfterBreak="0">
    <w:nsid w:val="7BB77A6A"/>
    <w:multiLevelType w:val="hybridMultilevel"/>
    <w:tmpl w:val="F5429ED2"/>
    <w:lvl w:ilvl="0" w:tplc="FAE6D5F2">
      <w:start w:val="1"/>
      <w:numFmt w:val="decimal"/>
      <w:pStyle w:val="numbertextChar"/>
      <w:lvlText w:val="%1."/>
      <w:lvlJc w:val="left"/>
      <w:pPr>
        <w:tabs>
          <w:tab w:val="num" w:pos="840"/>
        </w:tabs>
        <w:ind w:left="840" w:hanging="480"/>
      </w:pPr>
      <w:rPr>
        <w:rFonts w:hint="default"/>
      </w:rPr>
    </w:lvl>
    <w:lvl w:ilvl="1" w:tplc="406022FC">
      <w:start w:val="1"/>
      <w:numFmt w:val="lowerLetter"/>
      <w:lvlText w:val="%2."/>
      <w:lvlJc w:val="left"/>
      <w:pPr>
        <w:tabs>
          <w:tab w:val="num" w:pos="1440"/>
        </w:tabs>
        <w:ind w:left="1440" w:hanging="360"/>
      </w:pPr>
      <w:rPr>
        <w:rFonts w:hint="default"/>
      </w:rPr>
    </w:lvl>
    <w:lvl w:ilvl="2" w:tplc="845C5FF4" w:tentative="1">
      <w:start w:val="1"/>
      <w:numFmt w:val="lowerRoman"/>
      <w:lvlText w:val="%3."/>
      <w:lvlJc w:val="right"/>
      <w:pPr>
        <w:tabs>
          <w:tab w:val="num" w:pos="2160"/>
        </w:tabs>
        <w:ind w:left="2160" w:hanging="180"/>
      </w:pPr>
    </w:lvl>
    <w:lvl w:ilvl="3" w:tplc="6DA24CEA" w:tentative="1">
      <w:start w:val="1"/>
      <w:numFmt w:val="decimal"/>
      <w:lvlText w:val="%4."/>
      <w:lvlJc w:val="left"/>
      <w:pPr>
        <w:tabs>
          <w:tab w:val="num" w:pos="2880"/>
        </w:tabs>
        <w:ind w:left="2880" w:hanging="360"/>
      </w:pPr>
    </w:lvl>
    <w:lvl w:ilvl="4" w:tplc="1EDE91F6" w:tentative="1">
      <w:start w:val="1"/>
      <w:numFmt w:val="lowerLetter"/>
      <w:lvlText w:val="%5."/>
      <w:lvlJc w:val="left"/>
      <w:pPr>
        <w:tabs>
          <w:tab w:val="num" w:pos="3600"/>
        </w:tabs>
        <w:ind w:left="3600" w:hanging="360"/>
      </w:pPr>
    </w:lvl>
    <w:lvl w:ilvl="5" w:tplc="F96EB024" w:tentative="1">
      <w:start w:val="1"/>
      <w:numFmt w:val="lowerRoman"/>
      <w:lvlText w:val="%6."/>
      <w:lvlJc w:val="right"/>
      <w:pPr>
        <w:tabs>
          <w:tab w:val="num" w:pos="4320"/>
        </w:tabs>
        <w:ind w:left="4320" w:hanging="180"/>
      </w:pPr>
    </w:lvl>
    <w:lvl w:ilvl="6" w:tplc="F84AB8F8" w:tentative="1">
      <w:start w:val="1"/>
      <w:numFmt w:val="decimal"/>
      <w:lvlText w:val="%7."/>
      <w:lvlJc w:val="left"/>
      <w:pPr>
        <w:tabs>
          <w:tab w:val="num" w:pos="5040"/>
        </w:tabs>
        <w:ind w:left="5040" w:hanging="360"/>
      </w:pPr>
    </w:lvl>
    <w:lvl w:ilvl="7" w:tplc="96026E5C" w:tentative="1">
      <w:start w:val="1"/>
      <w:numFmt w:val="lowerLetter"/>
      <w:lvlText w:val="%8."/>
      <w:lvlJc w:val="left"/>
      <w:pPr>
        <w:tabs>
          <w:tab w:val="num" w:pos="5760"/>
        </w:tabs>
        <w:ind w:left="5760" w:hanging="360"/>
      </w:pPr>
    </w:lvl>
    <w:lvl w:ilvl="8" w:tplc="3A58B07A" w:tentative="1">
      <w:start w:val="1"/>
      <w:numFmt w:val="lowerRoman"/>
      <w:lvlText w:val="%9."/>
      <w:lvlJc w:val="right"/>
      <w:pPr>
        <w:tabs>
          <w:tab w:val="num" w:pos="6480"/>
        </w:tabs>
        <w:ind w:left="6480" w:hanging="180"/>
      </w:pPr>
    </w:lvl>
  </w:abstractNum>
  <w:abstractNum w:abstractNumId="51" w15:restartNumberingAfterBreak="0">
    <w:nsid w:val="7C8B3D66"/>
    <w:multiLevelType w:val="hybridMultilevel"/>
    <w:tmpl w:val="79342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26"/>
  </w:num>
  <w:num w:numId="4">
    <w:abstractNumId w:val="6"/>
  </w:num>
  <w:num w:numId="5">
    <w:abstractNumId w:val="1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2"/>
    <w:lvlOverride w:ilvl="0">
      <w:lvl w:ilvl="0">
        <w:start w:val="1"/>
        <w:numFmt w:val="upperLetter"/>
        <w:pStyle w:val="A1AppendixI"/>
        <w:lvlText w:val="Appendix %1."/>
        <w:lvlJc w:val="right"/>
        <w:pPr>
          <w:ind w:left="1800" w:hanging="360"/>
        </w:pPr>
        <w:rPr>
          <w:rFonts w:hint="default"/>
        </w:rPr>
      </w:lvl>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4"/>
  </w:num>
  <w:num w:numId="12">
    <w:abstractNumId w:val="50"/>
  </w:num>
  <w:num w:numId="13">
    <w:abstractNumId w:val="31"/>
  </w:num>
  <w:num w:numId="14">
    <w:abstractNumId w:val="7"/>
  </w:num>
  <w:num w:numId="15">
    <w:abstractNumId w:val="36"/>
  </w:num>
  <w:num w:numId="16">
    <w:abstractNumId w:val="3"/>
  </w:num>
  <w:num w:numId="17">
    <w:abstractNumId w:val="9"/>
  </w:num>
  <w:num w:numId="18">
    <w:abstractNumId w:val="0"/>
  </w:num>
  <w:num w:numId="19">
    <w:abstractNumId w:val="43"/>
  </w:num>
  <w:num w:numId="20">
    <w:abstractNumId w:val="16"/>
  </w:num>
  <w:num w:numId="21">
    <w:abstractNumId w:val="41"/>
  </w:num>
  <w:num w:numId="22">
    <w:abstractNumId w:val="2"/>
  </w:num>
  <w:num w:numId="23">
    <w:abstractNumId w:val="28"/>
  </w:num>
  <w:num w:numId="24">
    <w:abstractNumId w:val="1"/>
  </w:num>
  <w:num w:numId="25">
    <w:abstractNumId w:val="40"/>
  </w:num>
  <w:num w:numId="26">
    <w:abstractNumId w:val="15"/>
  </w:num>
  <w:num w:numId="27">
    <w:abstractNumId w:val="42"/>
  </w:num>
  <w:num w:numId="28">
    <w:abstractNumId w:val="14"/>
  </w:num>
  <w:num w:numId="29">
    <w:abstractNumId w:val="22"/>
  </w:num>
  <w:num w:numId="30">
    <w:abstractNumId w:val="33"/>
  </w:num>
  <w:num w:numId="31">
    <w:abstractNumId w:val="12"/>
  </w:num>
  <w:num w:numId="32">
    <w:abstractNumId w:val="44"/>
  </w:num>
  <w:num w:numId="33">
    <w:abstractNumId w:val="5"/>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0"/>
  </w:num>
  <w:num w:numId="37">
    <w:abstractNumId w:val="35"/>
  </w:num>
  <w:num w:numId="38">
    <w:abstractNumId w:val="47"/>
  </w:num>
  <w:num w:numId="39">
    <w:abstractNumId w:val="39"/>
  </w:num>
  <w:num w:numId="40">
    <w:abstractNumId w:val="8"/>
  </w:num>
  <w:num w:numId="41">
    <w:abstractNumId w:val="51"/>
  </w:num>
  <w:num w:numId="42">
    <w:abstractNumId w:val="37"/>
  </w:num>
  <w:num w:numId="43">
    <w:abstractNumId w:val="11"/>
  </w:num>
  <w:num w:numId="44">
    <w:abstractNumId w:val="19"/>
  </w:num>
  <w:num w:numId="45">
    <w:abstractNumId w:val="18"/>
  </w:num>
  <w:num w:numId="46">
    <w:abstractNumId w:val="34"/>
  </w:num>
  <w:num w:numId="47">
    <w:abstractNumId w:val="29"/>
  </w:num>
  <w:num w:numId="48">
    <w:abstractNumId w:val="46"/>
  </w:num>
  <w:num w:numId="49">
    <w:abstractNumId w:val="20"/>
  </w:num>
  <w:num w:numId="50">
    <w:abstractNumId w:val="48"/>
  </w:num>
  <w:num w:numId="51">
    <w:abstractNumId w:val="23"/>
  </w:num>
  <w:num w:numId="52">
    <w:abstractNumId w:val="32"/>
  </w:num>
  <w:num w:numId="53">
    <w:abstractNumId w:val="27"/>
  </w:num>
  <w:num w:numId="54">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233"/>
    <w:rsid w:val="0000180A"/>
    <w:rsid w:val="00002A46"/>
    <w:rsid w:val="00003586"/>
    <w:rsid w:val="0000387E"/>
    <w:rsid w:val="000058EA"/>
    <w:rsid w:val="00005C57"/>
    <w:rsid w:val="00005FB7"/>
    <w:rsid w:val="00006575"/>
    <w:rsid w:val="00007967"/>
    <w:rsid w:val="000127EE"/>
    <w:rsid w:val="00012A06"/>
    <w:rsid w:val="00015A35"/>
    <w:rsid w:val="00016925"/>
    <w:rsid w:val="0002042B"/>
    <w:rsid w:val="00024A86"/>
    <w:rsid w:val="00025536"/>
    <w:rsid w:val="000258B7"/>
    <w:rsid w:val="00025C78"/>
    <w:rsid w:val="00027516"/>
    <w:rsid w:val="00027DFD"/>
    <w:rsid w:val="000304D4"/>
    <w:rsid w:val="00031101"/>
    <w:rsid w:val="00032FE9"/>
    <w:rsid w:val="000338DF"/>
    <w:rsid w:val="00033AD1"/>
    <w:rsid w:val="0003646C"/>
    <w:rsid w:val="000403AE"/>
    <w:rsid w:val="00041117"/>
    <w:rsid w:val="00041765"/>
    <w:rsid w:val="00044FBC"/>
    <w:rsid w:val="00045087"/>
    <w:rsid w:val="0004534E"/>
    <w:rsid w:val="000462C7"/>
    <w:rsid w:val="00051F1E"/>
    <w:rsid w:val="0005228A"/>
    <w:rsid w:val="00052561"/>
    <w:rsid w:val="00054B7B"/>
    <w:rsid w:val="0005670C"/>
    <w:rsid w:val="00060265"/>
    <w:rsid w:val="00061668"/>
    <w:rsid w:val="00062069"/>
    <w:rsid w:val="000627C6"/>
    <w:rsid w:val="000627C8"/>
    <w:rsid w:val="00062D5F"/>
    <w:rsid w:val="0006308C"/>
    <w:rsid w:val="00064057"/>
    <w:rsid w:val="0006425E"/>
    <w:rsid w:val="00067FD4"/>
    <w:rsid w:val="00070D5B"/>
    <w:rsid w:val="0007121C"/>
    <w:rsid w:val="000718D1"/>
    <w:rsid w:val="0007199E"/>
    <w:rsid w:val="00071F18"/>
    <w:rsid w:val="000722BE"/>
    <w:rsid w:val="00072EFB"/>
    <w:rsid w:val="000741FC"/>
    <w:rsid w:val="0007465E"/>
    <w:rsid w:val="00074EEE"/>
    <w:rsid w:val="00075210"/>
    <w:rsid w:val="000770FD"/>
    <w:rsid w:val="00077257"/>
    <w:rsid w:val="00077549"/>
    <w:rsid w:val="000804DA"/>
    <w:rsid w:val="000812E1"/>
    <w:rsid w:val="0008174A"/>
    <w:rsid w:val="00082D55"/>
    <w:rsid w:val="00084706"/>
    <w:rsid w:val="00084A7F"/>
    <w:rsid w:val="000859BF"/>
    <w:rsid w:val="00087E04"/>
    <w:rsid w:val="000911E9"/>
    <w:rsid w:val="00091E03"/>
    <w:rsid w:val="00092D5E"/>
    <w:rsid w:val="00095503"/>
    <w:rsid w:val="000956DD"/>
    <w:rsid w:val="000959E4"/>
    <w:rsid w:val="0009642E"/>
    <w:rsid w:val="000A06D1"/>
    <w:rsid w:val="000A13CB"/>
    <w:rsid w:val="000A14B3"/>
    <w:rsid w:val="000A294A"/>
    <w:rsid w:val="000A2A5A"/>
    <w:rsid w:val="000A2C88"/>
    <w:rsid w:val="000A5EAF"/>
    <w:rsid w:val="000A64FC"/>
    <w:rsid w:val="000A7ED7"/>
    <w:rsid w:val="000B16F7"/>
    <w:rsid w:val="000B1E44"/>
    <w:rsid w:val="000B269E"/>
    <w:rsid w:val="000B2C12"/>
    <w:rsid w:val="000B3099"/>
    <w:rsid w:val="000B79DB"/>
    <w:rsid w:val="000C06B2"/>
    <w:rsid w:val="000C07A3"/>
    <w:rsid w:val="000C2C81"/>
    <w:rsid w:val="000C333C"/>
    <w:rsid w:val="000C473A"/>
    <w:rsid w:val="000C4F82"/>
    <w:rsid w:val="000C5006"/>
    <w:rsid w:val="000C5499"/>
    <w:rsid w:val="000C54B3"/>
    <w:rsid w:val="000C64BD"/>
    <w:rsid w:val="000C774B"/>
    <w:rsid w:val="000C7947"/>
    <w:rsid w:val="000D0025"/>
    <w:rsid w:val="000D2C67"/>
    <w:rsid w:val="000D3D70"/>
    <w:rsid w:val="000D3F1B"/>
    <w:rsid w:val="000D4735"/>
    <w:rsid w:val="000D4A97"/>
    <w:rsid w:val="000D4A98"/>
    <w:rsid w:val="000D4E46"/>
    <w:rsid w:val="000D5A24"/>
    <w:rsid w:val="000D6B71"/>
    <w:rsid w:val="000D79E1"/>
    <w:rsid w:val="000E03DB"/>
    <w:rsid w:val="000E0897"/>
    <w:rsid w:val="000E0987"/>
    <w:rsid w:val="000E0F9E"/>
    <w:rsid w:val="000E2BF3"/>
    <w:rsid w:val="000E3DE3"/>
    <w:rsid w:val="000F2EC3"/>
    <w:rsid w:val="000F439E"/>
    <w:rsid w:val="000F447F"/>
    <w:rsid w:val="000F5243"/>
    <w:rsid w:val="000F58C5"/>
    <w:rsid w:val="000F5B4B"/>
    <w:rsid w:val="000F60C9"/>
    <w:rsid w:val="000F775A"/>
    <w:rsid w:val="000F7A65"/>
    <w:rsid w:val="000F7C08"/>
    <w:rsid w:val="00100F2E"/>
    <w:rsid w:val="001024CC"/>
    <w:rsid w:val="00106B37"/>
    <w:rsid w:val="00106E61"/>
    <w:rsid w:val="00107820"/>
    <w:rsid w:val="00107A19"/>
    <w:rsid w:val="00110E57"/>
    <w:rsid w:val="00111D31"/>
    <w:rsid w:val="00112B2F"/>
    <w:rsid w:val="00113409"/>
    <w:rsid w:val="00113A08"/>
    <w:rsid w:val="00114DB2"/>
    <w:rsid w:val="0011561F"/>
    <w:rsid w:val="001171EE"/>
    <w:rsid w:val="00120434"/>
    <w:rsid w:val="00120796"/>
    <w:rsid w:val="00120FBC"/>
    <w:rsid w:val="00121E1E"/>
    <w:rsid w:val="001227A8"/>
    <w:rsid w:val="001248D9"/>
    <w:rsid w:val="00124B26"/>
    <w:rsid w:val="001265BA"/>
    <w:rsid w:val="001276B9"/>
    <w:rsid w:val="00127933"/>
    <w:rsid w:val="00127962"/>
    <w:rsid w:val="00127CB1"/>
    <w:rsid w:val="00130ACD"/>
    <w:rsid w:val="00131582"/>
    <w:rsid w:val="0013252B"/>
    <w:rsid w:val="00133832"/>
    <w:rsid w:val="00133F67"/>
    <w:rsid w:val="0013742E"/>
    <w:rsid w:val="0013767F"/>
    <w:rsid w:val="00140B36"/>
    <w:rsid w:val="0014123D"/>
    <w:rsid w:val="00142944"/>
    <w:rsid w:val="00143615"/>
    <w:rsid w:val="00143EAF"/>
    <w:rsid w:val="0014459A"/>
    <w:rsid w:val="00145049"/>
    <w:rsid w:val="00151088"/>
    <w:rsid w:val="001510B8"/>
    <w:rsid w:val="0015197F"/>
    <w:rsid w:val="00153C5D"/>
    <w:rsid w:val="00154997"/>
    <w:rsid w:val="00155444"/>
    <w:rsid w:val="00156B3B"/>
    <w:rsid w:val="00157012"/>
    <w:rsid w:val="00160FE2"/>
    <w:rsid w:val="00161D00"/>
    <w:rsid w:val="001628E2"/>
    <w:rsid w:val="00163361"/>
    <w:rsid w:val="0016414A"/>
    <w:rsid w:val="001648E2"/>
    <w:rsid w:val="0016504D"/>
    <w:rsid w:val="001663D9"/>
    <w:rsid w:val="00167088"/>
    <w:rsid w:val="001671F9"/>
    <w:rsid w:val="00167681"/>
    <w:rsid w:val="001722FB"/>
    <w:rsid w:val="00172329"/>
    <w:rsid w:val="001738DA"/>
    <w:rsid w:val="001759FE"/>
    <w:rsid w:val="00176635"/>
    <w:rsid w:val="00176B11"/>
    <w:rsid w:val="00176EBE"/>
    <w:rsid w:val="00176FFA"/>
    <w:rsid w:val="00180509"/>
    <w:rsid w:val="00180FB4"/>
    <w:rsid w:val="0018347F"/>
    <w:rsid w:val="00183AF8"/>
    <w:rsid w:val="001878A9"/>
    <w:rsid w:val="001901E2"/>
    <w:rsid w:val="0019190E"/>
    <w:rsid w:val="00191F11"/>
    <w:rsid w:val="00192DD6"/>
    <w:rsid w:val="00193321"/>
    <w:rsid w:val="0019381A"/>
    <w:rsid w:val="00193BA0"/>
    <w:rsid w:val="001947BE"/>
    <w:rsid w:val="00195698"/>
    <w:rsid w:val="001968FE"/>
    <w:rsid w:val="00196D69"/>
    <w:rsid w:val="001974B2"/>
    <w:rsid w:val="001974DB"/>
    <w:rsid w:val="001A0219"/>
    <w:rsid w:val="001A0F80"/>
    <w:rsid w:val="001A2811"/>
    <w:rsid w:val="001A2DE8"/>
    <w:rsid w:val="001A387C"/>
    <w:rsid w:val="001A3B78"/>
    <w:rsid w:val="001A3CE3"/>
    <w:rsid w:val="001A57C0"/>
    <w:rsid w:val="001A69AC"/>
    <w:rsid w:val="001A7AF9"/>
    <w:rsid w:val="001B0C68"/>
    <w:rsid w:val="001B292A"/>
    <w:rsid w:val="001B2A04"/>
    <w:rsid w:val="001B32EC"/>
    <w:rsid w:val="001B3863"/>
    <w:rsid w:val="001B3E2D"/>
    <w:rsid w:val="001C04DD"/>
    <w:rsid w:val="001C16B6"/>
    <w:rsid w:val="001C3A93"/>
    <w:rsid w:val="001C6507"/>
    <w:rsid w:val="001C7182"/>
    <w:rsid w:val="001C72B0"/>
    <w:rsid w:val="001C79D7"/>
    <w:rsid w:val="001C7F2D"/>
    <w:rsid w:val="001D1176"/>
    <w:rsid w:val="001D156F"/>
    <w:rsid w:val="001D2BBB"/>
    <w:rsid w:val="001D2F1B"/>
    <w:rsid w:val="001D2FDF"/>
    <w:rsid w:val="001D5798"/>
    <w:rsid w:val="001D5D70"/>
    <w:rsid w:val="001E0F0A"/>
    <w:rsid w:val="001E1E12"/>
    <w:rsid w:val="001E2D54"/>
    <w:rsid w:val="001E358B"/>
    <w:rsid w:val="001E3599"/>
    <w:rsid w:val="001E380D"/>
    <w:rsid w:val="001E4DCD"/>
    <w:rsid w:val="001E5166"/>
    <w:rsid w:val="001E56EC"/>
    <w:rsid w:val="001E5ACE"/>
    <w:rsid w:val="001E668A"/>
    <w:rsid w:val="001E7672"/>
    <w:rsid w:val="001E77D7"/>
    <w:rsid w:val="001E7C7B"/>
    <w:rsid w:val="001F0C1F"/>
    <w:rsid w:val="001F0DF5"/>
    <w:rsid w:val="001F110A"/>
    <w:rsid w:val="001F1415"/>
    <w:rsid w:val="001F155F"/>
    <w:rsid w:val="001F31D7"/>
    <w:rsid w:val="001F704A"/>
    <w:rsid w:val="002005AE"/>
    <w:rsid w:val="0020110B"/>
    <w:rsid w:val="002014BB"/>
    <w:rsid w:val="00201999"/>
    <w:rsid w:val="00201CDE"/>
    <w:rsid w:val="0020268B"/>
    <w:rsid w:val="00202EDC"/>
    <w:rsid w:val="0020419A"/>
    <w:rsid w:val="002077EF"/>
    <w:rsid w:val="00210798"/>
    <w:rsid w:val="00211A74"/>
    <w:rsid w:val="00211DC0"/>
    <w:rsid w:val="002120E5"/>
    <w:rsid w:val="00213598"/>
    <w:rsid w:val="002136E5"/>
    <w:rsid w:val="00214B22"/>
    <w:rsid w:val="00215A34"/>
    <w:rsid w:val="00216E41"/>
    <w:rsid w:val="00216EE2"/>
    <w:rsid w:val="00217044"/>
    <w:rsid w:val="00217341"/>
    <w:rsid w:val="00217AA2"/>
    <w:rsid w:val="00220C64"/>
    <w:rsid w:val="002218A1"/>
    <w:rsid w:val="00221F7D"/>
    <w:rsid w:val="0022235A"/>
    <w:rsid w:val="0022328C"/>
    <w:rsid w:val="002234E7"/>
    <w:rsid w:val="00225D05"/>
    <w:rsid w:val="00226653"/>
    <w:rsid w:val="00226FEC"/>
    <w:rsid w:val="00232C33"/>
    <w:rsid w:val="002338A3"/>
    <w:rsid w:val="0023433B"/>
    <w:rsid w:val="002344E1"/>
    <w:rsid w:val="00234D5F"/>
    <w:rsid w:val="002358DD"/>
    <w:rsid w:val="00236711"/>
    <w:rsid w:val="00236BB9"/>
    <w:rsid w:val="00241B91"/>
    <w:rsid w:val="00242415"/>
    <w:rsid w:val="00242BC2"/>
    <w:rsid w:val="00243349"/>
    <w:rsid w:val="0024556E"/>
    <w:rsid w:val="00245EFC"/>
    <w:rsid w:val="0024730C"/>
    <w:rsid w:val="00247BF9"/>
    <w:rsid w:val="00250433"/>
    <w:rsid w:val="00251543"/>
    <w:rsid w:val="0025612B"/>
    <w:rsid w:val="002573E2"/>
    <w:rsid w:val="00261122"/>
    <w:rsid w:val="0026165F"/>
    <w:rsid w:val="00261738"/>
    <w:rsid w:val="002619F9"/>
    <w:rsid w:val="00261A2D"/>
    <w:rsid w:val="00262016"/>
    <w:rsid w:val="00262323"/>
    <w:rsid w:val="00262C75"/>
    <w:rsid w:val="00264626"/>
    <w:rsid w:val="00264E74"/>
    <w:rsid w:val="00265786"/>
    <w:rsid w:val="00265927"/>
    <w:rsid w:val="002660C7"/>
    <w:rsid w:val="0026610D"/>
    <w:rsid w:val="002669E8"/>
    <w:rsid w:val="00267E3F"/>
    <w:rsid w:val="00270D77"/>
    <w:rsid w:val="002717A8"/>
    <w:rsid w:val="00271C8E"/>
    <w:rsid w:val="002723A8"/>
    <w:rsid w:val="0027495F"/>
    <w:rsid w:val="00275052"/>
    <w:rsid w:val="002766C3"/>
    <w:rsid w:val="00277834"/>
    <w:rsid w:val="0028110F"/>
    <w:rsid w:val="00281AA8"/>
    <w:rsid w:val="00283D54"/>
    <w:rsid w:val="00284F36"/>
    <w:rsid w:val="0028542C"/>
    <w:rsid w:val="002856B4"/>
    <w:rsid w:val="002859CC"/>
    <w:rsid w:val="002861A7"/>
    <w:rsid w:val="00287337"/>
    <w:rsid w:val="002873C8"/>
    <w:rsid w:val="002900A4"/>
    <w:rsid w:val="00290153"/>
    <w:rsid w:val="002919A7"/>
    <w:rsid w:val="00292C5C"/>
    <w:rsid w:val="00292C5E"/>
    <w:rsid w:val="002943F2"/>
    <w:rsid w:val="00294536"/>
    <w:rsid w:val="0029453C"/>
    <w:rsid w:val="002946CD"/>
    <w:rsid w:val="00294E42"/>
    <w:rsid w:val="002952C0"/>
    <w:rsid w:val="00297F54"/>
    <w:rsid w:val="002A031A"/>
    <w:rsid w:val="002A2253"/>
    <w:rsid w:val="002A243F"/>
    <w:rsid w:val="002A5185"/>
    <w:rsid w:val="002A5925"/>
    <w:rsid w:val="002A7554"/>
    <w:rsid w:val="002B2CF6"/>
    <w:rsid w:val="002B326F"/>
    <w:rsid w:val="002B525B"/>
    <w:rsid w:val="002B5CF2"/>
    <w:rsid w:val="002B6F38"/>
    <w:rsid w:val="002C0341"/>
    <w:rsid w:val="002C07C0"/>
    <w:rsid w:val="002C28E3"/>
    <w:rsid w:val="002C32D3"/>
    <w:rsid w:val="002C37A9"/>
    <w:rsid w:val="002C3A39"/>
    <w:rsid w:val="002C3B1A"/>
    <w:rsid w:val="002C59D0"/>
    <w:rsid w:val="002C7135"/>
    <w:rsid w:val="002C755D"/>
    <w:rsid w:val="002D1B82"/>
    <w:rsid w:val="002D3BD6"/>
    <w:rsid w:val="002D41C2"/>
    <w:rsid w:val="002D4E17"/>
    <w:rsid w:val="002D6D70"/>
    <w:rsid w:val="002E00C7"/>
    <w:rsid w:val="002E0595"/>
    <w:rsid w:val="002E1EEE"/>
    <w:rsid w:val="002E22CE"/>
    <w:rsid w:val="002E2FD7"/>
    <w:rsid w:val="002E332F"/>
    <w:rsid w:val="002E4DA6"/>
    <w:rsid w:val="002E67AD"/>
    <w:rsid w:val="002F2B07"/>
    <w:rsid w:val="002F3671"/>
    <w:rsid w:val="002F468A"/>
    <w:rsid w:val="002F4869"/>
    <w:rsid w:val="002F5415"/>
    <w:rsid w:val="002F5964"/>
    <w:rsid w:val="002F617D"/>
    <w:rsid w:val="002F6E08"/>
    <w:rsid w:val="002F7087"/>
    <w:rsid w:val="0030129A"/>
    <w:rsid w:val="0030136D"/>
    <w:rsid w:val="003037C6"/>
    <w:rsid w:val="00305436"/>
    <w:rsid w:val="003057DE"/>
    <w:rsid w:val="003072F3"/>
    <w:rsid w:val="00307315"/>
    <w:rsid w:val="00307EAE"/>
    <w:rsid w:val="00312044"/>
    <w:rsid w:val="0031298B"/>
    <w:rsid w:val="0031383F"/>
    <w:rsid w:val="0031536E"/>
    <w:rsid w:val="00316426"/>
    <w:rsid w:val="0031654D"/>
    <w:rsid w:val="00316F09"/>
    <w:rsid w:val="0031784C"/>
    <w:rsid w:val="003239B8"/>
    <w:rsid w:val="00323D5F"/>
    <w:rsid w:val="00325E3D"/>
    <w:rsid w:val="0032672F"/>
    <w:rsid w:val="00326944"/>
    <w:rsid w:val="00326B02"/>
    <w:rsid w:val="0032718D"/>
    <w:rsid w:val="003272DE"/>
    <w:rsid w:val="003315A3"/>
    <w:rsid w:val="003318CB"/>
    <w:rsid w:val="00333EEB"/>
    <w:rsid w:val="003362F2"/>
    <w:rsid w:val="00336DDE"/>
    <w:rsid w:val="00337DFD"/>
    <w:rsid w:val="00337F72"/>
    <w:rsid w:val="00340D02"/>
    <w:rsid w:val="00342445"/>
    <w:rsid w:val="00342CAB"/>
    <w:rsid w:val="00344403"/>
    <w:rsid w:val="00346038"/>
    <w:rsid w:val="00347012"/>
    <w:rsid w:val="003527AB"/>
    <w:rsid w:val="003537CD"/>
    <w:rsid w:val="00354A6F"/>
    <w:rsid w:val="00354FF3"/>
    <w:rsid w:val="003571BA"/>
    <w:rsid w:val="00357CFC"/>
    <w:rsid w:val="003601E0"/>
    <w:rsid w:val="0036026F"/>
    <w:rsid w:val="00362C51"/>
    <w:rsid w:val="00363033"/>
    <w:rsid w:val="00363C31"/>
    <w:rsid w:val="00363D77"/>
    <w:rsid w:val="0036468A"/>
    <w:rsid w:val="003675BD"/>
    <w:rsid w:val="00367643"/>
    <w:rsid w:val="003679BC"/>
    <w:rsid w:val="00367DDD"/>
    <w:rsid w:val="00367E51"/>
    <w:rsid w:val="0037014F"/>
    <w:rsid w:val="003706A9"/>
    <w:rsid w:val="003709EF"/>
    <w:rsid w:val="00370C01"/>
    <w:rsid w:val="003716AA"/>
    <w:rsid w:val="00372AF8"/>
    <w:rsid w:val="00375409"/>
    <w:rsid w:val="0037555C"/>
    <w:rsid w:val="003763CD"/>
    <w:rsid w:val="003768FF"/>
    <w:rsid w:val="00377268"/>
    <w:rsid w:val="00377739"/>
    <w:rsid w:val="003801C2"/>
    <w:rsid w:val="00380B22"/>
    <w:rsid w:val="003811BE"/>
    <w:rsid w:val="00382B10"/>
    <w:rsid w:val="00382DF6"/>
    <w:rsid w:val="00383BCF"/>
    <w:rsid w:val="00384C74"/>
    <w:rsid w:val="0038675A"/>
    <w:rsid w:val="00387731"/>
    <w:rsid w:val="00392175"/>
    <w:rsid w:val="00392612"/>
    <w:rsid w:val="00394715"/>
    <w:rsid w:val="00394DE1"/>
    <w:rsid w:val="003A1400"/>
    <w:rsid w:val="003A2E90"/>
    <w:rsid w:val="003A2F9D"/>
    <w:rsid w:val="003A328A"/>
    <w:rsid w:val="003A36C7"/>
    <w:rsid w:val="003A37BE"/>
    <w:rsid w:val="003A4004"/>
    <w:rsid w:val="003A509A"/>
    <w:rsid w:val="003A75D3"/>
    <w:rsid w:val="003A7DCC"/>
    <w:rsid w:val="003B0128"/>
    <w:rsid w:val="003B0F40"/>
    <w:rsid w:val="003B178C"/>
    <w:rsid w:val="003B243F"/>
    <w:rsid w:val="003B3B7E"/>
    <w:rsid w:val="003B3CB6"/>
    <w:rsid w:val="003B414C"/>
    <w:rsid w:val="003B4687"/>
    <w:rsid w:val="003B4D4B"/>
    <w:rsid w:val="003B4EFA"/>
    <w:rsid w:val="003B4FEA"/>
    <w:rsid w:val="003B50B8"/>
    <w:rsid w:val="003C270D"/>
    <w:rsid w:val="003C5827"/>
    <w:rsid w:val="003C6D2F"/>
    <w:rsid w:val="003D0AE3"/>
    <w:rsid w:val="003D103F"/>
    <w:rsid w:val="003D176A"/>
    <w:rsid w:val="003D32C9"/>
    <w:rsid w:val="003D46D0"/>
    <w:rsid w:val="003D7407"/>
    <w:rsid w:val="003E052B"/>
    <w:rsid w:val="003E0FD4"/>
    <w:rsid w:val="003E1DD9"/>
    <w:rsid w:val="003E259B"/>
    <w:rsid w:val="003E3164"/>
    <w:rsid w:val="003E3459"/>
    <w:rsid w:val="003E4CA1"/>
    <w:rsid w:val="003E5334"/>
    <w:rsid w:val="003E793E"/>
    <w:rsid w:val="003F09D6"/>
    <w:rsid w:val="003F45FB"/>
    <w:rsid w:val="003F4A17"/>
    <w:rsid w:val="003F4C37"/>
    <w:rsid w:val="003F4C62"/>
    <w:rsid w:val="003F6C67"/>
    <w:rsid w:val="003F7F45"/>
    <w:rsid w:val="003F7FDD"/>
    <w:rsid w:val="00400D5B"/>
    <w:rsid w:val="0040296B"/>
    <w:rsid w:val="00402ABC"/>
    <w:rsid w:val="00402E24"/>
    <w:rsid w:val="00404471"/>
    <w:rsid w:val="00404F18"/>
    <w:rsid w:val="00405574"/>
    <w:rsid w:val="00406DFD"/>
    <w:rsid w:val="004119EF"/>
    <w:rsid w:val="00411EF5"/>
    <w:rsid w:val="004131D7"/>
    <w:rsid w:val="0041651A"/>
    <w:rsid w:val="004200C4"/>
    <w:rsid w:val="0042155C"/>
    <w:rsid w:val="004220B3"/>
    <w:rsid w:val="0042510B"/>
    <w:rsid w:val="004260FC"/>
    <w:rsid w:val="00427EF6"/>
    <w:rsid w:val="0043070D"/>
    <w:rsid w:val="0043080D"/>
    <w:rsid w:val="0043166F"/>
    <w:rsid w:val="00434269"/>
    <w:rsid w:val="004362A8"/>
    <w:rsid w:val="004413F6"/>
    <w:rsid w:val="00441D0D"/>
    <w:rsid w:val="00442AA8"/>
    <w:rsid w:val="00442E0A"/>
    <w:rsid w:val="004431E2"/>
    <w:rsid w:val="00444464"/>
    <w:rsid w:val="00444ACE"/>
    <w:rsid w:val="0044731F"/>
    <w:rsid w:val="00450085"/>
    <w:rsid w:val="0045076A"/>
    <w:rsid w:val="004510FF"/>
    <w:rsid w:val="004515A1"/>
    <w:rsid w:val="00452E78"/>
    <w:rsid w:val="004532E8"/>
    <w:rsid w:val="00453B00"/>
    <w:rsid w:val="0045467E"/>
    <w:rsid w:val="00455D12"/>
    <w:rsid w:val="004560E5"/>
    <w:rsid w:val="00456A44"/>
    <w:rsid w:val="004614B1"/>
    <w:rsid w:val="00463F3F"/>
    <w:rsid w:val="004649EE"/>
    <w:rsid w:val="00464A14"/>
    <w:rsid w:val="0046530D"/>
    <w:rsid w:val="00465EB9"/>
    <w:rsid w:val="004663AA"/>
    <w:rsid w:val="00467292"/>
    <w:rsid w:val="0047072A"/>
    <w:rsid w:val="0047176F"/>
    <w:rsid w:val="00471AC4"/>
    <w:rsid w:val="00472010"/>
    <w:rsid w:val="00473F6D"/>
    <w:rsid w:val="00474111"/>
    <w:rsid w:val="00474210"/>
    <w:rsid w:val="00475949"/>
    <w:rsid w:val="00481C75"/>
    <w:rsid w:val="00481DC3"/>
    <w:rsid w:val="00482DD0"/>
    <w:rsid w:val="00483655"/>
    <w:rsid w:val="004842A0"/>
    <w:rsid w:val="004850D3"/>
    <w:rsid w:val="004868E1"/>
    <w:rsid w:val="00486B20"/>
    <w:rsid w:val="0048716D"/>
    <w:rsid w:val="0049100F"/>
    <w:rsid w:val="00492A5B"/>
    <w:rsid w:val="00492D88"/>
    <w:rsid w:val="00494696"/>
    <w:rsid w:val="00494C5D"/>
    <w:rsid w:val="00494FB1"/>
    <w:rsid w:val="00495610"/>
    <w:rsid w:val="00495A17"/>
    <w:rsid w:val="00496C24"/>
    <w:rsid w:val="00497599"/>
    <w:rsid w:val="00497A8E"/>
    <w:rsid w:val="004A052F"/>
    <w:rsid w:val="004A3315"/>
    <w:rsid w:val="004A35F7"/>
    <w:rsid w:val="004A370C"/>
    <w:rsid w:val="004A6AD9"/>
    <w:rsid w:val="004A6B92"/>
    <w:rsid w:val="004A6FBB"/>
    <w:rsid w:val="004A7226"/>
    <w:rsid w:val="004B1342"/>
    <w:rsid w:val="004B15B3"/>
    <w:rsid w:val="004B15BD"/>
    <w:rsid w:val="004B1E56"/>
    <w:rsid w:val="004B5CA7"/>
    <w:rsid w:val="004B69E4"/>
    <w:rsid w:val="004B73F2"/>
    <w:rsid w:val="004C09BF"/>
    <w:rsid w:val="004C0B9E"/>
    <w:rsid w:val="004C0C63"/>
    <w:rsid w:val="004C44F4"/>
    <w:rsid w:val="004C4837"/>
    <w:rsid w:val="004C7415"/>
    <w:rsid w:val="004C7A44"/>
    <w:rsid w:val="004C7A72"/>
    <w:rsid w:val="004D18F3"/>
    <w:rsid w:val="004D3CD9"/>
    <w:rsid w:val="004D45E0"/>
    <w:rsid w:val="004D71E4"/>
    <w:rsid w:val="004E0E37"/>
    <w:rsid w:val="004E1359"/>
    <w:rsid w:val="004E150A"/>
    <w:rsid w:val="004E2108"/>
    <w:rsid w:val="004E29DD"/>
    <w:rsid w:val="004E2BE5"/>
    <w:rsid w:val="004E48DC"/>
    <w:rsid w:val="004E547E"/>
    <w:rsid w:val="004E624E"/>
    <w:rsid w:val="004E68BF"/>
    <w:rsid w:val="004E6C2B"/>
    <w:rsid w:val="004E719B"/>
    <w:rsid w:val="004F1DA9"/>
    <w:rsid w:val="004F5455"/>
    <w:rsid w:val="005012D3"/>
    <w:rsid w:val="0050134A"/>
    <w:rsid w:val="0050334A"/>
    <w:rsid w:val="0050340A"/>
    <w:rsid w:val="00503D06"/>
    <w:rsid w:val="00504886"/>
    <w:rsid w:val="00505312"/>
    <w:rsid w:val="00507EDF"/>
    <w:rsid w:val="00510876"/>
    <w:rsid w:val="005143CF"/>
    <w:rsid w:val="00516354"/>
    <w:rsid w:val="00517241"/>
    <w:rsid w:val="0052025E"/>
    <w:rsid w:val="00520428"/>
    <w:rsid w:val="005206D0"/>
    <w:rsid w:val="005210D1"/>
    <w:rsid w:val="00522BD4"/>
    <w:rsid w:val="00523F38"/>
    <w:rsid w:val="00526201"/>
    <w:rsid w:val="00526FFC"/>
    <w:rsid w:val="00527641"/>
    <w:rsid w:val="0052780B"/>
    <w:rsid w:val="00527C06"/>
    <w:rsid w:val="00530061"/>
    <w:rsid w:val="00530B80"/>
    <w:rsid w:val="005319E3"/>
    <w:rsid w:val="00532B63"/>
    <w:rsid w:val="00532D1E"/>
    <w:rsid w:val="00532DB7"/>
    <w:rsid w:val="00533993"/>
    <w:rsid w:val="00534B89"/>
    <w:rsid w:val="00536D9A"/>
    <w:rsid w:val="0054093D"/>
    <w:rsid w:val="00541456"/>
    <w:rsid w:val="00544085"/>
    <w:rsid w:val="00544383"/>
    <w:rsid w:val="00545950"/>
    <w:rsid w:val="005468D4"/>
    <w:rsid w:val="0054764F"/>
    <w:rsid w:val="005522B8"/>
    <w:rsid w:val="0055245C"/>
    <w:rsid w:val="005528B3"/>
    <w:rsid w:val="0055307E"/>
    <w:rsid w:val="00553377"/>
    <w:rsid w:val="00553E30"/>
    <w:rsid w:val="00554746"/>
    <w:rsid w:val="00554F40"/>
    <w:rsid w:val="00556250"/>
    <w:rsid w:val="0055646D"/>
    <w:rsid w:val="005568DD"/>
    <w:rsid w:val="005571D2"/>
    <w:rsid w:val="00557AEC"/>
    <w:rsid w:val="00560215"/>
    <w:rsid w:val="00562484"/>
    <w:rsid w:val="00562F2C"/>
    <w:rsid w:val="0056316F"/>
    <w:rsid w:val="00563913"/>
    <w:rsid w:val="00564A09"/>
    <w:rsid w:val="00565AC2"/>
    <w:rsid w:val="0056771E"/>
    <w:rsid w:val="00570B3E"/>
    <w:rsid w:val="0057217A"/>
    <w:rsid w:val="00574F52"/>
    <w:rsid w:val="0057637F"/>
    <w:rsid w:val="005764B2"/>
    <w:rsid w:val="00576917"/>
    <w:rsid w:val="00581639"/>
    <w:rsid w:val="00581D80"/>
    <w:rsid w:val="00582323"/>
    <w:rsid w:val="00582653"/>
    <w:rsid w:val="00582A4E"/>
    <w:rsid w:val="00583BAF"/>
    <w:rsid w:val="00583FBE"/>
    <w:rsid w:val="00584684"/>
    <w:rsid w:val="00585713"/>
    <w:rsid w:val="00585819"/>
    <w:rsid w:val="00585C96"/>
    <w:rsid w:val="00585F5A"/>
    <w:rsid w:val="00586E91"/>
    <w:rsid w:val="00586FFB"/>
    <w:rsid w:val="00587E2A"/>
    <w:rsid w:val="00587F72"/>
    <w:rsid w:val="00590B33"/>
    <w:rsid w:val="00591065"/>
    <w:rsid w:val="00591234"/>
    <w:rsid w:val="005942DA"/>
    <w:rsid w:val="005946CD"/>
    <w:rsid w:val="00594F68"/>
    <w:rsid w:val="00595057"/>
    <w:rsid w:val="00597836"/>
    <w:rsid w:val="00597DA0"/>
    <w:rsid w:val="005A0BA2"/>
    <w:rsid w:val="005A4FB7"/>
    <w:rsid w:val="005A6799"/>
    <w:rsid w:val="005A6DCD"/>
    <w:rsid w:val="005A7832"/>
    <w:rsid w:val="005B07B5"/>
    <w:rsid w:val="005B0DF0"/>
    <w:rsid w:val="005B12C8"/>
    <w:rsid w:val="005B3473"/>
    <w:rsid w:val="005B4BE9"/>
    <w:rsid w:val="005B5DFF"/>
    <w:rsid w:val="005B65CA"/>
    <w:rsid w:val="005B6D9F"/>
    <w:rsid w:val="005B7088"/>
    <w:rsid w:val="005B7A69"/>
    <w:rsid w:val="005C04DA"/>
    <w:rsid w:val="005C051D"/>
    <w:rsid w:val="005C1053"/>
    <w:rsid w:val="005C18B1"/>
    <w:rsid w:val="005C5788"/>
    <w:rsid w:val="005D091E"/>
    <w:rsid w:val="005D11BF"/>
    <w:rsid w:val="005D4EB8"/>
    <w:rsid w:val="005D5672"/>
    <w:rsid w:val="005D5F5A"/>
    <w:rsid w:val="005E3791"/>
    <w:rsid w:val="005E3C4A"/>
    <w:rsid w:val="005E4C5B"/>
    <w:rsid w:val="005E52C0"/>
    <w:rsid w:val="005E5849"/>
    <w:rsid w:val="005F08B5"/>
    <w:rsid w:val="005F25A9"/>
    <w:rsid w:val="005F2934"/>
    <w:rsid w:val="005F360B"/>
    <w:rsid w:val="005F373B"/>
    <w:rsid w:val="005F5419"/>
    <w:rsid w:val="005F5B15"/>
    <w:rsid w:val="005F7163"/>
    <w:rsid w:val="00600029"/>
    <w:rsid w:val="006004DC"/>
    <w:rsid w:val="00601B4E"/>
    <w:rsid w:val="006024E2"/>
    <w:rsid w:val="0060299C"/>
    <w:rsid w:val="006030CA"/>
    <w:rsid w:val="00604308"/>
    <w:rsid w:val="006056C7"/>
    <w:rsid w:val="00610DCB"/>
    <w:rsid w:val="006164D2"/>
    <w:rsid w:val="0061697F"/>
    <w:rsid w:val="00616B16"/>
    <w:rsid w:val="0061747F"/>
    <w:rsid w:val="006174E6"/>
    <w:rsid w:val="00617BA5"/>
    <w:rsid w:val="00621A3D"/>
    <w:rsid w:val="00622AA5"/>
    <w:rsid w:val="006236DE"/>
    <w:rsid w:val="0062396F"/>
    <w:rsid w:val="00624777"/>
    <w:rsid w:val="00625C7C"/>
    <w:rsid w:val="00626608"/>
    <w:rsid w:val="00626EF9"/>
    <w:rsid w:val="00630842"/>
    <w:rsid w:val="00632DB5"/>
    <w:rsid w:val="00635136"/>
    <w:rsid w:val="00635767"/>
    <w:rsid w:val="00635B4D"/>
    <w:rsid w:val="00636577"/>
    <w:rsid w:val="00636CBD"/>
    <w:rsid w:val="00640440"/>
    <w:rsid w:val="006428FE"/>
    <w:rsid w:val="0064299A"/>
    <w:rsid w:val="0064468B"/>
    <w:rsid w:val="00645104"/>
    <w:rsid w:val="0064599E"/>
    <w:rsid w:val="00647B5A"/>
    <w:rsid w:val="00650BD6"/>
    <w:rsid w:val="00651540"/>
    <w:rsid w:val="00651947"/>
    <w:rsid w:val="00652645"/>
    <w:rsid w:val="00652908"/>
    <w:rsid w:val="006532B8"/>
    <w:rsid w:val="006534B0"/>
    <w:rsid w:val="00654289"/>
    <w:rsid w:val="006567E7"/>
    <w:rsid w:val="00656A59"/>
    <w:rsid w:val="00657493"/>
    <w:rsid w:val="006600BC"/>
    <w:rsid w:val="00661D64"/>
    <w:rsid w:val="00661E1C"/>
    <w:rsid w:val="00662C52"/>
    <w:rsid w:val="00665246"/>
    <w:rsid w:val="00667269"/>
    <w:rsid w:val="006675A0"/>
    <w:rsid w:val="00670D84"/>
    <w:rsid w:val="00672A4D"/>
    <w:rsid w:val="00674A75"/>
    <w:rsid w:val="00675217"/>
    <w:rsid w:val="006755B7"/>
    <w:rsid w:val="006772E4"/>
    <w:rsid w:val="00681064"/>
    <w:rsid w:val="00682068"/>
    <w:rsid w:val="00682136"/>
    <w:rsid w:val="0068243C"/>
    <w:rsid w:val="00684341"/>
    <w:rsid w:val="0068486D"/>
    <w:rsid w:val="00685386"/>
    <w:rsid w:val="0068750C"/>
    <w:rsid w:val="00690312"/>
    <w:rsid w:val="006905E5"/>
    <w:rsid w:val="00690AB1"/>
    <w:rsid w:val="0069173E"/>
    <w:rsid w:val="006922C5"/>
    <w:rsid w:val="006927D5"/>
    <w:rsid w:val="0069447F"/>
    <w:rsid w:val="00694CB8"/>
    <w:rsid w:val="00695462"/>
    <w:rsid w:val="006955F5"/>
    <w:rsid w:val="00695CB9"/>
    <w:rsid w:val="00696498"/>
    <w:rsid w:val="006974D7"/>
    <w:rsid w:val="00697CB0"/>
    <w:rsid w:val="006A07D3"/>
    <w:rsid w:val="006A368D"/>
    <w:rsid w:val="006A6616"/>
    <w:rsid w:val="006B0444"/>
    <w:rsid w:val="006B0B6A"/>
    <w:rsid w:val="006B248E"/>
    <w:rsid w:val="006B382B"/>
    <w:rsid w:val="006B3D8C"/>
    <w:rsid w:val="006B45AF"/>
    <w:rsid w:val="006B46F9"/>
    <w:rsid w:val="006B5E45"/>
    <w:rsid w:val="006B660B"/>
    <w:rsid w:val="006B6E24"/>
    <w:rsid w:val="006B6F0A"/>
    <w:rsid w:val="006B7883"/>
    <w:rsid w:val="006B7A33"/>
    <w:rsid w:val="006C2B86"/>
    <w:rsid w:val="006C2BE0"/>
    <w:rsid w:val="006C5D7A"/>
    <w:rsid w:val="006C7EF6"/>
    <w:rsid w:val="006D1557"/>
    <w:rsid w:val="006D1F12"/>
    <w:rsid w:val="006D2644"/>
    <w:rsid w:val="006D2B8F"/>
    <w:rsid w:val="006D2C6F"/>
    <w:rsid w:val="006D4B1B"/>
    <w:rsid w:val="006D577A"/>
    <w:rsid w:val="006D5BB3"/>
    <w:rsid w:val="006D6723"/>
    <w:rsid w:val="006D779C"/>
    <w:rsid w:val="006E22DB"/>
    <w:rsid w:val="006E3983"/>
    <w:rsid w:val="006E48AF"/>
    <w:rsid w:val="006E5640"/>
    <w:rsid w:val="006E57D4"/>
    <w:rsid w:val="006E64CB"/>
    <w:rsid w:val="006E7D43"/>
    <w:rsid w:val="006F00C8"/>
    <w:rsid w:val="006F0203"/>
    <w:rsid w:val="006F0619"/>
    <w:rsid w:val="006F082C"/>
    <w:rsid w:val="006F2260"/>
    <w:rsid w:val="006F28CB"/>
    <w:rsid w:val="006F2B74"/>
    <w:rsid w:val="006F32C4"/>
    <w:rsid w:val="006F4394"/>
    <w:rsid w:val="006F545A"/>
    <w:rsid w:val="006F6362"/>
    <w:rsid w:val="006F683A"/>
    <w:rsid w:val="006F6FDF"/>
    <w:rsid w:val="006F72E2"/>
    <w:rsid w:val="006F76DE"/>
    <w:rsid w:val="006F7ADE"/>
    <w:rsid w:val="00700F7F"/>
    <w:rsid w:val="00701245"/>
    <w:rsid w:val="007039B7"/>
    <w:rsid w:val="00703D22"/>
    <w:rsid w:val="007047E1"/>
    <w:rsid w:val="00704CFF"/>
    <w:rsid w:val="007068E8"/>
    <w:rsid w:val="007069BF"/>
    <w:rsid w:val="007070C0"/>
    <w:rsid w:val="007070E9"/>
    <w:rsid w:val="00710134"/>
    <w:rsid w:val="00710622"/>
    <w:rsid w:val="00712D7C"/>
    <w:rsid w:val="0071368C"/>
    <w:rsid w:val="00715015"/>
    <w:rsid w:val="00715578"/>
    <w:rsid w:val="00716DB8"/>
    <w:rsid w:val="00717271"/>
    <w:rsid w:val="00717680"/>
    <w:rsid w:val="007206E9"/>
    <w:rsid w:val="00720848"/>
    <w:rsid w:val="007223FB"/>
    <w:rsid w:val="007227B3"/>
    <w:rsid w:val="0072317A"/>
    <w:rsid w:val="007238A1"/>
    <w:rsid w:val="007262F5"/>
    <w:rsid w:val="00727859"/>
    <w:rsid w:val="00727ACA"/>
    <w:rsid w:val="00730DC8"/>
    <w:rsid w:val="00732138"/>
    <w:rsid w:val="00732907"/>
    <w:rsid w:val="00740391"/>
    <w:rsid w:val="00740722"/>
    <w:rsid w:val="0074129F"/>
    <w:rsid w:val="007426BE"/>
    <w:rsid w:val="00742ACF"/>
    <w:rsid w:val="00742B6A"/>
    <w:rsid w:val="007430BB"/>
    <w:rsid w:val="00747140"/>
    <w:rsid w:val="0075168D"/>
    <w:rsid w:val="00751954"/>
    <w:rsid w:val="00752473"/>
    <w:rsid w:val="00752FBB"/>
    <w:rsid w:val="007541CA"/>
    <w:rsid w:val="00756200"/>
    <w:rsid w:val="00756E39"/>
    <w:rsid w:val="00757F96"/>
    <w:rsid w:val="00760121"/>
    <w:rsid w:val="00760C8A"/>
    <w:rsid w:val="00761212"/>
    <w:rsid w:val="00761848"/>
    <w:rsid w:val="007638FE"/>
    <w:rsid w:val="00763E93"/>
    <w:rsid w:val="007642C4"/>
    <w:rsid w:val="007661DF"/>
    <w:rsid w:val="00766A77"/>
    <w:rsid w:val="0076730D"/>
    <w:rsid w:val="0077032F"/>
    <w:rsid w:val="007714E1"/>
    <w:rsid w:val="007731B9"/>
    <w:rsid w:val="00773D91"/>
    <w:rsid w:val="00773FCB"/>
    <w:rsid w:val="00777DC0"/>
    <w:rsid w:val="0078423D"/>
    <w:rsid w:val="007863A2"/>
    <w:rsid w:val="0079047D"/>
    <w:rsid w:val="007912B2"/>
    <w:rsid w:val="00792089"/>
    <w:rsid w:val="00792BDD"/>
    <w:rsid w:val="00792DE6"/>
    <w:rsid w:val="00794B05"/>
    <w:rsid w:val="0079564A"/>
    <w:rsid w:val="00795946"/>
    <w:rsid w:val="007A0C30"/>
    <w:rsid w:val="007A1A93"/>
    <w:rsid w:val="007A1DC3"/>
    <w:rsid w:val="007A3466"/>
    <w:rsid w:val="007A487D"/>
    <w:rsid w:val="007A54FD"/>
    <w:rsid w:val="007A5BF9"/>
    <w:rsid w:val="007A6A5B"/>
    <w:rsid w:val="007A7484"/>
    <w:rsid w:val="007B0FBA"/>
    <w:rsid w:val="007B517A"/>
    <w:rsid w:val="007B541E"/>
    <w:rsid w:val="007B5A5C"/>
    <w:rsid w:val="007B6571"/>
    <w:rsid w:val="007B6880"/>
    <w:rsid w:val="007B7542"/>
    <w:rsid w:val="007B7DE7"/>
    <w:rsid w:val="007C0979"/>
    <w:rsid w:val="007C0EC6"/>
    <w:rsid w:val="007C1F66"/>
    <w:rsid w:val="007C35FA"/>
    <w:rsid w:val="007C3A26"/>
    <w:rsid w:val="007C51DF"/>
    <w:rsid w:val="007C5C0C"/>
    <w:rsid w:val="007D00B0"/>
    <w:rsid w:val="007D06B7"/>
    <w:rsid w:val="007D0F23"/>
    <w:rsid w:val="007D1206"/>
    <w:rsid w:val="007D1D88"/>
    <w:rsid w:val="007D3555"/>
    <w:rsid w:val="007D4483"/>
    <w:rsid w:val="007D5979"/>
    <w:rsid w:val="007D6C02"/>
    <w:rsid w:val="007E0768"/>
    <w:rsid w:val="007E1829"/>
    <w:rsid w:val="007E1C4A"/>
    <w:rsid w:val="007E2DF1"/>
    <w:rsid w:val="007E37A6"/>
    <w:rsid w:val="007E58E7"/>
    <w:rsid w:val="007E6EEE"/>
    <w:rsid w:val="007E7546"/>
    <w:rsid w:val="007E7F60"/>
    <w:rsid w:val="007F2B88"/>
    <w:rsid w:val="007F4483"/>
    <w:rsid w:val="007F5714"/>
    <w:rsid w:val="007F5E45"/>
    <w:rsid w:val="007F6243"/>
    <w:rsid w:val="007F6A4E"/>
    <w:rsid w:val="0080120E"/>
    <w:rsid w:val="0080143A"/>
    <w:rsid w:val="0080163B"/>
    <w:rsid w:val="0080387B"/>
    <w:rsid w:val="00804B1D"/>
    <w:rsid w:val="00807EB1"/>
    <w:rsid w:val="0081419C"/>
    <w:rsid w:val="00814B71"/>
    <w:rsid w:val="008158DC"/>
    <w:rsid w:val="00815E14"/>
    <w:rsid w:val="0081676F"/>
    <w:rsid w:val="00817020"/>
    <w:rsid w:val="008205E3"/>
    <w:rsid w:val="008217BA"/>
    <w:rsid w:val="00821F01"/>
    <w:rsid w:val="008225B3"/>
    <w:rsid w:val="00826D8E"/>
    <w:rsid w:val="00827A1B"/>
    <w:rsid w:val="00827F1C"/>
    <w:rsid w:val="00830F35"/>
    <w:rsid w:val="00833639"/>
    <w:rsid w:val="00833BEC"/>
    <w:rsid w:val="00834F16"/>
    <w:rsid w:val="008367BB"/>
    <w:rsid w:val="00836E96"/>
    <w:rsid w:val="0084051A"/>
    <w:rsid w:val="008407A0"/>
    <w:rsid w:val="00840813"/>
    <w:rsid w:val="008411E1"/>
    <w:rsid w:val="0084225D"/>
    <w:rsid w:val="0084230C"/>
    <w:rsid w:val="008426AC"/>
    <w:rsid w:val="0084324A"/>
    <w:rsid w:val="00843FDE"/>
    <w:rsid w:val="0084643F"/>
    <w:rsid w:val="0084749D"/>
    <w:rsid w:val="00850B5B"/>
    <w:rsid w:val="008515B9"/>
    <w:rsid w:val="00851ABB"/>
    <w:rsid w:val="00852293"/>
    <w:rsid w:val="008532E9"/>
    <w:rsid w:val="00853300"/>
    <w:rsid w:val="0085405C"/>
    <w:rsid w:val="008554DF"/>
    <w:rsid w:val="00856415"/>
    <w:rsid w:val="00857106"/>
    <w:rsid w:val="008576F6"/>
    <w:rsid w:val="00857B02"/>
    <w:rsid w:val="00857DD0"/>
    <w:rsid w:val="00861DF2"/>
    <w:rsid w:val="00862069"/>
    <w:rsid w:val="00862846"/>
    <w:rsid w:val="008628CE"/>
    <w:rsid w:val="00863866"/>
    <w:rsid w:val="00863CEF"/>
    <w:rsid w:val="00865924"/>
    <w:rsid w:val="00866629"/>
    <w:rsid w:val="0086763D"/>
    <w:rsid w:val="00867687"/>
    <w:rsid w:val="0087029A"/>
    <w:rsid w:val="008709AD"/>
    <w:rsid w:val="008709E1"/>
    <w:rsid w:val="00871C51"/>
    <w:rsid w:val="008723ED"/>
    <w:rsid w:val="00872CC2"/>
    <w:rsid w:val="00874A0C"/>
    <w:rsid w:val="00875BB0"/>
    <w:rsid w:val="00877228"/>
    <w:rsid w:val="00883142"/>
    <w:rsid w:val="00883C0B"/>
    <w:rsid w:val="00884647"/>
    <w:rsid w:val="0088501F"/>
    <w:rsid w:val="00885225"/>
    <w:rsid w:val="00887D2E"/>
    <w:rsid w:val="0089052D"/>
    <w:rsid w:val="00890AA2"/>
    <w:rsid w:val="00890D45"/>
    <w:rsid w:val="008930A0"/>
    <w:rsid w:val="008930ED"/>
    <w:rsid w:val="00893F54"/>
    <w:rsid w:val="008950A7"/>
    <w:rsid w:val="0089543F"/>
    <w:rsid w:val="008979F3"/>
    <w:rsid w:val="00897B08"/>
    <w:rsid w:val="008A0954"/>
    <w:rsid w:val="008A26E9"/>
    <w:rsid w:val="008A5A5B"/>
    <w:rsid w:val="008A6326"/>
    <w:rsid w:val="008A633D"/>
    <w:rsid w:val="008A6DCD"/>
    <w:rsid w:val="008B0106"/>
    <w:rsid w:val="008B1454"/>
    <w:rsid w:val="008B327A"/>
    <w:rsid w:val="008B6C09"/>
    <w:rsid w:val="008B6C23"/>
    <w:rsid w:val="008B6FC4"/>
    <w:rsid w:val="008B7781"/>
    <w:rsid w:val="008C07C2"/>
    <w:rsid w:val="008C1C26"/>
    <w:rsid w:val="008C1D48"/>
    <w:rsid w:val="008C21CE"/>
    <w:rsid w:val="008C2B19"/>
    <w:rsid w:val="008C326E"/>
    <w:rsid w:val="008C3BA0"/>
    <w:rsid w:val="008C3F7E"/>
    <w:rsid w:val="008C490A"/>
    <w:rsid w:val="008C4D4B"/>
    <w:rsid w:val="008C51E8"/>
    <w:rsid w:val="008C55B4"/>
    <w:rsid w:val="008D13AE"/>
    <w:rsid w:val="008D1CBD"/>
    <w:rsid w:val="008D26CA"/>
    <w:rsid w:val="008D51BE"/>
    <w:rsid w:val="008D5D7D"/>
    <w:rsid w:val="008D6684"/>
    <w:rsid w:val="008D70CF"/>
    <w:rsid w:val="008E3B3F"/>
    <w:rsid w:val="008E4220"/>
    <w:rsid w:val="008E5C70"/>
    <w:rsid w:val="008F1020"/>
    <w:rsid w:val="008F166F"/>
    <w:rsid w:val="008F196F"/>
    <w:rsid w:val="008F22CD"/>
    <w:rsid w:val="008F33C9"/>
    <w:rsid w:val="008F4438"/>
    <w:rsid w:val="008F4B0A"/>
    <w:rsid w:val="008F4DF1"/>
    <w:rsid w:val="008F4FA6"/>
    <w:rsid w:val="008F5598"/>
    <w:rsid w:val="008F60A7"/>
    <w:rsid w:val="008F7242"/>
    <w:rsid w:val="008F7BA3"/>
    <w:rsid w:val="0090021E"/>
    <w:rsid w:val="00901011"/>
    <w:rsid w:val="00901D6F"/>
    <w:rsid w:val="0090310D"/>
    <w:rsid w:val="009037C9"/>
    <w:rsid w:val="00903AA5"/>
    <w:rsid w:val="00903EC1"/>
    <w:rsid w:val="00904684"/>
    <w:rsid w:val="00904D81"/>
    <w:rsid w:val="00906ACB"/>
    <w:rsid w:val="0090747A"/>
    <w:rsid w:val="00910504"/>
    <w:rsid w:val="00910DBF"/>
    <w:rsid w:val="00913809"/>
    <w:rsid w:val="0091405F"/>
    <w:rsid w:val="009146AA"/>
    <w:rsid w:val="00916537"/>
    <w:rsid w:val="00916DCF"/>
    <w:rsid w:val="00917017"/>
    <w:rsid w:val="0092010A"/>
    <w:rsid w:val="0092277C"/>
    <w:rsid w:val="0092293A"/>
    <w:rsid w:val="00922C50"/>
    <w:rsid w:val="00923193"/>
    <w:rsid w:val="009238DA"/>
    <w:rsid w:val="00924680"/>
    <w:rsid w:val="00925B73"/>
    <w:rsid w:val="00926161"/>
    <w:rsid w:val="00926997"/>
    <w:rsid w:val="009270D3"/>
    <w:rsid w:val="00927BCC"/>
    <w:rsid w:val="009306DC"/>
    <w:rsid w:val="00930C58"/>
    <w:rsid w:val="00930FBD"/>
    <w:rsid w:val="00931C44"/>
    <w:rsid w:val="00932794"/>
    <w:rsid w:val="009363E8"/>
    <w:rsid w:val="0093665F"/>
    <w:rsid w:val="00937824"/>
    <w:rsid w:val="0094081D"/>
    <w:rsid w:val="00940E0E"/>
    <w:rsid w:val="009419DB"/>
    <w:rsid w:val="00942055"/>
    <w:rsid w:val="009424CE"/>
    <w:rsid w:val="00942A41"/>
    <w:rsid w:val="0094387C"/>
    <w:rsid w:val="009474AD"/>
    <w:rsid w:val="00947E37"/>
    <w:rsid w:val="00951CA5"/>
    <w:rsid w:val="00951CCB"/>
    <w:rsid w:val="00952A35"/>
    <w:rsid w:val="00953BDB"/>
    <w:rsid w:val="009549E7"/>
    <w:rsid w:val="00955648"/>
    <w:rsid w:val="00957316"/>
    <w:rsid w:val="00957B45"/>
    <w:rsid w:val="00957DC6"/>
    <w:rsid w:val="009607F9"/>
    <w:rsid w:val="00961915"/>
    <w:rsid w:val="00962748"/>
    <w:rsid w:val="00963CD1"/>
    <w:rsid w:val="00966319"/>
    <w:rsid w:val="00966D3A"/>
    <w:rsid w:val="00970E16"/>
    <w:rsid w:val="00971230"/>
    <w:rsid w:val="00971EC0"/>
    <w:rsid w:val="0097299E"/>
    <w:rsid w:val="00972D4C"/>
    <w:rsid w:val="00974120"/>
    <w:rsid w:val="0097445E"/>
    <w:rsid w:val="00974DFE"/>
    <w:rsid w:val="00975267"/>
    <w:rsid w:val="009769BE"/>
    <w:rsid w:val="00976EF4"/>
    <w:rsid w:val="00977798"/>
    <w:rsid w:val="009800C5"/>
    <w:rsid w:val="009802A6"/>
    <w:rsid w:val="00981208"/>
    <w:rsid w:val="00983B3F"/>
    <w:rsid w:val="009846EA"/>
    <w:rsid w:val="00986243"/>
    <w:rsid w:val="00987B3C"/>
    <w:rsid w:val="00987C23"/>
    <w:rsid w:val="00987ED6"/>
    <w:rsid w:val="00991B6A"/>
    <w:rsid w:val="00993FFE"/>
    <w:rsid w:val="00994536"/>
    <w:rsid w:val="00994C82"/>
    <w:rsid w:val="00996F5B"/>
    <w:rsid w:val="009A0CB9"/>
    <w:rsid w:val="009A310A"/>
    <w:rsid w:val="009A3981"/>
    <w:rsid w:val="009A3E1B"/>
    <w:rsid w:val="009A423D"/>
    <w:rsid w:val="009A455A"/>
    <w:rsid w:val="009A48BF"/>
    <w:rsid w:val="009A5B97"/>
    <w:rsid w:val="009A778D"/>
    <w:rsid w:val="009B0824"/>
    <w:rsid w:val="009B2864"/>
    <w:rsid w:val="009B2CD8"/>
    <w:rsid w:val="009B63E0"/>
    <w:rsid w:val="009B6B45"/>
    <w:rsid w:val="009B7A7B"/>
    <w:rsid w:val="009C0287"/>
    <w:rsid w:val="009C0742"/>
    <w:rsid w:val="009C07FF"/>
    <w:rsid w:val="009C3DD5"/>
    <w:rsid w:val="009C3E4B"/>
    <w:rsid w:val="009C4553"/>
    <w:rsid w:val="009C4684"/>
    <w:rsid w:val="009C4D75"/>
    <w:rsid w:val="009C52FC"/>
    <w:rsid w:val="009C550C"/>
    <w:rsid w:val="009D123A"/>
    <w:rsid w:val="009D1771"/>
    <w:rsid w:val="009D21C4"/>
    <w:rsid w:val="009D26D0"/>
    <w:rsid w:val="009D54D8"/>
    <w:rsid w:val="009D68EC"/>
    <w:rsid w:val="009D6AD8"/>
    <w:rsid w:val="009D6BE6"/>
    <w:rsid w:val="009D77BA"/>
    <w:rsid w:val="009E04C7"/>
    <w:rsid w:val="009E04E4"/>
    <w:rsid w:val="009E1363"/>
    <w:rsid w:val="009E18CF"/>
    <w:rsid w:val="009E1A5D"/>
    <w:rsid w:val="009E2809"/>
    <w:rsid w:val="009E2DFE"/>
    <w:rsid w:val="009E418B"/>
    <w:rsid w:val="009E431F"/>
    <w:rsid w:val="009E4874"/>
    <w:rsid w:val="009E5A8F"/>
    <w:rsid w:val="009E6431"/>
    <w:rsid w:val="009E71FC"/>
    <w:rsid w:val="009E7336"/>
    <w:rsid w:val="009F037A"/>
    <w:rsid w:val="009F08A4"/>
    <w:rsid w:val="009F13A9"/>
    <w:rsid w:val="009F1977"/>
    <w:rsid w:val="009F200F"/>
    <w:rsid w:val="009F2242"/>
    <w:rsid w:val="009F2D59"/>
    <w:rsid w:val="009F516D"/>
    <w:rsid w:val="00A01CA8"/>
    <w:rsid w:val="00A026DF"/>
    <w:rsid w:val="00A0293D"/>
    <w:rsid w:val="00A02FA5"/>
    <w:rsid w:val="00A03169"/>
    <w:rsid w:val="00A045F7"/>
    <w:rsid w:val="00A051C2"/>
    <w:rsid w:val="00A06D89"/>
    <w:rsid w:val="00A07240"/>
    <w:rsid w:val="00A0729C"/>
    <w:rsid w:val="00A10F92"/>
    <w:rsid w:val="00A12239"/>
    <w:rsid w:val="00A12E60"/>
    <w:rsid w:val="00A13AEB"/>
    <w:rsid w:val="00A14C1B"/>
    <w:rsid w:val="00A175F0"/>
    <w:rsid w:val="00A204C4"/>
    <w:rsid w:val="00A20FCF"/>
    <w:rsid w:val="00A2174D"/>
    <w:rsid w:val="00A21F5C"/>
    <w:rsid w:val="00A22191"/>
    <w:rsid w:val="00A226C9"/>
    <w:rsid w:val="00A23F1E"/>
    <w:rsid w:val="00A24945"/>
    <w:rsid w:val="00A2571C"/>
    <w:rsid w:val="00A25C7D"/>
    <w:rsid w:val="00A271EF"/>
    <w:rsid w:val="00A30451"/>
    <w:rsid w:val="00A306C6"/>
    <w:rsid w:val="00A35D22"/>
    <w:rsid w:val="00A36151"/>
    <w:rsid w:val="00A3673F"/>
    <w:rsid w:val="00A37A4F"/>
    <w:rsid w:val="00A407E7"/>
    <w:rsid w:val="00A409F0"/>
    <w:rsid w:val="00A416F2"/>
    <w:rsid w:val="00A41964"/>
    <w:rsid w:val="00A41BA8"/>
    <w:rsid w:val="00A420B6"/>
    <w:rsid w:val="00A43729"/>
    <w:rsid w:val="00A43CF5"/>
    <w:rsid w:val="00A44182"/>
    <w:rsid w:val="00A45570"/>
    <w:rsid w:val="00A45DCC"/>
    <w:rsid w:val="00A46648"/>
    <w:rsid w:val="00A507FA"/>
    <w:rsid w:val="00A50D90"/>
    <w:rsid w:val="00A51133"/>
    <w:rsid w:val="00A5169D"/>
    <w:rsid w:val="00A53080"/>
    <w:rsid w:val="00A53F93"/>
    <w:rsid w:val="00A546E2"/>
    <w:rsid w:val="00A568BE"/>
    <w:rsid w:val="00A5757C"/>
    <w:rsid w:val="00A61C6C"/>
    <w:rsid w:val="00A61F95"/>
    <w:rsid w:val="00A6363D"/>
    <w:rsid w:val="00A63FA4"/>
    <w:rsid w:val="00A64C1C"/>
    <w:rsid w:val="00A665AD"/>
    <w:rsid w:val="00A66ACB"/>
    <w:rsid w:val="00A67FA1"/>
    <w:rsid w:val="00A72310"/>
    <w:rsid w:val="00A74B01"/>
    <w:rsid w:val="00A75DE1"/>
    <w:rsid w:val="00A761E7"/>
    <w:rsid w:val="00A800DA"/>
    <w:rsid w:val="00A80820"/>
    <w:rsid w:val="00A80A59"/>
    <w:rsid w:val="00A823F3"/>
    <w:rsid w:val="00A82EE9"/>
    <w:rsid w:val="00A83543"/>
    <w:rsid w:val="00A84773"/>
    <w:rsid w:val="00A8579E"/>
    <w:rsid w:val="00A85DF8"/>
    <w:rsid w:val="00A86515"/>
    <w:rsid w:val="00A8655B"/>
    <w:rsid w:val="00A86720"/>
    <w:rsid w:val="00A8684F"/>
    <w:rsid w:val="00A93C47"/>
    <w:rsid w:val="00A94285"/>
    <w:rsid w:val="00A9689D"/>
    <w:rsid w:val="00A97160"/>
    <w:rsid w:val="00AA1DD5"/>
    <w:rsid w:val="00AA24BA"/>
    <w:rsid w:val="00AA2516"/>
    <w:rsid w:val="00AA36AB"/>
    <w:rsid w:val="00AA54E8"/>
    <w:rsid w:val="00AB08C6"/>
    <w:rsid w:val="00AB104C"/>
    <w:rsid w:val="00AB2E5B"/>
    <w:rsid w:val="00AB33BA"/>
    <w:rsid w:val="00AB3C92"/>
    <w:rsid w:val="00AB4906"/>
    <w:rsid w:val="00AB55F4"/>
    <w:rsid w:val="00AB5B23"/>
    <w:rsid w:val="00AB6D82"/>
    <w:rsid w:val="00AB73E8"/>
    <w:rsid w:val="00AB7BBE"/>
    <w:rsid w:val="00AC29F7"/>
    <w:rsid w:val="00AC566D"/>
    <w:rsid w:val="00AC620B"/>
    <w:rsid w:val="00AD0306"/>
    <w:rsid w:val="00AD1563"/>
    <w:rsid w:val="00AD173D"/>
    <w:rsid w:val="00AD197B"/>
    <w:rsid w:val="00AD297D"/>
    <w:rsid w:val="00AD57A3"/>
    <w:rsid w:val="00AE15FA"/>
    <w:rsid w:val="00AE1651"/>
    <w:rsid w:val="00AE1EEE"/>
    <w:rsid w:val="00AE24DE"/>
    <w:rsid w:val="00AE26CC"/>
    <w:rsid w:val="00AE41AC"/>
    <w:rsid w:val="00AE527C"/>
    <w:rsid w:val="00AE5347"/>
    <w:rsid w:val="00AE5357"/>
    <w:rsid w:val="00AE5D31"/>
    <w:rsid w:val="00AE5F01"/>
    <w:rsid w:val="00AE626A"/>
    <w:rsid w:val="00AE700D"/>
    <w:rsid w:val="00AE7515"/>
    <w:rsid w:val="00AE763B"/>
    <w:rsid w:val="00AF105A"/>
    <w:rsid w:val="00AF111E"/>
    <w:rsid w:val="00AF1451"/>
    <w:rsid w:val="00AF18B0"/>
    <w:rsid w:val="00AF20C3"/>
    <w:rsid w:val="00AF2A48"/>
    <w:rsid w:val="00AF2D85"/>
    <w:rsid w:val="00AF474D"/>
    <w:rsid w:val="00AF77FE"/>
    <w:rsid w:val="00B003AE"/>
    <w:rsid w:val="00B007A8"/>
    <w:rsid w:val="00B007B9"/>
    <w:rsid w:val="00B00C93"/>
    <w:rsid w:val="00B027B1"/>
    <w:rsid w:val="00B03680"/>
    <w:rsid w:val="00B03E1B"/>
    <w:rsid w:val="00B03E39"/>
    <w:rsid w:val="00B0483C"/>
    <w:rsid w:val="00B05CF6"/>
    <w:rsid w:val="00B06E98"/>
    <w:rsid w:val="00B10CE4"/>
    <w:rsid w:val="00B12048"/>
    <w:rsid w:val="00B1355B"/>
    <w:rsid w:val="00B1466E"/>
    <w:rsid w:val="00B150D7"/>
    <w:rsid w:val="00B15FE5"/>
    <w:rsid w:val="00B16114"/>
    <w:rsid w:val="00B17702"/>
    <w:rsid w:val="00B17DF3"/>
    <w:rsid w:val="00B21CFE"/>
    <w:rsid w:val="00B21F29"/>
    <w:rsid w:val="00B244E6"/>
    <w:rsid w:val="00B255C5"/>
    <w:rsid w:val="00B274D6"/>
    <w:rsid w:val="00B2771E"/>
    <w:rsid w:val="00B32560"/>
    <w:rsid w:val="00B34614"/>
    <w:rsid w:val="00B351C7"/>
    <w:rsid w:val="00B3659B"/>
    <w:rsid w:val="00B40A21"/>
    <w:rsid w:val="00B423EE"/>
    <w:rsid w:val="00B42888"/>
    <w:rsid w:val="00B43B84"/>
    <w:rsid w:val="00B44233"/>
    <w:rsid w:val="00B44BFE"/>
    <w:rsid w:val="00B46FFB"/>
    <w:rsid w:val="00B4721A"/>
    <w:rsid w:val="00B47652"/>
    <w:rsid w:val="00B50F2A"/>
    <w:rsid w:val="00B51774"/>
    <w:rsid w:val="00B53D91"/>
    <w:rsid w:val="00B5411F"/>
    <w:rsid w:val="00B564AA"/>
    <w:rsid w:val="00B56F06"/>
    <w:rsid w:val="00B57239"/>
    <w:rsid w:val="00B61B48"/>
    <w:rsid w:val="00B61C2C"/>
    <w:rsid w:val="00B624F7"/>
    <w:rsid w:val="00B6332C"/>
    <w:rsid w:val="00B6410E"/>
    <w:rsid w:val="00B64563"/>
    <w:rsid w:val="00B65C1C"/>
    <w:rsid w:val="00B6699B"/>
    <w:rsid w:val="00B67932"/>
    <w:rsid w:val="00B71519"/>
    <w:rsid w:val="00B72DB7"/>
    <w:rsid w:val="00B734C1"/>
    <w:rsid w:val="00B7374E"/>
    <w:rsid w:val="00B73D5F"/>
    <w:rsid w:val="00B7491F"/>
    <w:rsid w:val="00B74E4B"/>
    <w:rsid w:val="00B74F0D"/>
    <w:rsid w:val="00B7663B"/>
    <w:rsid w:val="00B800C3"/>
    <w:rsid w:val="00B82999"/>
    <w:rsid w:val="00B846B8"/>
    <w:rsid w:val="00B8476C"/>
    <w:rsid w:val="00B84FCD"/>
    <w:rsid w:val="00B85668"/>
    <w:rsid w:val="00B877EE"/>
    <w:rsid w:val="00B90CAE"/>
    <w:rsid w:val="00B91A77"/>
    <w:rsid w:val="00B92365"/>
    <w:rsid w:val="00B9312F"/>
    <w:rsid w:val="00B936B7"/>
    <w:rsid w:val="00B9471D"/>
    <w:rsid w:val="00B94C58"/>
    <w:rsid w:val="00B94F4E"/>
    <w:rsid w:val="00B956A9"/>
    <w:rsid w:val="00B9597B"/>
    <w:rsid w:val="00B966F8"/>
    <w:rsid w:val="00B96903"/>
    <w:rsid w:val="00B970DD"/>
    <w:rsid w:val="00BA2321"/>
    <w:rsid w:val="00BA3E40"/>
    <w:rsid w:val="00BA40BF"/>
    <w:rsid w:val="00BA46C3"/>
    <w:rsid w:val="00BA4AAC"/>
    <w:rsid w:val="00BA62F8"/>
    <w:rsid w:val="00BA6390"/>
    <w:rsid w:val="00BA646F"/>
    <w:rsid w:val="00BA68A0"/>
    <w:rsid w:val="00BA6AEA"/>
    <w:rsid w:val="00BB0019"/>
    <w:rsid w:val="00BB0CF3"/>
    <w:rsid w:val="00BB1062"/>
    <w:rsid w:val="00BB1071"/>
    <w:rsid w:val="00BB1332"/>
    <w:rsid w:val="00BB15A4"/>
    <w:rsid w:val="00BB163B"/>
    <w:rsid w:val="00BB19AE"/>
    <w:rsid w:val="00BB3999"/>
    <w:rsid w:val="00BB3A83"/>
    <w:rsid w:val="00BB44AF"/>
    <w:rsid w:val="00BB6950"/>
    <w:rsid w:val="00BC0517"/>
    <w:rsid w:val="00BC0F65"/>
    <w:rsid w:val="00BC3580"/>
    <w:rsid w:val="00BC4674"/>
    <w:rsid w:val="00BC5328"/>
    <w:rsid w:val="00BC6879"/>
    <w:rsid w:val="00BC74AE"/>
    <w:rsid w:val="00BC7F5B"/>
    <w:rsid w:val="00BD09C8"/>
    <w:rsid w:val="00BD0BD3"/>
    <w:rsid w:val="00BD18E9"/>
    <w:rsid w:val="00BD1F70"/>
    <w:rsid w:val="00BD293C"/>
    <w:rsid w:val="00BD29E4"/>
    <w:rsid w:val="00BD2AC1"/>
    <w:rsid w:val="00BD655F"/>
    <w:rsid w:val="00BD6ADB"/>
    <w:rsid w:val="00BD7536"/>
    <w:rsid w:val="00BD7DD2"/>
    <w:rsid w:val="00BE1101"/>
    <w:rsid w:val="00BE15A9"/>
    <w:rsid w:val="00BE17F0"/>
    <w:rsid w:val="00BE1D61"/>
    <w:rsid w:val="00BE2F0C"/>
    <w:rsid w:val="00BE3BA9"/>
    <w:rsid w:val="00BE5090"/>
    <w:rsid w:val="00BE6903"/>
    <w:rsid w:val="00BE6998"/>
    <w:rsid w:val="00BE73B5"/>
    <w:rsid w:val="00BE7DD7"/>
    <w:rsid w:val="00BF1317"/>
    <w:rsid w:val="00BF1735"/>
    <w:rsid w:val="00BF1C52"/>
    <w:rsid w:val="00BF339F"/>
    <w:rsid w:val="00BF6659"/>
    <w:rsid w:val="00BF69D8"/>
    <w:rsid w:val="00BF734A"/>
    <w:rsid w:val="00BF7D40"/>
    <w:rsid w:val="00C02C65"/>
    <w:rsid w:val="00C03127"/>
    <w:rsid w:val="00C03B2E"/>
    <w:rsid w:val="00C04576"/>
    <w:rsid w:val="00C05F79"/>
    <w:rsid w:val="00C06B14"/>
    <w:rsid w:val="00C06FD7"/>
    <w:rsid w:val="00C07778"/>
    <w:rsid w:val="00C10772"/>
    <w:rsid w:val="00C12F6C"/>
    <w:rsid w:val="00C1375D"/>
    <w:rsid w:val="00C14A5F"/>
    <w:rsid w:val="00C14E22"/>
    <w:rsid w:val="00C15C64"/>
    <w:rsid w:val="00C16E37"/>
    <w:rsid w:val="00C17139"/>
    <w:rsid w:val="00C20CA4"/>
    <w:rsid w:val="00C217EE"/>
    <w:rsid w:val="00C21C1F"/>
    <w:rsid w:val="00C21CC2"/>
    <w:rsid w:val="00C22B49"/>
    <w:rsid w:val="00C26061"/>
    <w:rsid w:val="00C268F5"/>
    <w:rsid w:val="00C27A1F"/>
    <w:rsid w:val="00C30431"/>
    <w:rsid w:val="00C31E8C"/>
    <w:rsid w:val="00C335CA"/>
    <w:rsid w:val="00C33868"/>
    <w:rsid w:val="00C3504B"/>
    <w:rsid w:val="00C3698D"/>
    <w:rsid w:val="00C36E35"/>
    <w:rsid w:val="00C37E14"/>
    <w:rsid w:val="00C40632"/>
    <w:rsid w:val="00C422A8"/>
    <w:rsid w:val="00C42869"/>
    <w:rsid w:val="00C43875"/>
    <w:rsid w:val="00C43984"/>
    <w:rsid w:val="00C442A5"/>
    <w:rsid w:val="00C4557F"/>
    <w:rsid w:val="00C4684D"/>
    <w:rsid w:val="00C5072B"/>
    <w:rsid w:val="00C53B72"/>
    <w:rsid w:val="00C5474A"/>
    <w:rsid w:val="00C55AA3"/>
    <w:rsid w:val="00C57947"/>
    <w:rsid w:val="00C60972"/>
    <w:rsid w:val="00C61AD6"/>
    <w:rsid w:val="00C61C7B"/>
    <w:rsid w:val="00C63778"/>
    <w:rsid w:val="00C63B6B"/>
    <w:rsid w:val="00C63CC5"/>
    <w:rsid w:val="00C64BE9"/>
    <w:rsid w:val="00C655BB"/>
    <w:rsid w:val="00C65D6C"/>
    <w:rsid w:val="00C676D5"/>
    <w:rsid w:val="00C738A7"/>
    <w:rsid w:val="00C73B36"/>
    <w:rsid w:val="00C74A91"/>
    <w:rsid w:val="00C75C55"/>
    <w:rsid w:val="00C7643F"/>
    <w:rsid w:val="00C7783C"/>
    <w:rsid w:val="00C80449"/>
    <w:rsid w:val="00C80457"/>
    <w:rsid w:val="00C80BAF"/>
    <w:rsid w:val="00C80BD7"/>
    <w:rsid w:val="00C80CE2"/>
    <w:rsid w:val="00C80F62"/>
    <w:rsid w:val="00C848D2"/>
    <w:rsid w:val="00C86280"/>
    <w:rsid w:val="00C86B3D"/>
    <w:rsid w:val="00C86DF5"/>
    <w:rsid w:val="00C876DD"/>
    <w:rsid w:val="00C901D1"/>
    <w:rsid w:val="00C90794"/>
    <w:rsid w:val="00C917A1"/>
    <w:rsid w:val="00C923C3"/>
    <w:rsid w:val="00C9318C"/>
    <w:rsid w:val="00C93632"/>
    <w:rsid w:val="00C94712"/>
    <w:rsid w:val="00C97206"/>
    <w:rsid w:val="00C97C50"/>
    <w:rsid w:val="00CA0221"/>
    <w:rsid w:val="00CA059E"/>
    <w:rsid w:val="00CA5F99"/>
    <w:rsid w:val="00CA6411"/>
    <w:rsid w:val="00CA65A3"/>
    <w:rsid w:val="00CB147C"/>
    <w:rsid w:val="00CB19E3"/>
    <w:rsid w:val="00CB1B61"/>
    <w:rsid w:val="00CB2099"/>
    <w:rsid w:val="00CB22BC"/>
    <w:rsid w:val="00CB31E9"/>
    <w:rsid w:val="00CB32FE"/>
    <w:rsid w:val="00CB3731"/>
    <w:rsid w:val="00CB42BE"/>
    <w:rsid w:val="00CB46F1"/>
    <w:rsid w:val="00CB5C9E"/>
    <w:rsid w:val="00CB64CE"/>
    <w:rsid w:val="00CC1CC8"/>
    <w:rsid w:val="00CC1CF7"/>
    <w:rsid w:val="00CC2127"/>
    <w:rsid w:val="00CC22A0"/>
    <w:rsid w:val="00CC24D9"/>
    <w:rsid w:val="00CC4248"/>
    <w:rsid w:val="00CC425F"/>
    <w:rsid w:val="00CC4B1F"/>
    <w:rsid w:val="00CC5709"/>
    <w:rsid w:val="00CD10C3"/>
    <w:rsid w:val="00CD1569"/>
    <w:rsid w:val="00CD23A0"/>
    <w:rsid w:val="00CD250E"/>
    <w:rsid w:val="00CD25F1"/>
    <w:rsid w:val="00CD33C4"/>
    <w:rsid w:val="00CD4145"/>
    <w:rsid w:val="00CD48E7"/>
    <w:rsid w:val="00CD4DDA"/>
    <w:rsid w:val="00CD4E3C"/>
    <w:rsid w:val="00CD6A9F"/>
    <w:rsid w:val="00CD6C72"/>
    <w:rsid w:val="00CD7ABA"/>
    <w:rsid w:val="00CD7E87"/>
    <w:rsid w:val="00CE0CCC"/>
    <w:rsid w:val="00CE2CED"/>
    <w:rsid w:val="00CE326D"/>
    <w:rsid w:val="00CE3682"/>
    <w:rsid w:val="00CE3D39"/>
    <w:rsid w:val="00CE3EE2"/>
    <w:rsid w:val="00CE618E"/>
    <w:rsid w:val="00CE682E"/>
    <w:rsid w:val="00CE7465"/>
    <w:rsid w:val="00CF2191"/>
    <w:rsid w:val="00CF298C"/>
    <w:rsid w:val="00CF2A3B"/>
    <w:rsid w:val="00CF2DD6"/>
    <w:rsid w:val="00CF3AC1"/>
    <w:rsid w:val="00CF49D4"/>
    <w:rsid w:val="00CF6095"/>
    <w:rsid w:val="00CF712D"/>
    <w:rsid w:val="00D0009E"/>
    <w:rsid w:val="00D007EA"/>
    <w:rsid w:val="00D00CED"/>
    <w:rsid w:val="00D02BBB"/>
    <w:rsid w:val="00D03A8C"/>
    <w:rsid w:val="00D054C1"/>
    <w:rsid w:val="00D0573B"/>
    <w:rsid w:val="00D06888"/>
    <w:rsid w:val="00D073CA"/>
    <w:rsid w:val="00D07D95"/>
    <w:rsid w:val="00D07FAD"/>
    <w:rsid w:val="00D101BF"/>
    <w:rsid w:val="00D10D7E"/>
    <w:rsid w:val="00D117EF"/>
    <w:rsid w:val="00D11CD0"/>
    <w:rsid w:val="00D13259"/>
    <w:rsid w:val="00D13342"/>
    <w:rsid w:val="00D141B1"/>
    <w:rsid w:val="00D16690"/>
    <w:rsid w:val="00D16E5B"/>
    <w:rsid w:val="00D17503"/>
    <w:rsid w:val="00D206F0"/>
    <w:rsid w:val="00D2121F"/>
    <w:rsid w:val="00D2178E"/>
    <w:rsid w:val="00D218BD"/>
    <w:rsid w:val="00D2346F"/>
    <w:rsid w:val="00D30D81"/>
    <w:rsid w:val="00D31E91"/>
    <w:rsid w:val="00D3286E"/>
    <w:rsid w:val="00D34721"/>
    <w:rsid w:val="00D34DE3"/>
    <w:rsid w:val="00D35684"/>
    <w:rsid w:val="00D35920"/>
    <w:rsid w:val="00D35A56"/>
    <w:rsid w:val="00D36AA3"/>
    <w:rsid w:val="00D37200"/>
    <w:rsid w:val="00D37E81"/>
    <w:rsid w:val="00D404AF"/>
    <w:rsid w:val="00D407D0"/>
    <w:rsid w:val="00D4136F"/>
    <w:rsid w:val="00D44552"/>
    <w:rsid w:val="00D44F2E"/>
    <w:rsid w:val="00D453E1"/>
    <w:rsid w:val="00D51352"/>
    <w:rsid w:val="00D51354"/>
    <w:rsid w:val="00D517E4"/>
    <w:rsid w:val="00D51E51"/>
    <w:rsid w:val="00D52544"/>
    <w:rsid w:val="00D5462E"/>
    <w:rsid w:val="00D550F3"/>
    <w:rsid w:val="00D55B36"/>
    <w:rsid w:val="00D57468"/>
    <w:rsid w:val="00D60DB0"/>
    <w:rsid w:val="00D61CC5"/>
    <w:rsid w:val="00D61EC8"/>
    <w:rsid w:val="00D62FE5"/>
    <w:rsid w:val="00D63329"/>
    <w:rsid w:val="00D63BEC"/>
    <w:rsid w:val="00D64E02"/>
    <w:rsid w:val="00D65AC0"/>
    <w:rsid w:val="00D65BA4"/>
    <w:rsid w:val="00D666BB"/>
    <w:rsid w:val="00D67636"/>
    <w:rsid w:val="00D67BEB"/>
    <w:rsid w:val="00D7186D"/>
    <w:rsid w:val="00D71921"/>
    <w:rsid w:val="00D72634"/>
    <w:rsid w:val="00D7273B"/>
    <w:rsid w:val="00D7302B"/>
    <w:rsid w:val="00D746EC"/>
    <w:rsid w:val="00D748AB"/>
    <w:rsid w:val="00D7537E"/>
    <w:rsid w:val="00D80199"/>
    <w:rsid w:val="00D805B3"/>
    <w:rsid w:val="00D815AA"/>
    <w:rsid w:val="00D832F4"/>
    <w:rsid w:val="00D843CF"/>
    <w:rsid w:val="00D852F8"/>
    <w:rsid w:val="00D854C4"/>
    <w:rsid w:val="00D86339"/>
    <w:rsid w:val="00D86516"/>
    <w:rsid w:val="00D8688A"/>
    <w:rsid w:val="00D86EE4"/>
    <w:rsid w:val="00D87813"/>
    <w:rsid w:val="00D87E53"/>
    <w:rsid w:val="00D87EA7"/>
    <w:rsid w:val="00D90FFB"/>
    <w:rsid w:val="00D91277"/>
    <w:rsid w:val="00D91FD4"/>
    <w:rsid w:val="00D96CF0"/>
    <w:rsid w:val="00D97A01"/>
    <w:rsid w:val="00DA0D76"/>
    <w:rsid w:val="00DA1311"/>
    <w:rsid w:val="00DA149C"/>
    <w:rsid w:val="00DA404E"/>
    <w:rsid w:val="00DA487A"/>
    <w:rsid w:val="00DA602D"/>
    <w:rsid w:val="00DA63F7"/>
    <w:rsid w:val="00DA709D"/>
    <w:rsid w:val="00DA75AF"/>
    <w:rsid w:val="00DB0F12"/>
    <w:rsid w:val="00DB40AD"/>
    <w:rsid w:val="00DB4F0A"/>
    <w:rsid w:val="00DB60D9"/>
    <w:rsid w:val="00DB6C30"/>
    <w:rsid w:val="00DB7DB8"/>
    <w:rsid w:val="00DC169E"/>
    <w:rsid w:val="00DC2955"/>
    <w:rsid w:val="00DC2EDE"/>
    <w:rsid w:val="00DC34EC"/>
    <w:rsid w:val="00DC36B2"/>
    <w:rsid w:val="00DC4D01"/>
    <w:rsid w:val="00DD132D"/>
    <w:rsid w:val="00DD25A8"/>
    <w:rsid w:val="00DD38C7"/>
    <w:rsid w:val="00DD39D8"/>
    <w:rsid w:val="00DD4D19"/>
    <w:rsid w:val="00DD64EF"/>
    <w:rsid w:val="00DD65F1"/>
    <w:rsid w:val="00DE17BE"/>
    <w:rsid w:val="00DE1AEA"/>
    <w:rsid w:val="00DE5904"/>
    <w:rsid w:val="00DE5A31"/>
    <w:rsid w:val="00DE6265"/>
    <w:rsid w:val="00DE7AA2"/>
    <w:rsid w:val="00DE7D14"/>
    <w:rsid w:val="00DF22EB"/>
    <w:rsid w:val="00DF2794"/>
    <w:rsid w:val="00DF2A24"/>
    <w:rsid w:val="00DF2BBF"/>
    <w:rsid w:val="00DF3DBF"/>
    <w:rsid w:val="00DF4127"/>
    <w:rsid w:val="00DF441B"/>
    <w:rsid w:val="00DF4651"/>
    <w:rsid w:val="00DF46C4"/>
    <w:rsid w:val="00DF52E4"/>
    <w:rsid w:val="00DF78B7"/>
    <w:rsid w:val="00E00888"/>
    <w:rsid w:val="00E01108"/>
    <w:rsid w:val="00E032FD"/>
    <w:rsid w:val="00E03308"/>
    <w:rsid w:val="00E044E5"/>
    <w:rsid w:val="00E0451B"/>
    <w:rsid w:val="00E0509D"/>
    <w:rsid w:val="00E0536C"/>
    <w:rsid w:val="00E07834"/>
    <w:rsid w:val="00E10F3E"/>
    <w:rsid w:val="00E130C6"/>
    <w:rsid w:val="00E14B4F"/>
    <w:rsid w:val="00E16079"/>
    <w:rsid w:val="00E16817"/>
    <w:rsid w:val="00E16AA6"/>
    <w:rsid w:val="00E219E0"/>
    <w:rsid w:val="00E23EE8"/>
    <w:rsid w:val="00E26349"/>
    <w:rsid w:val="00E26813"/>
    <w:rsid w:val="00E27823"/>
    <w:rsid w:val="00E27D6F"/>
    <w:rsid w:val="00E30E6E"/>
    <w:rsid w:val="00E31F09"/>
    <w:rsid w:val="00E32D49"/>
    <w:rsid w:val="00E33318"/>
    <w:rsid w:val="00E357FF"/>
    <w:rsid w:val="00E35977"/>
    <w:rsid w:val="00E35A49"/>
    <w:rsid w:val="00E360F3"/>
    <w:rsid w:val="00E36B08"/>
    <w:rsid w:val="00E36D2A"/>
    <w:rsid w:val="00E413B3"/>
    <w:rsid w:val="00E43071"/>
    <w:rsid w:val="00E43D10"/>
    <w:rsid w:val="00E44851"/>
    <w:rsid w:val="00E452F7"/>
    <w:rsid w:val="00E45460"/>
    <w:rsid w:val="00E45642"/>
    <w:rsid w:val="00E45ECE"/>
    <w:rsid w:val="00E464EB"/>
    <w:rsid w:val="00E46BD0"/>
    <w:rsid w:val="00E47011"/>
    <w:rsid w:val="00E47622"/>
    <w:rsid w:val="00E52035"/>
    <w:rsid w:val="00E53C9E"/>
    <w:rsid w:val="00E53CFB"/>
    <w:rsid w:val="00E54138"/>
    <w:rsid w:val="00E54456"/>
    <w:rsid w:val="00E5482B"/>
    <w:rsid w:val="00E549FD"/>
    <w:rsid w:val="00E559EA"/>
    <w:rsid w:val="00E55C88"/>
    <w:rsid w:val="00E55C91"/>
    <w:rsid w:val="00E56623"/>
    <w:rsid w:val="00E60CB1"/>
    <w:rsid w:val="00E610CB"/>
    <w:rsid w:val="00E611E6"/>
    <w:rsid w:val="00E61647"/>
    <w:rsid w:val="00E62768"/>
    <w:rsid w:val="00E630FA"/>
    <w:rsid w:val="00E6348E"/>
    <w:rsid w:val="00E63633"/>
    <w:rsid w:val="00E64FD1"/>
    <w:rsid w:val="00E659A8"/>
    <w:rsid w:val="00E660A2"/>
    <w:rsid w:val="00E66B21"/>
    <w:rsid w:val="00E67053"/>
    <w:rsid w:val="00E677A4"/>
    <w:rsid w:val="00E7027B"/>
    <w:rsid w:val="00E70ACD"/>
    <w:rsid w:val="00E71959"/>
    <w:rsid w:val="00E7261A"/>
    <w:rsid w:val="00E7461A"/>
    <w:rsid w:val="00E77A95"/>
    <w:rsid w:val="00E80689"/>
    <w:rsid w:val="00E8147A"/>
    <w:rsid w:val="00E8153C"/>
    <w:rsid w:val="00E8225E"/>
    <w:rsid w:val="00E82364"/>
    <w:rsid w:val="00E827D6"/>
    <w:rsid w:val="00E83A5E"/>
    <w:rsid w:val="00E84C75"/>
    <w:rsid w:val="00E84E65"/>
    <w:rsid w:val="00E8534C"/>
    <w:rsid w:val="00E86197"/>
    <w:rsid w:val="00E87176"/>
    <w:rsid w:val="00E90AEF"/>
    <w:rsid w:val="00E90E8E"/>
    <w:rsid w:val="00E91077"/>
    <w:rsid w:val="00E92A32"/>
    <w:rsid w:val="00E93219"/>
    <w:rsid w:val="00E936A8"/>
    <w:rsid w:val="00E94672"/>
    <w:rsid w:val="00E96D2B"/>
    <w:rsid w:val="00E97E1C"/>
    <w:rsid w:val="00E97FFA"/>
    <w:rsid w:val="00EA0125"/>
    <w:rsid w:val="00EA1A2B"/>
    <w:rsid w:val="00EA1EC7"/>
    <w:rsid w:val="00EA2FE4"/>
    <w:rsid w:val="00EA5577"/>
    <w:rsid w:val="00EA70B1"/>
    <w:rsid w:val="00EA723A"/>
    <w:rsid w:val="00EB036D"/>
    <w:rsid w:val="00EB1E64"/>
    <w:rsid w:val="00EB4EBB"/>
    <w:rsid w:val="00EB6808"/>
    <w:rsid w:val="00EC1193"/>
    <w:rsid w:val="00EC1494"/>
    <w:rsid w:val="00EC2266"/>
    <w:rsid w:val="00EC3846"/>
    <w:rsid w:val="00EC3B42"/>
    <w:rsid w:val="00EC4E2F"/>
    <w:rsid w:val="00EC68A9"/>
    <w:rsid w:val="00EC7060"/>
    <w:rsid w:val="00EC708D"/>
    <w:rsid w:val="00EC745D"/>
    <w:rsid w:val="00EC7BBB"/>
    <w:rsid w:val="00ED05BD"/>
    <w:rsid w:val="00ED092C"/>
    <w:rsid w:val="00ED0EE3"/>
    <w:rsid w:val="00ED4D4C"/>
    <w:rsid w:val="00ED5794"/>
    <w:rsid w:val="00ED684F"/>
    <w:rsid w:val="00ED6DE8"/>
    <w:rsid w:val="00EE057C"/>
    <w:rsid w:val="00EE1145"/>
    <w:rsid w:val="00EE12E1"/>
    <w:rsid w:val="00EE3B09"/>
    <w:rsid w:val="00EE403D"/>
    <w:rsid w:val="00EE55F1"/>
    <w:rsid w:val="00EE65A3"/>
    <w:rsid w:val="00EE6E7D"/>
    <w:rsid w:val="00EE791D"/>
    <w:rsid w:val="00EE7CA7"/>
    <w:rsid w:val="00EF1C2F"/>
    <w:rsid w:val="00EF3904"/>
    <w:rsid w:val="00EF53BB"/>
    <w:rsid w:val="00EF5A5E"/>
    <w:rsid w:val="00EF5A75"/>
    <w:rsid w:val="00EF5C9E"/>
    <w:rsid w:val="00EF6EFB"/>
    <w:rsid w:val="00EF6F18"/>
    <w:rsid w:val="00EF702D"/>
    <w:rsid w:val="00EF73D4"/>
    <w:rsid w:val="00F01A9F"/>
    <w:rsid w:val="00F0346C"/>
    <w:rsid w:val="00F039FD"/>
    <w:rsid w:val="00F042AE"/>
    <w:rsid w:val="00F06596"/>
    <w:rsid w:val="00F0712D"/>
    <w:rsid w:val="00F0716C"/>
    <w:rsid w:val="00F07493"/>
    <w:rsid w:val="00F07CA5"/>
    <w:rsid w:val="00F11623"/>
    <w:rsid w:val="00F125AE"/>
    <w:rsid w:val="00F14A76"/>
    <w:rsid w:val="00F152C9"/>
    <w:rsid w:val="00F15427"/>
    <w:rsid w:val="00F167B5"/>
    <w:rsid w:val="00F16BBE"/>
    <w:rsid w:val="00F1745F"/>
    <w:rsid w:val="00F22334"/>
    <w:rsid w:val="00F22AA1"/>
    <w:rsid w:val="00F2352F"/>
    <w:rsid w:val="00F24D71"/>
    <w:rsid w:val="00F273F7"/>
    <w:rsid w:val="00F30B34"/>
    <w:rsid w:val="00F317FB"/>
    <w:rsid w:val="00F31E1A"/>
    <w:rsid w:val="00F3273C"/>
    <w:rsid w:val="00F32BC7"/>
    <w:rsid w:val="00F3383A"/>
    <w:rsid w:val="00F33B26"/>
    <w:rsid w:val="00F3403A"/>
    <w:rsid w:val="00F373ED"/>
    <w:rsid w:val="00F40104"/>
    <w:rsid w:val="00F4154B"/>
    <w:rsid w:val="00F422B6"/>
    <w:rsid w:val="00F42362"/>
    <w:rsid w:val="00F445F6"/>
    <w:rsid w:val="00F44B79"/>
    <w:rsid w:val="00F47B1C"/>
    <w:rsid w:val="00F517E2"/>
    <w:rsid w:val="00F519F3"/>
    <w:rsid w:val="00F51D37"/>
    <w:rsid w:val="00F52E25"/>
    <w:rsid w:val="00F54379"/>
    <w:rsid w:val="00F5451A"/>
    <w:rsid w:val="00F54C34"/>
    <w:rsid w:val="00F54FC7"/>
    <w:rsid w:val="00F5620A"/>
    <w:rsid w:val="00F56B1A"/>
    <w:rsid w:val="00F56BC7"/>
    <w:rsid w:val="00F57C3D"/>
    <w:rsid w:val="00F6089B"/>
    <w:rsid w:val="00F65424"/>
    <w:rsid w:val="00F66CF4"/>
    <w:rsid w:val="00F66F40"/>
    <w:rsid w:val="00F70885"/>
    <w:rsid w:val="00F71E66"/>
    <w:rsid w:val="00F722E4"/>
    <w:rsid w:val="00F72567"/>
    <w:rsid w:val="00F73285"/>
    <w:rsid w:val="00F737DF"/>
    <w:rsid w:val="00F7388B"/>
    <w:rsid w:val="00F7462D"/>
    <w:rsid w:val="00F74990"/>
    <w:rsid w:val="00F76455"/>
    <w:rsid w:val="00F818EC"/>
    <w:rsid w:val="00F82857"/>
    <w:rsid w:val="00F831D1"/>
    <w:rsid w:val="00F851F1"/>
    <w:rsid w:val="00F863D7"/>
    <w:rsid w:val="00F86B8C"/>
    <w:rsid w:val="00F9053C"/>
    <w:rsid w:val="00F913FC"/>
    <w:rsid w:val="00F919A6"/>
    <w:rsid w:val="00F92369"/>
    <w:rsid w:val="00F92698"/>
    <w:rsid w:val="00F92AF5"/>
    <w:rsid w:val="00F9365F"/>
    <w:rsid w:val="00F936EC"/>
    <w:rsid w:val="00F94268"/>
    <w:rsid w:val="00F946B8"/>
    <w:rsid w:val="00F94A33"/>
    <w:rsid w:val="00F96FA4"/>
    <w:rsid w:val="00F97761"/>
    <w:rsid w:val="00FA04E0"/>
    <w:rsid w:val="00FA065B"/>
    <w:rsid w:val="00FA103E"/>
    <w:rsid w:val="00FA18A2"/>
    <w:rsid w:val="00FA3A0F"/>
    <w:rsid w:val="00FA3CD1"/>
    <w:rsid w:val="00FA3F97"/>
    <w:rsid w:val="00FA52D8"/>
    <w:rsid w:val="00FA710A"/>
    <w:rsid w:val="00FA7313"/>
    <w:rsid w:val="00FB18B5"/>
    <w:rsid w:val="00FB1D9E"/>
    <w:rsid w:val="00FB30D2"/>
    <w:rsid w:val="00FB3294"/>
    <w:rsid w:val="00FB3858"/>
    <w:rsid w:val="00FB3FF6"/>
    <w:rsid w:val="00FB4D38"/>
    <w:rsid w:val="00FB60AF"/>
    <w:rsid w:val="00FB6A52"/>
    <w:rsid w:val="00FB6BAB"/>
    <w:rsid w:val="00FB6E8D"/>
    <w:rsid w:val="00FB7E45"/>
    <w:rsid w:val="00FC06DA"/>
    <w:rsid w:val="00FC0A9F"/>
    <w:rsid w:val="00FC34BB"/>
    <w:rsid w:val="00FC4BC0"/>
    <w:rsid w:val="00FC4F43"/>
    <w:rsid w:val="00FC6EC1"/>
    <w:rsid w:val="00FD16DF"/>
    <w:rsid w:val="00FD2546"/>
    <w:rsid w:val="00FD2796"/>
    <w:rsid w:val="00FD314C"/>
    <w:rsid w:val="00FD448B"/>
    <w:rsid w:val="00FD4B00"/>
    <w:rsid w:val="00FD4E7F"/>
    <w:rsid w:val="00FD5F24"/>
    <w:rsid w:val="00FD63AB"/>
    <w:rsid w:val="00FD76C9"/>
    <w:rsid w:val="00FE2F08"/>
    <w:rsid w:val="00FE2FE1"/>
    <w:rsid w:val="00FE5BBB"/>
    <w:rsid w:val="00FE5EA0"/>
    <w:rsid w:val="00FE5F7B"/>
    <w:rsid w:val="00FE60CE"/>
    <w:rsid w:val="00FE6D4C"/>
    <w:rsid w:val="00FF07E8"/>
    <w:rsid w:val="00FF0EE5"/>
    <w:rsid w:val="00FF12E1"/>
    <w:rsid w:val="00FF2758"/>
    <w:rsid w:val="00FF5AF0"/>
    <w:rsid w:val="00FF6379"/>
    <w:rsid w:val="00FF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FBF27"/>
  <w15:docId w15:val="{B9EBCE1B-D011-4FED-AE8B-8ACD4AB9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pPr>
        <w:spacing w:after="60"/>
        <w:ind w:left="1152" w:hanging="360"/>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06DFD"/>
    <w:rPr>
      <w:rFonts w:ascii="Adobe Garamond Pro" w:hAnsi="Adobe Garamond Pro"/>
      <w:szCs w:val="22"/>
      <w:lang w:bidi="en-US"/>
    </w:rPr>
  </w:style>
  <w:style w:type="paragraph" w:styleId="Heading1">
    <w:name w:val="heading 1"/>
    <w:basedOn w:val="Normal"/>
    <w:next w:val="Normal"/>
    <w:link w:val="Heading1Char"/>
    <w:qFormat/>
    <w:rsid w:val="00C9318C"/>
    <w:pPr>
      <w:spacing w:before="480" w:after="0" w:line="360" w:lineRule="auto"/>
      <w:ind w:left="360"/>
      <w:contextualSpacing/>
      <w:outlineLvl w:val="0"/>
    </w:pPr>
    <w:rPr>
      <w:rFonts w:ascii="Franklin Gothic Medium" w:hAnsi="Franklin Gothic Medium"/>
      <w:bCs/>
      <w:color w:val="005F86"/>
      <w:sz w:val="32"/>
      <w:szCs w:val="28"/>
    </w:rPr>
  </w:style>
  <w:style w:type="paragraph" w:styleId="Heading2">
    <w:name w:val="heading 2"/>
    <w:basedOn w:val="Normal"/>
    <w:next w:val="Normal"/>
    <w:link w:val="Heading2Char"/>
    <w:qFormat/>
    <w:rsid w:val="009E71FC"/>
    <w:pPr>
      <w:spacing w:before="200" w:after="0" w:line="360" w:lineRule="auto"/>
      <w:ind w:left="0" w:firstLine="432"/>
      <w:outlineLvl w:val="1"/>
    </w:pPr>
    <w:rPr>
      <w:rFonts w:ascii="Franklin Gothic Demi Cond" w:hAnsi="Franklin Gothic Demi Cond"/>
      <w:bCs/>
      <w:color w:val="005F86"/>
      <w:sz w:val="24"/>
      <w:szCs w:val="26"/>
    </w:rPr>
  </w:style>
  <w:style w:type="paragraph" w:styleId="Heading3">
    <w:name w:val="heading 3"/>
    <w:basedOn w:val="Normal"/>
    <w:next w:val="Normal"/>
    <w:link w:val="Heading3Char"/>
    <w:qFormat/>
    <w:rsid w:val="0043070D"/>
    <w:pPr>
      <w:spacing w:before="200" w:after="0" w:line="360" w:lineRule="auto"/>
      <w:ind w:left="0" w:firstLine="432"/>
      <w:outlineLvl w:val="2"/>
    </w:pPr>
    <w:rPr>
      <w:rFonts w:ascii="Franklin Gothic Demi Cond" w:hAnsi="Franklin Gothic Demi Cond"/>
      <w:bCs/>
    </w:rPr>
  </w:style>
  <w:style w:type="paragraph" w:styleId="Heading4">
    <w:name w:val="heading 4"/>
    <w:basedOn w:val="Normal"/>
    <w:next w:val="Normal"/>
    <w:link w:val="Heading4Char"/>
    <w:qFormat/>
    <w:rsid w:val="00F373ED"/>
    <w:pPr>
      <w:spacing w:before="200" w:after="0" w:line="360" w:lineRule="auto"/>
      <w:ind w:left="0" w:firstLine="432"/>
      <w:outlineLvl w:val="3"/>
    </w:pPr>
    <w:rPr>
      <w:rFonts w:ascii="Franklin Gothic Medium Cond" w:hAnsi="Franklin Gothic Medium Cond"/>
      <w:bCs/>
      <w:iCs/>
    </w:rPr>
  </w:style>
  <w:style w:type="paragraph" w:styleId="Heading5">
    <w:name w:val="heading 5"/>
    <w:basedOn w:val="Normal"/>
    <w:next w:val="Normal"/>
    <w:link w:val="Heading5Char"/>
    <w:uiPriority w:val="9"/>
    <w:qFormat/>
    <w:rsid w:val="00C9318C"/>
    <w:pPr>
      <w:spacing w:before="200" w:after="0" w:line="360" w:lineRule="auto"/>
      <w:ind w:firstLine="432"/>
      <w:outlineLvl w:val="4"/>
    </w:pPr>
    <w:rPr>
      <w:rFonts w:ascii="Cambria" w:hAnsi="Cambria"/>
      <w:b/>
      <w:bCs/>
      <w:color w:val="7F7F7F"/>
    </w:rPr>
  </w:style>
  <w:style w:type="paragraph" w:styleId="Heading6">
    <w:name w:val="heading 6"/>
    <w:basedOn w:val="Normal"/>
    <w:next w:val="Normal"/>
    <w:link w:val="Heading6Char"/>
    <w:uiPriority w:val="9"/>
    <w:unhideWhenUsed/>
    <w:qFormat/>
    <w:rsid w:val="00C9318C"/>
    <w:pPr>
      <w:spacing w:after="0" w:line="271" w:lineRule="auto"/>
      <w:outlineLvl w:val="5"/>
    </w:pPr>
    <w:rPr>
      <w:rFonts w:ascii="Cambria" w:hAnsi="Cambria"/>
      <w:b/>
      <w:bCs/>
      <w:i/>
      <w:iCs/>
      <w:color w:val="7F7F7F"/>
      <w:szCs w:val="20"/>
      <w:lang w:bidi="ar-SA"/>
    </w:rPr>
  </w:style>
  <w:style w:type="paragraph" w:styleId="Heading7">
    <w:name w:val="heading 7"/>
    <w:basedOn w:val="Normal"/>
    <w:next w:val="Normal"/>
    <w:link w:val="Heading7Char"/>
    <w:uiPriority w:val="9"/>
    <w:unhideWhenUsed/>
    <w:qFormat/>
    <w:rsid w:val="00EE12E1"/>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E032FD"/>
    <w:pPr>
      <w:spacing w:before="200" w:after="0" w:line="360" w:lineRule="auto"/>
      <w:ind w:firstLine="432"/>
      <w:outlineLvl w:val="7"/>
    </w:pPr>
    <w:rPr>
      <w:rFonts w:ascii="Cambria" w:hAnsi="Cambria"/>
      <w:szCs w:val="20"/>
    </w:rPr>
  </w:style>
  <w:style w:type="paragraph" w:styleId="Heading9">
    <w:name w:val="heading 9"/>
    <w:basedOn w:val="Normal"/>
    <w:next w:val="Normal"/>
    <w:link w:val="Heading9Char"/>
    <w:uiPriority w:val="9"/>
    <w:unhideWhenUsed/>
    <w:qFormat/>
    <w:rsid w:val="00EE12E1"/>
    <w:pPr>
      <w:spacing w:after="0"/>
      <w:outlineLvl w:val="8"/>
    </w:pPr>
    <w:rPr>
      <w:rFonts w:ascii="Cambria"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318C"/>
    <w:rPr>
      <w:rFonts w:ascii="Franklin Gothic Medium" w:hAnsi="Franklin Gothic Medium"/>
      <w:bCs/>
      <w:color w:val="005F86"/>
      <w:sz w:val="32"/>
      <w:szCs w:val="28"/>
      <w:lang w:bidi="en-US"/>
    </w:rPr>
  </w:style>
  <w:style w:type="character" w:customStyle="1" w:styleId="Heading2Char">
    <w:name w:val="Heading 2 Char"/>
    <w:basedOn w:val="DefaultParagraphFont"/>
    <w:link w:val="Heading2"/>
    <w:uiPriority w:val="9"/>
    <w:rsid w:val="009E71FC"/>
    <w:rPr>
      <w:rFonts w:ascii="Franklin Gothic Demi Cond" w:hAnsi="Franklin Gothic Demi Cond"/>
      <w:bCs/>
      <w:color w:val="005F86"/>
      <w:sz w:val="24"/>
      <w:szCs w:val="26"/>
      <w:lang w:bidi="en-US"/>
    </w:rPr>
  </w:style>
  <w:style w:type="character" w:customStyle="1" w:styleId="Heading3Char">
    <w:name w:val="Heading 3 Char"/>
    <w:basedOn w:val="DefaultParagraphFont"/>
    <w:link w:val="Heading3"/>
    <w:rsid w:val="0043070D"/>
    <w:rPr>
      <w:rFonts w:ascii="Franklin Gothic Demi Cond" w:hAnsi="Franklin Gothic Demi Cond"/>
      <w:bCs/>
      <w:szCs w:val="22"/>
      <w:lang w:bidi="en-US"/>
    </w:rPr>
  </w:style>
  <w:style w:type="character" w:customStyle="1" w:styleId="Heading4Char">
    <w:name w:val="Heading 4 Char"/>
    <w:basedOn w:val="DefaultParagraphFont"/>
    <w:link w:val="Heading4"/>
    <w:rsid w:val="00F373ED"/>
    <w:rPr>
      <w:rFonts w:ascii="Franklin Gothic Medium Cond" w:hAnsi="Franklin Gothic Medium Cond"/>
      <w:bCs/>
      <w:iCs/>
      <w:szCs w:val="22"/>
      <w:lang w:bidi="en-US"/>
    </w:rPr>
  </w:style>
  <w:style w:type="character" w:customStyle="1" w:styleId="Heading5Char">
    <w:name w:val="Heading 5 Char"/>
    <w:basedOn w:val="DefaultParagraphFont"/>
    <w:link w:val="Heading5"/>
    <w:uiPriority w:val="9"/>
    <w:rsid w:val="00C9318C"/>
    <w:rPr>
      <w:rFonts w:ascii="Cambria" w:hAnsi="Cambria"/>
      <w:b/>
      <w:bCs/>
      <w:color w:val="7F7F7F"/>
      <w:szCs w:val="22"/>
      <w:lang w:bidi="en-US"/>
    </w:rPr>
  </w:style>
  <w:style w:type="character" w:customStyle="1" w:styleId="Heading6Char">
    <w:name w:val="Heading 6 Char"/>
    <w:basedOn w:val="DefaultParagraphFont"/>
    <w:link w:val="Heading6"/>
    <w:uiPriority w:val="9"/>
    <w:rsid w:val="00C9318C"/>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sid w:val="00EE12E1"/>
    <w:rPr>
      <w:rFonts w:ascii="Cambria" w:eastAsia="Times New Roman" w:hAnsi="Cambria" w:cs="Times New Roman"/>
      <w:i/>
      <w:iCs/>
    </w:rPr>
  </w:style>
  <w:style w:type="character" w:customStyle="1" w:styleId="Heading8Char">
    <w:name w:val="Heading 8 Char"/>
    <w:basedOn w:val="DefaultParagraphFont"/>
    <w:link w:val="Heading8"/>
    <w:uiPriority w:val="9"/>
    <w:rsid w:val="00E032FD"/>
    <w:rPr>
      <w:rFonts w:ascii="Cambria" w:hAnsi="Cambria"/>
      <w:lang w:bidi="en-US"/>
    </w:rPr>
  </w:style>
  <w:style w:type="character" w:customStyle="1" w:styleId="Heading9Char">
    <w:name w:val="Heading 9 Char"/>
    <w:basedOn w:val="DefaultParagraphFont"/>
    <w:link w:val="Heading9"/>
    <w:uiPriority w:val="9"/>
    <w:semiHidden/>
    <w:rsid w:val="00EE12E1"/>
    <w:rPr>
      <w:rFonts w:ascii="Cambria" w:eastAsia="Times New Roman" w:hAnsi="Cambria" w:cs="Times New Roman"/>
      <w:i/>
      <w:iCs/>
      <w:spacing w:val="5"/>
      <w:sz w:val="20"/>
      <w:szCs w:val="20"/>
    </w:rPr>
  </w:style>
  <w:style w:type="paragraph" w:styleId="Title">
    <w:name w:val="Title"/>
    <w:next w:val="Normal"/>
    <w:link w:val="TitleChar"/>
    <w:qFormat/>
    <w:rsid w:val="00C9318C"/>
    <w:pPr>
      <w:spacing w:after="200"/>
      <w:contextualSpacing/>
    </w:pPr>
    <w:rPr>
      <w:rFonts w:ascii="Franklin Gothic Demi" w:hAnsi="Franklin Gothic Demi"/>
      <w:color w:val="005F86"/>
      <w:spacing w:val="5"/>
      <w:sz w:val="56"/>
      <w:szCs w:val="52"/>
      <w:lang w:bidi="en-US"/>
    </w:rPr>
  </w:style>
  <w:style w:type="character" w:customStyle="1" w:styleId="TitleChar">
    <w:name w:val="Title Char"/>
    <w:basedOn w:val="DefaultParagraphFont"/>
    <w:link w:val="Title"/>
    <w:uiPriority w:val="10"/>
    <w:rsid w:val="00C9318C"/>
    <w:rPr>
      <w:rFonts w:ascii="Franklin Gothic Demi" w:hAnsi="Franklin Gothic Demi"/>
      <w:color w:val="005F86"/>
      <w:spacing w:val="5"/>
      <w:sz w:val="56"/>
      <w:szCs w:val="52"/>
      <w:lang w:val="en-US" w:eastAsia="en-US" w:bidi="en-US"/>
    </w:rPr>
  </w:style>
  <w:style w:type="paragraph" w:styleId="Subtitle">
    <w:name w:val="Subtitle"/>
    <w:basedOn w:val="Title"/>
    <w:next w:val="Normal"/>
    <w:link w:val="SubtitleChar"/>
    <w:uiPriority w:val="11"/>
    <w:qFormat/>
    <w:rsid w:val="00C9318C"/>
    <w:pPr>
      <w:spacing w:before="360" w:after="480"/>
      <w:contextualSpacing w:val="0"/>
    </w:pPr>
    <w:rPr>
      <w:rFonts w:ascii="Franklin Gothic Medium" w:hAnsi="Franklin Gothic Medium"/>
      <w:color w:val="auto"/>
      <w:sz w:val="36"/>
      <w:szCs w:val="36"/>
    </w:rPr>
  </w:style>
  <w:style w:type="character" w:customStyle="1" w:styleId="SubtitleChar">
    <w:name w:val="Subtitle Char"/>
    <w:basedOn w:val="DefaultParagraphFont"/>
    <w:link w:val="Subtitle"/>
    <w:uiPriority w:val="11"/>
    <w:rsid w:val="00C9318C"/>
    <w:rPr>
      <w:rFonts w:ascii="Franklin Gothic Medium" w:hAnsi="Franklin Gothic Medium"/>
      <w:spacing w:val="5"/>
      <w:sz w:val="36"/>
      <w:szCs w:val="36"/>
      <w:lang w:bidi="en-US"/>
    </w:rPr>
  </w:style>
  <w:style w:type="character" w:styleId="Strong">
    <w:name w:val="Strong"/>
    <w:uiPriority w:val="22"/>
    <w:semiHidden/>
    <w:qFormat/>
    <w:rsid w:val="00C9318C"/>
    <w:rPr>
      <w:b/>
      <w:bCs/>
    </w:rPr>
  </w:style>
  <w:style w:type="character" w:styleId="Emphasis">
    <w:name w:val="Emphasis"/>
    <w:uiPriority w:val="20"/>
    <w:semiHidden/>
    <w:unhideWhenUsed/>
    <w:qFormat/>
    <w:rsid w:val="00C9318C"/>
    <w:rPr>
      <w:b/>
      <w:bCs/>
      <w:i/>
      <w:iCs/>
      <w:spacing w:val="10"/>
      <w:bdr w:val="none" w:sz="0" w:space="0" w:color="auto"/>
      <w:shd w:val="clear" w:color="auto" w:fill="auto"/>
    </w:rPr>
  </w:style>
  <w:style w:type="paragraph" w:styleId="NoSpacing">
    <w:name w:val="No Spacing"/>
    <w:basedOn w:val="Normal"/>
    <w:link w:val="NoSpacingChar"/>
    <w:uiPriority w:val="1"/>
    <w:qFormat/>
    <w:rsid w:val="00EE12E1"/>
    <w:pPr>
      <w:spacing w:after="0"/>
    </w:pPr>
  </w:style>
  <w:style w:type="paragraph" w:styleId="ListParagraph">
    <w:name w:val="List Paragraph"/>
    <w:basedOn w:val="Normal"/>
    <w:uiPriority w:val="34"/>
    <w:qFormat/>
    <w:rsid w:val="00C9318C"/>
    <w:pPr>
      <w:spacing w:line="360" w:lineRule="auto"/>
      <w:ind w:left="720"/>
      <w:contextualSpacing/>
    </w:pPr>
    <w:rPr>
      <w:rFonts w:ascii="Minion Pro" w:hAnsi="Minion Pro"/>
    </w:rPr>
  </w:style>
  <w:style w:type="paragraph" w:styleId="Quote">
    <w:name w:val="Quote"/>
    <w:basedOn w:val="BodyText"/>
    <w:next w:val="Normal"/>
    <w:link w:val="QuoteChar"/>
    <w:uiPriority w:val="8"/>
    <w:qFormat/>
    <w:rsid w:val="00C9318C"/>
    <w:rPr>
      <w:rFonts w:ascii="Franklin Gothic Demi" w:hAnsi="Franklin Gothic Demi"/>
      <w:sz w:val="24"/>
      <w:szCs w:val="24"/>
    </w:rPr>
  </w:style>
  <w:style w:type="character" w:customStyle="1" w:styleId="QuoteChar">
    <w:name w:val="Quote Char"/>
    <w:basedOn w:val="DefaultParagraphFont"/>
    <w:link w:val="Quote"/>
    <w:uiPriority w:val="8"/>
    <w:rsid w:val="00C9318C"/>
    <w:rPr>
      <w:rFonts w:ascii="Franklin Gothic Demi" w:eastAsia="Arial Narrow" w:hAnsi="Franklin Gothic Demi"/>
      <w:bCs/>
      <w:sz w:val="24"/>
      <w:szCs w:val="24"/>
    </w:rPr>
  </w:style>
  <w:style w:type="paragraph" w:styleId="IntenseQuote">
    <w:name w:val="Intense Quote"/>
    <w:basedOn w:val="Normal"/>
    <w:next w:val="Normal"/>
    <w:link w:val="IntenseQuoteChar"/>
    <w:uiPriority w:val="30"/>
    <w:semiHidden/>
    <w:unhideWhenUsed/>
    <w:qFormat/>
    <w:rsid w:val="00C9318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9318C"/>
    <w:rPr>
      <w:rFonts w:ascii="Adobe Garamond Pro" w:hAnsi="Adobe Garamond Pro"/>
      <w:b/>
      <w:bCs/>
      <w:i/>
      <w:iCs/>
      <w:szCs w:val="22"/>
      <w:lang w:bidi="en-US"/>
    </w:rPr>
  </w:style>
  <w:style w:type="character" w:styleId="SubtleEmphasis">
    <w:name w:val="Subtle Emphasis"/>
    <w:uiPriority w:val="19"/>
    <w:semiHidden/>
    <w:unhideWhenUsed/>
    <w:qFormat/>
    <w:rsid w:val="00C9318C"/>
    <w:rPr>
      <w:i/>
      <w:iCs/>
    </w:rPr>
  </w:style>
  <w:style w:type="character" w:styleId="IntenseEmphasis">
    <w:name w:val="Intense Emphasis"/>
    <w:uiPriority w:val="21"/>
    <w:semiHidden/>
    <w:unhideWhenUsed/>
    <w:qFormat/>
    <w:rsid w:val="00C9318C"/>
    <w:rPr>
      <w:b/>
      <w:bCs/>
    </w:rPr>
  </w:style>
  <w:style w:type="character" w:styleId="SubtleReference">
    <w:name w:val="Subtle Reference"/>
    <w:uiPriority w:val="31"/>
    <w:semiHidden/>
    <w:unhideWhenUsed/>
    <w:qFormat/>
    <w:rsid w:val="00C9318C"/>
    <w:rPr>
      <w:smallCaps/>
    </w:rPr>
  </w:style>
  <w:style w:type="character" w:styleId="IntenseReference">
    <w:name w:val="Intense Reference"/>
    <w:uiPriority w:val="32"/>
    <w:semiHidden/>
    <w:unhideWhenUsed/>
    <w:qFormat/>
    <w:rsid w:val="00C9318C"/>
    <w:rPr>
      <w:smallCaps/>
      <w:spacing w:val="5"/>
      <w:u w:val="single"/>
    </w:rPr>
  </w:style>
  <w:style w:type="character" w:styleId="BookTitle">
    <w:name w:val="Book Title"/>
    <w:uiPriority w:val="33"/>
    <w:semiHidden/>
    <w:qFormat/>
    <w:rsid w:val="00C9318C"/>
    <w:rPr>
      <w:i/>
      <w:iCs/>
      <w:smallCaps/>
      <w:spacing w:val="5"/>
    </w:rPr>
  </w:style>
  <w:style w:type="paragraph" w:styleId="TOCHeading">
    <w:name w:val="TOC Heading"/>
    <w:basedOn w:val="Heading1"/>
    <w:next w:val="Normal"/>
    <w:uiPriority w:val="39"/>
    <w:semiHidden/>
    <w:unhideWhenUsed/>
    <w:qFormat/>
    <w:rsid w:val="00C9318C"/>
    <w:pPr>
      <w:outlineLvl w:val="9"/>
    </w:pPr>
  </w:style>
  <w:style w:type="paragraph" w:styleId="BodyText">
    <w:name w:val="Body Text"/>
    <w:basedOn w:val="Normal"/>
    <w:link w:val="BodyTextChar"/>
    <w:qFormat/>
    <w:rsid w:val="00CB19E3"/>
    <w:pPr>
      <w:widowControl w:val="0"/>
      <w:spacing w:after="120" w:line="360" w:lineRule="auto"/>
      <w:ind w:left="0" w:firstLine="432"/>
    </w:pPr>
    <w:rPr>
      <w:rFonts w:ascii="Cambria" w:eastAsia="Arial Narrow" w:hAnsi="Cambria"/>
      <w:bCs/>
      <w:sz w:val="22"/>
      <w:lang w:bidi="ar-SA"/>
    </w:rPr>
  </w:style>
  <w:style w:type="character" w:customStyle="1" w:styleId="BodyTextChar">
    <w:name w:val="Body Text Char"/>
    <w:basedOn w:val="DefaultParagraphFont"/>
    <w:link w:val="BodyText"/>
    <w:rsid w:val="00CB19E3"/>
    <w:rPr>
      <w:rFonts w:ascii="Cambria" w:eastAsia="Arial Narrow" w:hAnsi="Cambria"/>
      <w:bCs/>
      <w:sz w:val="22"/>
      <w:szCs w:val="22"/>
    </w:rPr>
  </w:style>
  <w:style w:type="paragraph" w:styleId="Header">
    <w:name w:val="header"/>
    <w:basedOn w:val="Normal"/>
    <w:link w:val="HeaderChar"/>
    <w:uiPriority w:val="99"/>
    <w:unhideWhenUsed/>
    <w:rsid w:val="00FD76C9"/>
    <w:pPr>
      <w:tabs>
        <w:tab w:val="center" w:pos="4680"/>
        <w:tab w:val="right" w:pos="9360"/>
      </w:tabs>
    </w:pPr>
  </w:style>
  <w:style w:type="character" w:customStyle="1" w:styleId="HeaderChar">
    <w:name w:val="Header Char"/>
    <w:basedOn w:val="DefaultParagraphFont"/>
    <w:link w:val="Header"/>
    <w:uiPriority w:val="99"/>
    <w:rsid w:val="00FD76C9"/>
  </w:style>
  <w:style w:type="paragraph" w:styleId="Footer">
    <w:name w:val="footer"/>
    <w:basedOn w:val="Normal"/>
    <w:link w:val="FooterChar"/>
    <w:uiPriority w:val="99"/>
    <w:unhideWhenUsed/>
    <w:rsid w:val="00FD76C9"/>
    <w:pPr>
      <w:tabs>
        <w:tab w:val="center" w:pos="4680"/>
        <w:tab w:val="right" w:pos="9360"/>
      </w:tabs>
    </w:pPr>
  </w:style>
  <w:style w:type="character" w:customStyle="1" w:styleId="FooterChar">
    <w:name w:val="Footer Char"/>
    <w:basedOn w:val="DefaultParagraphFont"/>
    <w:link w:val="Footer"/>
    <w:uiPriority w:val="99"/>
    <w:rsid w:val="00FD76C9"/>
  </w:style>
  <w:style w:type="paragraph" w:styleId="TOC2">
    <w:name w:val="toc 2"/>
    <w:basedOn w:val="TOC1"/>
    <w:next w:val="Normal"/>
    <w:autoRedefine/>
    <w:uiPriority w:val="39"/>
    <w:unhideWhenUsed/>
    <w:rsid w:val="00262323"/>
    <w:pPr>
      <w:tabs>
        <w:tab w:val="left" w:pos="900"/>
        <w:tab w:val="right" w:leader="dot" w:pos="9360"/>
      </w:tabs>
      <w:spacing w:line="360" w:lineRule="auto"/>
      <w:ind w:left="900" w:firstLine="0"/>
    </w:pPr>
    <w:rPr>
      <w:rFonts w:ascii="Franklin Gothic Book" w:hAnsi="Franklin Gothic Book"/>
      <w:b w:val="0"/>
      <w:bCs w:val="0"/>
      <w:caps w:val="0"/>
      <w:noProof/>
      <w:sz w:val="22"/>
      <w:szCs w:val="22"/>
    </w:rPr>
  </w:style>
  <w:style w:type="paragraph" w:styleId="TOC1">
    <w:name w:val="toc 1"/>
    <w:basedOn w:val="Normal"/>
    <w:next w:val="Normal"/>
    <w:link w:val="TOC1Char"/>
    <w:autoRedefine/>
    <w:uiPriority w:val="39"/>
    <w:unhideWhenUsed/>
    <w:rsid w:val="00217044"/>
    <w:pPr>
      <w:tabs>
        <w:tab w:val="right" w:leader="dot" w:pos="10070"/>
      </w:tabs>
      <w:spacing w:before="120" w:after="120"/>
      <w:ind w:left="360"/>
    </w:pPr>
    <w:rPr>
      <w:rFonts w:ascii="Calibri" w:hAnsi="Calibri"/>
      <w:b/>
      <w:bCs/>
      <w:caps/>
      <w:szCs w:val="20"/>
    </w:rPr>
  </w:style>
  <w:style w:type="paragraph" w:styleId="TOC3">
    <w:name w:val="toc 3"/>
    <w:basedOn w:val="Normal"/>
    <w:next w:val="Normal"/>
    <w:autoRedefine/>
    <w:uiPriority w:val="39"/>
    <w:rsid w:val="00621A3D"/>
    <w:pPr>
      <w:tabs>
        <w:tab w:val="right" w:leader="dot" w:pos="10070"/>
      </w:tabs>
      <w:spacing w:after="0"/>
      <w:ind w:left="1800"/>
    </w:pPr>
    <w:rPr>
      <w:rFonts w:ascii="Calibri" w:hAnsi="Calibri"/>
      <w:i/>
      <w:iCs/>
      <w:szCs w:val="20"/>
    </w:rPr>
  </w:style>
  <w:style w:type="paragraph" w:styleId="BalloonText">
    <w:name w:val="Balloon Text"/>
    <w:basedOn w:val="Normal"/>
    <w:link w:val="BalloonTextChar"/>
    <w:semiHidden/>
    <w:unhideWhenUsed/>
    <w:rsid w:val="00E660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0A2"/>
    <w:rPr>
      <w:rFonts w:ascii="Tahoma" w:hAnsi="Tahoma" w:cs="Tahoma"/>
      <w:sz w:val="16"/>
      <w:szCs w:val="16"/>
      <w:lang w:bidi="en-US"/>
    </w:rPr>
  </w:style>
  <w:style w:type="character" w:styleId="Hyperlink">
    <w:name w:val="Hyperlink"/>
    <w:basedOn w:val="DefaultParagraphFont"/>
    <w:uiPriority w:val="99"/>
    <w:unhideWhenUsed/>
    <w:rsid w:val="00E660A2"/>
    <w:rPr>
      <w:color w:val="0000FF"/>
      <w:u w:val="single"/>
    </w:rPr>
  </w:style>
  <w:style w:type="paragraph" w:styleId="TOC4">
    <w:name w:val="toc 4"/>
    <w:basedOn w:val="Normal"/>
    <w:next w:val="Normal"/>
    <w:autoRedefine/>
    <w:uiPriority w:val="39"/>
    <w:rsid w:val="00C848D2"/>
    <w:pPr>
      <w:spacing w:after="0"/>
      <w:ind w:left="660"/>
    </w:pPr>
    <w:rPr>
      <w:rFonts w:ascii="Calibri" w:hAnsi="Calibri"/>
      <w:sz w:val="18"/>
      <w:szCs w:val="18"/>
    </w:rPr>
  </w:style>
  <w:style w:type="paragraph" w:styleId="TOC5">
    <w:name w:val="toc 5"/>
    <w:basedOn w:val="Normal"/>
    <w:next w:val="Normal"/>
    <w:autoRedefine/>
    <w:semiHidden/>
    <w:rsid w:val="00C848D2"/>
    <w:pPr>
      <w:spacing w:after="0"/>
      <w:ind w:left="880"/>
    </w:pPr>
    <w:rPr>
      <w:rFonts w:ascii="Calibri" w:hAnsi="Calibri"/>
      <w:sz w:val="18"/>
      <w:szCs w:val="18"/>
    </w:rPr>
  </w:style>
  <w:style w:type="paragraph" w:styleId="TOC6">
    <w:name w:val="toc 6"/>
    <w:basedOn w:val="Normal"/>
    <w:next w:val="Normal"/>
    <w:autoRedefine/>
    <w:semiHidden/>
    <w:rsid w:val="00C848D2"/>
    <w:pPr>
      <w:spacing w:after="0"/>
      <w:ind w:left="1100"/>
    </w:pPr>
    <w:rPr>
      <w:rFonts w:ascii="Calibri" w:hAnsi="Calibri"/>
      <w:sz w:val="18"/>
      <w:szCs w:val="18"/>
    </w:rPr>
  </w:style>
  <w:style w:type="paragraph" w:styleId="TOC7">
    <w:name w:val="toc 7"/>
    <w:basedOn w:val="Normal"/>
    <w:next w:val="Normal"/>
    <w:autoRedefine/>
    <w:semiHidden/>
    <w:rsid w:val="00C848D2"/>
    <w:pPr>
      <w:spacing w:after="0"/>
      <w:ind w:left="1320"/>
    </w:pPr>
    <w:rPr>
      <w:rFonts w:ascii="Calibri" w:hAnsi="Calibri"/>
      <w:sz w:val="18"/>
      <w:szCs w:val="18"/>
    </w:rPr>
  </w:style>
  <w:style w:type="paragraph" w:styleId="TOC8">
    <w:name w:val="toc 8"/>
    <w:basedOn w:val="Normal"/>
    <w:next w:val="Normal"/>
    <w:autoRedefine/>
    <w:semiHidden/>
    <w:rsid w:val="00C848D2"/>
    <w:pPr>
      <w:spacing w:after="0"/>
      <w:ind w:left="1540"/>
    </w:pPr>
    <w:rPr>
      <w:rFonts w:ascii="Calibri" w:hAnsi="Calibri"/>
      <w:sz w:val="18"/>
      <w:szCs w:val="18"/>
    </w:rPr>
  </w:style>
  <w:style w:type="paragraph" w:styleId="TOC9">
    <w:name w:val="toc 9"/>
    <w:basedOn w:val="Normal"/>
    <w:next w:val="Normal"/>
    <w:autoRedefine/>
    <w:semiHidden/>
    <w:rsid w:val="00C848D2"/>
    <w:pPr>
      <w:spacing w:after="0"/>
      <w:ind w:left="1760"/>
    </w:pPr>
    <w:rPr>
      <w:rFonts w:ascii="Calibri" w:hAnsi="Calibri"/>
      <w:sz w:val="18"/>
      <w:szCs w:val="18"/>
    </w:rPr>
  </w:style>
  <w:style w:type="paragraph" w:customStyle="1" w:styleId="Normal1">
    <w:name w:val="Normal1"/>
    <w:semiHidden/>
    <w:rsid w:val="009802A6"/>
    <w:rPr>
      <w:rFonts w:ascii="Arial" w:eastAsia="Arial" w:hAnsi="Arial" w:cs="Arial"/>
      <w:color w:val="000000"/>
    </w:rPr>
  </w:style>
  <w:style w:type="character" w:styleId="FootnoteReference">
    <w:name w:val="footnote reference"/>
    <w:basedOn w:val="DefaultParagraphFont"/>
    <w:uiPriority w:val="99"/>
    <w:unhideWhenUsed/>
    <w:rsid w:val="007F2B88"/>
    <w:rPr>
      <w:vertAlign w:val="superscript"/>
    </w:rPr>
  </w:style>
  <w:style w:type="paragraph" w:styleId="FootnoteText">
    <w:name w:val="footnote text"/>
    <w:basedOn w:val="Normal"/>
    <w:link w:val="FootnoteTextChar"/>
    <w:uiPriority w:val="99"/>
    <w:semiHidden/>
    <w:unhideWhenUsed/>
    <w:rsid w:val="002723A8"/>
    <w:rPr>
      <w:szCs w:val="20"/>
    </w:rPr>
  </w:style>
  <w:style w:type="character" w:customStyle="1" w:styleId="FootnoteTextChar">
    <w:name w:val="Footnote Text Char"/>
    <w:basedOn w:val="DefaultParagraphFont"/>
    <w:link w:val="FootnoteText"/>
    <w:uiPriority w:val="99"/>
    <w:semiHidden/>
    <w:rsid w:val="002723A8"/>
    <w:rPr>
      <w:rFonts w:ascii="Adobe Garamond Pro" w:hAnsi="Adobe Garamond Pro"/>
      <w:lang w:bidi="en-US"/>
    </w:rPr>
  </w:style>
  <w:style w:type="paragraph" w:customStyle="1" w:styleId="Footnote">
    <w:name w:val="Footnote"/>
    <w:aliases w:val="Source"/>
    <w:basedOn w:val="FootnoteText"/>
    <w:link w:val="FootnoteChar"/>
    <w:uiPriority w:val="13"/>
    <w:qFormat/>
    <w:rsid w:val="00C9318C"/>
    <w:rPr>
      <w:rFonts w:ascii="Franklin Gothic Book" w:hAnsi="Franklin Gothic Book"/>
      <w:sz w:val="16"/>
      <w:szCs w:val="16"/>
    </w:rPr>
  </w:style>
  <w:style w:type="character" w:customStyle="1" w:styleId="FootnoteChar">
    <w:name w:val="Footnote Char"/>
    <w:aliases w:val="Source Char"/>
    <w:basedOn w:val="FootnoteTextChar"/>
    <w:link w:val="Footnote"/>
    <w:uiPriority w:val="13"/>
    <w:rsid w:val="00C9318C"/>
    <w:rPr>
      <w:rFonts w:ascii="Franklin Gothic Book" w:hAnsi="Franklin Gothic Book"/>
      <w:sz w:val="16"/>
      <w:szCs w:val="16"/>
      <w:lang w:bidi="en-US"/>
    </w:rPr>
  </w:style>
  <w:style w:type="paragraph" w:customStyle="1" w:styleId="Bulletstyle">
    <w:name w:val="Bullet style"/>
    <w:basedOn w:val="BodyText"/>
    <w:link w:val="BulletstyleChar"/>
    <w:qFormat/>
    <w:rsid w:val="00C9318C"/>
    <w:pPr>
      <w:spacing w:line="240" w:lineRule="auto"/>
      <w:ind w:firstLine="0"/>
    </w:pPr>
  </w:style>
  <w:style w:type="character" w:customStyle="1" w:styleId="BulletstyleChar">
    <w:name w:val="Bullet style Char"/>
    <w:basedOn w:val="BodyTextChar"/>
    <w:link w:val="Bulletstyle"/>
    <w:rsid w:val="00C9318C"/>
    <w:rPr>
      <w:rFonts w:ascii="Cambria" w:eastAsia="Arial Narrow" w:hAnsi="Cambria"/>
      <w:bCs/>
      <w:sz w:val="22"/>
      <w:szCs w:val="22"/>
    </w:rPr>
  </w:style>
  <w:style w:type="paragraph" w:styleId="DocumentMap">
    <w:name w:val="Document Map"/>
    <w:basedOn w:val="Normal"/>
    <w:link w:val="DocumentMapChar"/>
    <w:semiHidden/>
    <w:unhideWhenUsed/>
    <w:rsid w:val="007E1C4A"/>
    <w:rPr>
      <w:rFonts w:ascii="Tahoma" w:hAnsi="Tahoma" w:cs="Tahoma"/>
      <w:sz w:val="16"/>
      <w:szCs w:val="16"/>
    </w:rPr>
  </w:style>
  <w:style w:type="character" w:customStyle="1" w:styleId="DocumentMapChar">
    <w:name w:val="Document Map Char"/>
    <w:basedOn w:val="DefaultParagraphFont"/>
    <w:link w:val="DocumentMap"/>
    <w:uiPriority w:val="99"/>
    <w:semiHidden/>
    <w:rsid w:val="007E1C4A"/>
    <w:rPr>
      <w:rFonts w:ascii="Tahoma" w:hAnsi="Tahoma" w:cs="Tahoma"/>
      <w:sz w:val="16"/>
      <w:szCs w:val="16"/>
      <w:lang w:bidi="en-US"/>
    </w:rPr>
  </w:style>
  <w:style w:type="paragraph" w:customStyle="1" w:styleId="TableofContents1">
    <w:name w:val="Table of Contents 1"/>
    <w:basedOn w:val="TOC1"/>
    <w:link w:val="TableofContents1Char"/>
    <w:uiPriority w:val="11"/>
    <w:qFormat/>
    <w:rsid w:val="00C9318C"/>
    <w:pPr>
      <w:tabs>
        <w:tab w:val="left" w:pos="440"/>
        <w:tab w:val="right" w:leader="dot" w:pos="9350"/>
      </w:tabs>
      <w:spacing w:line="480" w:lineRule="auto"/>
    </w:pPr>
    <w:rPr>
      <w:noProof/>
    </w:rPr>
  </w:style>
  <w:style w:type="character" w:customStyle="1" w:styleId="TOC1Char">
    <w:name w:val="TOC 1 Char"/>
    <w:basedOn w:val="DefaultParagraphFont"/>
    <w:link w:val="TOC1"/>
    <w:uiPriority w:val="39"/>
    <w:rsid w:val="00217044"/>
    <w:rPr>
      <w:b/>
      <w:bCs/>
      <w:caps/>
      <w:lang w:bidi="en-US"/>
    </w:rPr>
  </w:style>
  <w:style w:type="character" w:customStyle="1" w:styleId="TableofContents1Char">
    <w:name w:val="Table of Contents 1 Char"/>
    <w:basedOn w:val="TOC1Char"/>
    <w:link w:val="TableofContents1"/>
    <w:uiPriority w:val="11"/>
    <w:rsid w:val="00C9318C"/>
    <w:rPr>
      <w:b/>
      <w:bCs/>
      <w:caps/>
      <w:noProof/>
      <w:lang w:bidi="en-US"/>
    </w:rPr>
  </w:style>
  <w:style w:type="numbering" w:customStyle="1" w:styleId="NYISOList">
    <w:name w:val="NYISO List"/>
    <w:uiPriority w:val="99"/>
    <w:rsid w:val="00167681"/>
    <w:pPr>
      <w:numPr>
        <w:numId w:val="1"/>
      </w:numPr>
    </w:pPr>
  </w:style>
  <w:style w:type="numbering" w:customStyle="1" w:styleId="NYISOBullets">
    <w:name w:val="NYISO Bullets"/>
    <w:uiPriority w:val="99"/>
    <w:rsid w:val="002D3BD6"/>
    <w:pPr>
      <w:numPr>
        <w:numId w:val="2"/>
      </w:numPr>
    </w:pPr>
  </w:style>
  <w:style w:type="paragraph" w:styleId="EndnoteText">
    <w:name w:val="endnote text"/>
    <w:basedOn w:val="Normal"/>
    <w:link w:val="EndnoteTextChar"/>
    <w:unhideWhenUsed/>
    <w:rsid w:val="00E10F3E"/>
    <w:rPr>
      <w:szCs w:val="20"/>
    </w:rPr>
  </w:style>
  <w:style w:type="character" w:customStyle="1" w:styleId="EndnoteTextChar">
    <w:name w:val="Endnote Text Char"/>
    <w:basedOn w:val="DefaultParagraphFont"/>
    <w:link w:val="EndnoteText"/>
    <w:rsid w:val="00E10F3E"/>
    <w:rPr>
      <w:rFonts w:ascii="Adobe Garamond Pro" w:hAnsi="Adobe Garamond Pro"/>
      <w:lang w:bidi="en-US"/>
    </w:rPr>
  </w:style>
  <w:style w:type="character" w:styleId="EndnoteReference">
    <w:name w:val="endnote reference"/>
    <w:basedOn w:val="DefaultParagraphFont"/>
    <w:uiPriority w:val="99"/>
    <w:unhideWhenUsed/>
    <w:rsid w:val="00E10F3E"/>
    <w:rPr>
      <w:vertAlign w:val="superscript"/>
    </w:rPr>
  </w:style>
  <w:style w:type="table" w:styleId="TableGrid">
    <w:name w:val="Table Grid"/>
    <w:basedOn w:val="TableNormal"/>
    <w:uiPriority w:val="59"/>
    <w:rsid w:val="005459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link w:val="bodytextChar0"/>
    <w:rsid w:val="0084324A"/>
    <w:pPr>
      <w:keepNext/>
      <w:spacing w:before="240" w:after="240"/>
      <w:ind w:left="2160" w:firstLine="720"/>
    </w:pPr>
    <w:rPr>
      <w:rFonts w:asciiTheme="minorHAnsi" w:hAnsiTheme="minorHAnsi"/>
      <w:sz w:val="24"/>
      <w:szCs w:val="24"/>
      <w:lang w:bidi="ar-SA"/>
    </w:rPr>
  </w:style>
  <w:style w:type="character" w:customStyle="1" w:styleId="bodytextChar0">
    <w:name w:val="bodytext Char"/>
    <w:basedOn w:val="DefaultParagraphFont"/>
    <w:link w:val="bodytext0"/>
    <w:rsid w:val="0084324A"/>
    <w:rPr>
      <w:rFonts w:asciiTheme="minorHAnsi" w:hAnsiTheme="minorHAnsi"/>
      <w:sz w:val="24"/>
      <w:szCs w:val="24"/>
    </w:rPr>
  </w:style>
  <w:style w:type="paragraph" w:styleId="Caption">
    <w:name w:val="caption"/>
    <w:basedOn w:val="Normal"/>
    <w:next w:val="Normal"/>
    <w:link w:val="CaptionChar"/>
    <w:qFormat/>
    <w:rsid w:val="0084324A"/>
    <w:pPr>
      <w:keepNext/>
      <w:spacing w:before="120" w:after="120"/>
      <w:ind w:left="0" w:firstLine="0"/>
      <w:jc w:val="center"/>
    </w:pPr>
    <w:rPr>
      <w:rFonts w:asciiTheme="minorHAnsi" w:hAnsiTheme="minorHAnsi" w:cs="Arial"/>
      <w:iCs/>
      <w:sz w:val="24"/>
      <w:szCs w:val="20"/>
      <w:lang w:bidi="ar-SA"/>
    </w:rPr>
  </w:style>
  <w:style w:type="character" w:customStyle="1" w:styleId="CaptionChar">
    <w:name w:val="Caption Char"/>
    <w:basedOn w:val="DefaultParagraphFont"/>
    <w:link w:val="Caption"/>
    <w:rsid w:val="0084324A"/>
    <w:rPr>
      <w:rFonts w:asciiTheme="minorHAnsi" w:hAnsiTheme="minorHAnsi" w:cs="Arial"/>
      <w:iCs/>
      <w:sz w:val="24"/>
    </w:rPr>
  </w:style>
  <w:style w:type="paragraph" w:customStyle="1" w:styleId="Figure">
    <w:name w:val="Figure"/>
    <w:basedOn w:val="BodyText"/>
    <w:link w:val="FigureChar"/>
    <w:qFormat/>
    <w:rsid w:val="00F54C34"/>
    <w:pPr>
      <w:ind w:firstLine="0"/>
    </w:pPr>
    <w:rPr>
      <w:rFonts w:ascii="Franklin Gothic Demi" w:hAnsi="Franklin Gothic Demi"/>
      <w:sz w:val="20"/>
      <w:szCs w:val="20"/>
    </w:rPr>
  </w:style>
  <w:style w:type="character" w:customStyle="1" w:styleId="FigureChar">
    <w:name w:val="Figure Char"/>
    <w:basedOn w:val="BodyTextChar"/>
    <w:link w:val="Figure"/>
    <w:rsid w:val="00F54C34"/>
    <w:rPr>
      <w:rFonts w:ascii="Franklin Gothic Demi" w:eastAsia="Arial Narrow" w:hAnsi="Franklin Gothic Demi"/>
      <w:bCs/>
      <w:sz w:val="22"/>
      <w:szCs w:val="22"/>
    </w:rPr>
  </w:style>
  <w:style w:type="table" w:customStyle="1" w:styleId="TableGrid1">
    <w:name w:val="Table Grid1"/>
    <w:basedOn w:val="TableNormal"/>
    <w:next w:val="TableGrid"/>
    <w:uiPriority w:val="59"/>
    <w:rsid w:val="008F4FA6"/>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4FA6"/>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92A5B"/>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1CF7"/>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numbered-Style1">
    <w:name w:val="not numbered - Style1"/>
    <w:link w:val="notnumbered-Style1Char"/>
    <w:qFormat/>
    <w:rsid w:val="006B382B"/>
    <w:pPr>
      <w:pageBreakBefore/>
      <w:spacing w:after="120"/>
      <w:ind w:left="0" w:firstLine="432"/>
    </w:pPr>
    <w:rPr>
      <w:rFonts w:ascii="Franklin Gothic Medium" w:hAnsi="Franklin Gothic Medium"/>
      <w:bCs/>
      <w:color w:val="005F86"/>
      <w:sz w:val="32"/>
      <w:szCs w:val="28"/>
      <w:lang w:bidi="en-US"/>
    </w:rPr>
  </w:style>
  <w:style w:type="paragraph" w:customStyle="1" w:styleId="notnumbered-Style2">
    <w:name w:val="not numbered - Style 2"/>
    <w:basedOn w:val="Normal"/>
    <w:link w:val="notnumbered-Style2Char"/>
    <w:qFormat/>
    <w:rsid w:val="000F447F"/>
    <w:pPr>
      <w:ind w:left="0" w:firstLine="432"/>
    </w:pPr>
    <w:rPr>
      <w:rFonts w:ascii="Franklin Gothic Demi Cond" w:hAnsi="Franklin Gothic Demi Cond"/>
      <w:color w:val="005F86"/>
      <w:sz w:val="24"/>
    </w:rPr>
  </w:style>
  <w:style w:type="character" w:customStyle="1" w:styleId="notnumbered-Style1Char">
    <w:name w:val="not numbered - Style1 Char"/>
    <w:basedOn w:val="Heading1Char"/>
    <w:link w:val="notnumbered-Style1"/>
    <w:rsid w:val="006B382B"/>
    <w:rPr>
      <w:rFonts w:ascii="Franklin Gothic Medium" w:hAnsi="Franklin Gothic Medium"/>
      <w:bCs/>
      <w:color w:val="005F86"/>
      <w:sz w:val="32"/>
      <w:szCs w:val="28"/>
      <w:lang w:bidi="en-US"/>
    </w:rPr>
  </w:style>
  <w:style w:type="paragraph" w:customStyle="1" w:styleId="Caption1">
    <w:name w:val="Caption1"/>
    <w:basedOn w:val="BodyText"/>
    <w:link w:val="captionChar0"/>
    <w:rsid w:val="00251543"/>
    <w:pPr>
      <w:keepNext/>
      <w:jc w:val="center"/>
    </w:pPr>
    <w:rPr>
      <w:rFonts w:ascii="Franklin Gothic Demi" w:hAnsi="Franklin Gothic Demi"/>
      <w:sz w:val="16"/>
    </w:rPr>
  </w:style>
  <w:style w:type="character" w:customStyle="1" w:styleId="notnumbered-Style2Char">
    <w:name w:val="not numbered - Style 2 Char"/>
    <w:basedOn w:val="Heading2Char"/>
    <w:link w:val="notnumbered-Style2"/>
    <w:rsid w:val="000F447F"/>
    <w:rPr>
      <w:rFonts w:ascii="Franklin Gothic Demi Cond" w:hAnsi="Franklin Gothic Demi Cond"/>
      <w:bCs/>
      <w:color w:val="005F86"/>
      <w:sz w:val="24"/>
      <w:szCs w:val="22"/>
      <w:lang w:bidi="en-US"/>
    </w:rPr>
  </w:style>
  <w:style w:type="character" w:customStyle="1" w:styleId="captionChar0">
    <w:name w:val="caption Char"/>
    <w:basedOn w:val="BodyTextChar"/>
    <w:link w:val="Caption1"/>
    <w:rsid w:val="00251543"/>
    <w:rPr>
      <w:rFonts w:ascii="Franklin Gothic Demi" w:eastAsia="Arial Narrow" w:hAnsi="Franklin Gothic Demi"/>
      <w:bCs/>
      <w:sz w:val="16"/>
      <w:szCs w:val="22"/>
    </w:rPr>
  </w:style>
  <w:style w:type="paragraph" w:styleId="TableofFigures">
    <w:name w:val="table of figures"/>
    <w:basedOn w:val="Normal"/>
    <w:next w:val="Normal"/>
    <w:uiPriority w:val="99"/>
    <w:unhideWhenUsed/>
    <w:rsid w:val="00062D5F"/>
    <w:pPr>
      <w:spacing w:after="0" w:line="360" w:lineRule="auto"/>
      <w:ind w:left="0" w:firstLine="0"/>
    </w:pPr>
    <w:rPr>
      <w:rFonts w:ascii="Calibri" w:hAnsi="Calibri"/>
    </w:rPr>
  </w:style>
  <w:style w:type="paragraph" w:customStyle="1" w:styleId="caption10">
    <w:name w:val="caption1"/>
    <w:basedOn w:val="BodyText"/>
    <w:link w:val="caption1Char"/>
    <w:qFormat/>
    <w:rsid w:val="00F15427"/>
    <w:pPr>
      <w:spacing w:line="240" w:lineRule="auto"/>
      <w:ind w:firstLine="0"/>
    </w:pPr>
    <w:rPr>
      <w:rFonts w:ascii="Franklin Gothic Book" w:hAnsi="Franklin Gothic Book"/>
      <w:sz w:val="16"/>
    </w:rPr>
  </w:style>
  <w:style w:type="character" w:customStyle="1" w:styleId="caption1Char">
    <w:name w:val="caption1 Char"/>
    <w:basedOn w:val="BodyTextChar"/>
    <w:link w:val="caption10"/>
    <w:rsid w:val="00F15427"/>
    <w:rPr>
      <w:rFonts w:ascii="Franklin Gothic Book" w:eastAsia="Arial Narrow" w:hAnsi="Franklin Gothic Book"/>
      <w:bCs/>
      <w:sz w:val="16"/>
      <w:szCs w:val="22"/>
    </w:rPr>
  </w:style>
  <w:style w:type="character" w:styleId="FollowedHyperlink">
    <w:name w:val="FollowedHyperlink"/>
    <w:basedOn w:val="DefaultParagraphFont"/>
    <w:uiPriority w:val="99"/>
    <w:unhideWhenUsed/>
    <w:rsid w:val="00E7461A"/>
    <w:rPr>
      <w:color w:val="800080" w:themeColor="followedHyperlink"/>
      <w:u w:val="single"/>
    </w:rPr>
  </w:style>
  <w:style w:type="paragraph" w:styleId="Revision">
    <w:name w:val="Revision"/>
    <w:hidden/>
    <w:uiPriority w:val="99"/>
    <w:semiHidden/>
    <w:rsid w:val="00654289"/>
    <w:pPr>
      <w:spacing w:after="0"/>
      <w:ind w:left="0" w:firstLine="0"/>
    </w:pPr>
    <w:rPr>
      <w:rFonts w:ascii="Adobe Garamond Pro" w:hAnsi="Adobe Garamond Pro"/>
      <w:szCs w:val="22"/>
      <w:lang w:bidi="en-US"/>
    </w:rPr>
  </w:style>
  <w:style w:type="character" w:styleId="CommentReference">
    <w:name w:val="annotation reference"/>
    <w:basedOn w:val="DefaultParagraphFont"/>
    <w:uiPriority w:val="99"/>
    <w:semiHidden/>
    <w:unhideWhenUsed/>
    <w:rsid w:val="00581639"/>
    <w:rPr>
      <w:sz w:val="16"/>
      <w:szCs w:val="16"/>
    </w:rPr>
  </w:style>
  <w:style w:type="paragraph" w:styleId="CommentText">
    <w:name w:val="annotation text"/>
    <w:basedOn w:val="Normal"/>
    <w:link w:val="CommentTextChar"/>
    <w:uiPriority w:val="99"/>
    <w:semiHidden/>
    <w:unhideWhenUsed/>
    <w:rsid w:val="00581639"/>
    <w:pPr>
      <w:spacing w:after="160"/>
      <w:ind w:left="0" w:firstLine="0"/>
    </w:pPr>
    <w:rPr>
      <w:rFonts w:asciiTheme="minorHAnsi" w:eastAsiaTheme="minorHAnsi" w:hAnsiTheme="minorHAnsi" w:cstheme="minorBidi"/>
      <w:szCs w:val="20"/>
      <w:lang w:bidi="ar-SA"/>
    </w:rPr>
  </w:style>
  <w:style w:type="character" w:customStyle="1" w:styleId="CommentTextChar">
    <w:name w:val="Comment Text Char"/>
    <w:basedOn w:val="DefaultParagraphFont"/>
    <w:link w:val="CommentText"/>
    <w:uiPriority w:val="99"/>
    <w:semiHidden/>
    <w:rsid w:val="0058163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D2178E"/>
    <w:pPr>
      <w:spacing w:after="60"/>
      <w:ind w:left="1152" w:hanging="360"/>
    </w:pPr>
    <w:rPr>
      <w:rFonts w:ascii="Adobe Garamond Pro" w:eastAsia="Times New Roman" w:hAnsi="Adobe Garamond Pro" w:cs="Times New Roman"/>
      <w:b/>
      <w:bCs/>
      <w:lang w:bidi="en-US"/>
    </w:rPr>
  </w:style>
  <w:style w:type="character" w:customStyle="1" w:styleId="CommentSubjectChar">
    <w:name w:val="Comment Subject Char"/>
    <w:basedOn w:val="CommentTextChar"/>
    <w:link w:val="CommentSubject"/>
    <w:semiHidden/>
    <w:rsid w:val="00D2178E"/>
    <w:rPr>
      <w:rFonts w:ascii="Adobe Garamond Pro" w:eastAsiaTheme="minorHAnsi" w:hAnsi="Adobe Garamond Pro" w:cstheme="minorBidi"/>
      <w:b/>
      <w:bCs/>
      <w:lang w:bidi="en-US"/>
    </w:rPr>
  </w:style>
  <w:style w:type="paragraph" w:styleId="NormalWeb">
    <w:name w:val="Normal (Web)"/>
    <w:basedOn w:val="Normal"/>
    <w:uiPriority w:val="99"/>
    <w:semiHidden/>
    <w:unhideWhenUsed/>
    <w:rsid w:val="006B0B6A"/>
    <w:pPr>
      <w:spacing w:before="100" w:beforeAutospacing="1" w:after="100" w:afterAutospacing="1"/>
      <w:ind w:left="0" w:firstLine="0"/>
    </w:pPr>
    <w:rPr>
      <w:rFonts w:ascii="Times New Roman" w:hAnsi="Times New Roman"/>
      <w:sz w:val="24"/>
      <w:szCs w:val="24"/>
      <w:lang w:bidi="ar-SA"/>
    </w:rPr>
  </w:style>
  <w:style w:type="character" w:customStyle="1" w:styleId="NoSpacingChar">
    <w:name w:val="No Spacing Char"/>
    <w:basedOn w:val="DefaultParagraphFont"/>
    <w:link w:val="NoSpacing"/>
    <w:uiPriority w:val="1"/>
    <w:rsid w:val="00A045F7"/>
    <w:rPr>
      <w:rFonts w:ascii="Adobe Garamond Pro" w:hAnsi="Adobe Garamond Pro"/>
      <w:szCs w:val="22"/>
      <w:lang w:bidi="en-US"/>
    </w:rPr>
  </w:style>
  <w:style w:type="numbering" w:customStyle="1" w:styleId="NoList1">
    <w:name w:val="No List1"/>
    <w:next w:val="NoList"/>
    <w:uiPriority w:val="99"/>
    <w:semiHidden/>
    <w:unhideWhenUsed/>
    <w:rsid w:val="008A5A5B"/>
  </w:style>
  <w:style w:type="table" w:customStyle="1" w:styleId="TableGrid5">
    <w:name w:val="Table Grid5"/>
    <w:basedOn w:val="TableNormal"/>
    <w:next w:val="TableGrid"/>
    <w:uiPriority w:val="59"/>
    <w:rsid w:val="008A5A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LItem">
    <w:name w:val="NL Item"/>
    <w:rsid w:val="008A5A5B"/>
    <w:pPr>
      <w:numPr>
        <w:ilvl w:val="1"/>
        <w:numId w:val="6"/>
      </w:numPr>
      <w:spacing w:before="120" w:after="0"/>
    </w:pPr>
    <w:rPr>
      <w:rFonts w:ascii="Times New Roman" w:hAnsi="Times New Roman"/>
      <w:sz w:val="24"/>
      <w:szCs w:val="24"/>
    </w:rPr>
  </w:style>
  <w:style w:type="paragraph" w:customStyle="1" w:styleId="NLBegin">
    <w:name w:val="NL Begin"/>
    <w:next w:val="NLItem"/>
    <w:rsid w:val="008A5A5B"/>
    <w:pPr>
      <w:numPr>
        <w:numId w:val="6"/>
      </w:numPr>
      <w:spacing w:after="0" w:line="80" w:lineRule="exact"/>
    </w:pPr>
    <w:rPr>
      <w:rFonts w:ascii="Times New Roman" w:hAnsi="Times New Roman"/>
      <w:color w:val="FFFFFF"/>
      <w:szCs w:val="24"/>
    </w:rPr>
  </w:style>
  <w:style w:type="paragraph" w:customStyle="1" w:styleId="BodyTextSubLevels">
    <w:name w:val="Body Text Sub Levels"/>
    <w:rsid w:val="008A5A5B"/>
    <w:pPr>
      <w:spacing w:before="120" w:after="0"/>
      <w:ind w:left="504" w:firstLine="0"/>
    </w:pPr>
    <w:rPr>
      <w:rFonts w:ascii="Times New Roman" w:hAnsi="Times New Roman"/>
      <w:sz w:val="24"/>
      <w:szCs w:val="24"/>
    </w:rPr>
  </w:style>
  <w:style w:type="paragraph" w:customStyle="1" w:styleId="appendixhead2">
    <w:name w:val="appendix head 2"/>
    <w:basedOn w:val="Normal"/>
    <w:rsid w:val="008A5A5B"/>
    <w:pPr>
      <w:keepNext/>
      <w:spacing w:before="360" w:after="240"/>
      <w:ind w:left="0" w:firstLine="0"/>
    </w:pPr>
    <w:rPr>
      <w:rFonts w:ascii="Arial" w:hAnsi="Arial" w:cs="Arial"/>
      <w:b/>
      <w:sz w:val="24"/>
      <w:szCs w:val="24"/>
      <w:lang w:bidi="ar-SA"/>
    </w:rPr>
  </w:style>
  <w:style w:type="paragraph" w:customStyle="1" w:styleId="bullet">
    <w:name w:val="bullet"/>
    <w:basedOn w:val="bodytext0"/>
    <w:rsid w:val="008A5A5B"/>
    <w:pPr>
      <w:numPr>
        <w:numId w:val="7"/>
      </w:numPr>
      <w:spacing w:before="120" w:after="120"/>
    </w:pPr>
  </w:style>
  <w:style w:type="paragraph" w:customStyle="1" w:styleId="A1AppendixI">
    <w:name w:val="A1 Appendix I"/>
    <w:autoRedefine/>
    <w:uiPriority w:val="99"/>
    <w:rsid w:val="008A5A5B"/>
    <w:pPr>
      <w:numPr>
        <w:numId w:val="8"/>
      </w:numPr>
      <w:spacing w:after="200" w:line="276" w:lineRule="auto"/>
      <w:ind w:left="1440" w:firstLine="0"/>
    </w:pPr>
    <w:rPr>
      <w:b/>
      <w:bCs/>
      <w:iCs/>
      <w:sz w:val="32"/>
      <w:szCs w:val="28"/>
    </w:rPr>
  </w:style>
  <w:style w:type="paragraph" w:customStyle="1" w:styleId="A2AppendixII">
    <w:name w:val="A2 Appendix II"/>
    <w:uiPriority w:val="99"/>
    <w:rsid w:val="008A5A5B"/>
    <w:pPr>
      <w:numPr>
        <w:ilvl w:val="1"/>
        <w:numId w:val="8"/>
      </w:numPr>
      <w:spacing w:after="200" w:line="276" w:lineRule="auto"/>
      <w:ind w:left="720"/>
    </w:pPr>
    <w:rPr>
      <w:rFonts w:ascii="Cambria" w:hAnsi="Cambria"/>
      <w:b/>
      <w:bCs/>
      <w:iCs/>
      <w:sz w:val="28"/>
      <w:szCs w:val="28"/>
    </w:rPr>
  </w:style>
  <w:style w:type="paragraph" w:customStyle="1" w:styleId="A3AppendixIII">
    <w:name w:val="A3 Appendix III"/>
    <w:uiPriority w:val="99"/>
    <w:rsid w:val="008A5A5B"/>
    <w:pPr>
      <w:numPr>
        <w:ilvl w:val="2"/>
        <w:numId w:val="8"/>
      </w:numPr>
      <w:spacing w:after="200" w:line="276" w:lineRule="auto"/>
    </w:pPr>
    <w:rPr>
      <w:rFonts w:ascii="Cambria" w:hAnsi="Cambria"/>
      <w:b/>
      <w:bCs/>
      <w:iCs/>
      <w:sz w:val="24"/>
      <w:szCs w:val="28"/>
    </w:rPr>
  </w:style>
  <w:style w:type="paragraph" w:customStyle="1" w:styleId="A4AppendixIV">
    <w:name w:val="A4 Appendix IV"/>
    <w:uiPriority w:val="99"/>
    <w:rsid w:val="008A5A5B"/>
    <w:pPr>
      <w:numPr>
        <w:ilvl w:val="3"/>
        <w:numId w:val="8"/>
      </w:numPr>
      <w:spacing w:after="200" w:line="276" w:lineRule="auto"/>
      <w:ind w:left="1440"/>
    </w:pPr>
    <w:rPr>
      <w:rFonts w:ascii="Cambria" w:hAnsi="Cambria"/>
      <w:b/>
      <w:bCs/>
      <w:iCs/>
      <w:sz w:val="24"/>
      <w:szCs w:val="28"/>
    </w:rPr>
  </w:style>
  <w:style w:type="paragraph" w:customStyle="1" w:styleId="A5AppendixListLevel1">
    <w:name w:val="A5 Appendix List Level 1"/>
    <w:uiPriority w:val="99"/>
    <w:rsid w:val="008A5A5B"/>
    <w:pPr>
      <w:numPr>
        <w:ilvl w:val="4"/>
        <w:numId w:val="8"/>
      </w:numPr>
      <w:spacing w:after="200" w:line="276" w:lineRule="auto"/>
      <w:jc w:val="both"/>
    </w:pPr>
    <w:rPr>
      <w:rFonts w:ascii="Cambria" w:hAnsi="Cambria"/>
      <w:bCs/>
      <w:iCs/>
      <w:szCs w:val="28"/>
    </w:rPr>
  </w:style>
  <w:style w:type="paragraph" w:customStyle="1" w:styleId="A6AppendixListLevel2">
    <w:name w:val="A6 Appendix List Level 2"/>
    <w:uiPriority w:val="99"/>
    <w:rsid w:val="008A5A5B"/>
    <w:pPr>
      <w:numPr>
        <w:ilvl w:val="5"/>
        <w:numId w:val="8"/>
      </w:numPr>
      <w:spacing w:after="200" w:line="276" w:lineRule="auto"/>
      <w:jc w:val="both"/>
    </w:pPr>
    <w:rPr>
      <w:rFonts w:ascii="Cambria" w:hAnsi="Cambria"/>
      <w:bCs/>
      <w:iCs/>
      <w:szCs w:val="28"/>
    </w:rPr>
  </w:style>
  <w:style w:type="paragraph" w:customStyle="1" w:styleId="A8Appendix-Caption-Figure">
    <w:name w:val="A8 Appendix - Caption - Figure"/>
    <w:uiPriority w:val="99"/>
    <w:rsid w:val="008A5A5B"/>
    <w:pPr>
      <w:numPr>
        <w:ilvl w:val="8"/>
        <w:numId w:val="8"/>
      </w:numPr>
      <w:spacing w:after="200" w:line="276" w:lineRule="auto"/>
      <w:ind w:left="0"/>
      <w:jc w:val="center"/>
    </w:pPr>
    <w:rPr>
      <w:rFonts w:ascii="Cambria" w:eastAsia="Calibri" w:hAnsi="Cambria"/>
      <w:b/>
      <w:color w:val="1F497D"/>
      <w:sz w:val="18"/>
      <w:szCs w:val="22"/>
    </w:rPr>
  </w:style>
  <w:style w:type="paragraph" w:customStyle="1" w:styleId="A7Appendix-Caption-Table">
    <w:name w:val="A7 Appendix - Caption - Table"/>
    <w:uiPriority w:val="99"/>
    <w:rsid w:val="008A5A5B"/>
    <w:pPr>
      <w:numPr>
        <w:ilvl w:val="7"/>
        <w:numId w:val="8"/>
      </w:numPr>
      <w:spacing w:after="200" w:line="276" w:lineRule="auto"/>
      <w:ind w:left="0"/>
      <w:jc w:val="center"/>
    </w:pPr>
    <w:rPr>
      <w:rFonts w:ascii="Cambria" w:hAnsi="Cambria"/>
      <w:b/>
      <w:bCs/>
      <w:iCs/>
      <w:color w:val="1F497D"/>
      <w:sz w:val="18"/>
      <w:szCs w:val="28"/>
    </w:rPr>
  </w:style>
  <w:style w:type="numbering" w:customStyle="1" w:styleId="ExecutiveSummaryList">
    <w:name w:val="Executive Summary List"/>
    <w:rsid w:val="008A5A5B"/>
    <w:pPr>
      <w:numPr>
        <w:numId w:val="27"/>
      </w:numPr>
    </w:pPr>
  </w:style>
  <w:style w:type="paragraph" w:customStyle="1" w:styleId="ALItem">
    <w:name w:val="AL Item"/>
    <w:rsid w:val="008A5A5B"/>
    <w:pPr>
      <w:numPr>
        <w:ilvl w:val="1"/>
        <w:numId w:val="9"/>
      </w:numPr>
      <w:spacing w:before="40" w:after="0"/>
    </w:pPr>
    <w:rPr>
      <w:rFonts w:ascii="Times New Roman" w:hAnsi="Times New Roman"/>
      <w:sz w:val="24"/>
      <w:szCs w:val="24"/>
    </w:rPr>
  </w:style>
  <w:style w:type="paragraph" w:customStyle="1" w:styleId="ALBegin">
    <w:name w:val="AL Begin"/>
    <w:next w:val="ALItem"/>
    <w:rsid w:val="008A5A5B"/>
    <w:pPr>
      <w:numPr>
        <w:numId w:val="9"/>
      </w:numPr>
      <w:spacing w:after="0" w:line="80" w:lineRule="exact"/>
    </w:pPr>
    <w:rPr>
      <w:rFonts w:ascii="Times New Roman" w:hAnsi="Times New Roman"/>
      <w:color w:val="FFFFFF"/>
      <w:szCs w:val="24"/>
    </w:rPr>
  </w:style>
  <w:style w:type="paragraph" w:customStyle="1" w:styleId="TableHeading">
    <w:name w:val="Table Heading"/>
    <w:rsid w:val="008A5A5B"/>
    <w:pPr>
      <w:spacing w:before="120"/>
      <w:ind w:left="72" w:firstLine="0"/>
    </w:pPr>
    <w:rPr>
      <w:rFonts w:ascii="Arial" w:hAnsi="Arial"/>
      <w:b/>
      <w:sz w:val="22"/>
      <w:szCs w:val="24"/>
    </w:rPr>
  </w:style>
  <w:style w:type="paragraph" w:customStyle="1" w:styleId="TableText">
    <w:name w:val="Table Text"/>
    <w:rsid w:val="008A5A5B"/>
    <w:pPr>
      <w:spacing w:before="60"/>
      <w:ind w:left="72" w:firstLine="0"/>
    </w:pPr>
    <w:rPr>
      <w:rFonts w:ascii="Arial" w:hAnsi="Arial"/>
      <w:sz w:val="18"/>
      <w:szCs w:val="24"/>
    </w:rPr>
  </w:style>
  <w:style w:type="numbering" w:customStyle="1" w:styleId="NoList11">
    <w:name w:val="No List11"/>
    <w:next w:val="NoList"/>
    <w:uiPriority w:val="99"/>
    <w:semiHidden/>
    <w:unhideWhenUsed/>
    <w:rsid w:val="008A5A5B"/>
  </w:style>
  <w:style w:type="paragraph" w:customStyle="1" w:styleId="bodytextindent">
    <w:name w:val="bodytext indent"/>
    <w:basedOn w:val="numbertext"/>
    <w:rsid w:val="008A5A5B"/>
  </w:style>
  <w:style w:type="paragraph" w:customStyle="1" w:styleId="numbertext">
    <w:name w:val="numbertext"/>
    <w:basedOn w:val="bodytext0"/>
    <w:rsid w:val="008A5A5B"/>
  </w:style>
  <w:style w:type="paragraph" w:customStyle="1" w:styleId="Appendicesmainhead">
    <w:name w:val="Appendices mainhead"/>
    <w:basedOn w:val="appendixhead"/>
    <w:rsid w:val="008A5A5B"/>
  </w:style>
  <w:style w:type="paragraph" w:customStyle="1" w:styleId="appendixhead">
    <w:name w:val="appendix head"/>
    <w:basedOn w:val="Normal"/>
    <w:uiPriority w:val="99"/>
    <w:rsid w:val="008A5A5B"/>
    <w:pPr>
      <w:keepNext/>
      <w:spacing w:before="360" w:after="240"/>
      <w:ind w:left="0" w:firstLine="0"/>
    </w:pPr>
    <w:rPr>
      <w:rFonts w:ascii="Arial" w:hAnsi="Arial" w:cs="Arial"/>
      <w:b/>
      <w:sz w:val="28"/>
      <w:szCs w:val="28"/>
      <w:lang w:bidi="ar-SA"/>
    </w:rPr>
  </w:style>
  <w:style w:type="character" w:customStyle="1" w:styleId="TOC1CharChar">
    <w:name w:val="TOC 1 Char Char"/>
    <w:basedOn w:val="DefaultParagraphFont"/>
    <w:rsid w:val="008A5A5B"/>
    <w:rPr>
      <w:rFonts w:ascii="Arial" w:hAnsi="Arial"/>
      <w:b/>
      <w:sz w:val="24"/>
      <w:szCs w:val="24"/>
      <w:lang w:val="en-US" w:eastAsia="en-US" w:bidi="ar-SA"/>
    </w:rPr>
  </w:style>
  <w:style w:type="paragraph" w:customStyle="1" w:styleId="figure0">
    <w:name w:val="figure"/>
    <w:basedOn w:val="bodytext0"/>
    <w:next w:val="bodytext0"/>
    <w:link w:val="figureChar0"/>
    <w:rsid w:val="008A5A5B"/>
  </w:style>
  <w:style w:type="paragraph" w:customStyle="1" w:styleId="Note">
    <w:name w:val="Note"/>
    <w:basedOn w:val="Normal"/>
    <w:rsid w:val="008A5A5B"/>
    <w:pPr>
      <w:keepNext/>
      <w:tabs>
        <w:tab w:val="left" w:pos="1080"/>
      </w:tabs>
      <w:spacing w:before="60" w:after="0"/>
      <w:ind w:left="720"/>
    </w:pPr>
    <w:rPr>
      <w:rFonts w:ascii="Arial" w:hAnsi="Arial" w:cs="Arial"/>
      <w:szCs w:val="20"/>
      <w:lang w:bidi="ar-SA"/>
    </w:rPr>
  </w:style>
  <w:style w:type="paragraph" w:customStyle="1" w:styleId="subhead">
    <w:name w:val="subhead"/>
    <w:basedOn w:val="Normal"/>
    <w:next w:val="bodytext0"/>
    <w:rsid w:val="008A5A5B"/>
    <w:pPr>
      <w:keepNext/>
      <w:spacing w:before="120" w:after="240"/>
      <w:ind w:left="0" w:right="43" w:firstLine="0"/>
    </w:pPr>
    <w:rPr>
      <w:rFonts w:ascii="Arial" w:hAnsi="Arial" w:cs="Arial"/>
      <w:b/>
      <w:bCs/>
      <w:color w:val="000000"/>
      <w:sz w:val="24"/>
      <w:szCs w:val="24"/>
      <w:lang w:bidi="ar-SA"/>
    </w:rPr>
  </w:style>
  <w:style w:type="paragraph" w:customStyle="1" w:styleId="glossary">
    <w:name w:val="glossary"/>
    <w:basedOn w:val="Normal"/>
    <w:rsid w:val="008A5A5B"/>
    <w:pPr>
      <w:keepNext/>
      <w:spacing w:before="60"/>
      <w:ind w:left="0" w:firstLine="0"/>
    </w:pPr>
    <w:rPr>
      <w:rFonts w:ascii="Trebuchet MS" w:hAnsi="Trebuchet MS"/>
      <w:sz w:val="24"/>
      <w:szCs w:val="24"/>
      <w:lang w:bidi="ar-SA"/>
    </w:rPr>
  </w:style>
  <w:style w:type="paragraph" w:customStyle="1" w:styleId="TOCHeader">
    <w:name w:val="TOC Header"/>
    <w:basedOn w:val="Normal"/>
    <w:rsid w:val="008A5A5B"/>
    <w:pPr>
      <w:keepNext/>
      <w:pBdr>
        <w:bottom w:val="single" w:sz="4" w:space="1" w:color="auto"/>
      </w:pBdr>
      <w:spacing w:before="120" w:after="360"/>
      <w:ind w:left="0" w:firstLine="0"/>
    </w:pPr>
    <w:rPr>
      <w:rFonts w:ascii="Arial" w:hAnsi="Arial" w:cs="Arial"/>
      <w:b/>
      <w:bCs/>
      <w:sz w:val="32"/>
      <w:szCs w:val="32"/>
      <w:lang w:bidi="ar-SA"/>
    </w:rPr>
  </w:style>
  <w:style w:type="paragraph" w:customStyle="1" w:styleId="dash">
    <w:name w:val="dash"/>
    <w:basedOn w:val="bullet"/>
    <w:rsid w:val="008A5A5B"/>
  </w:style>
  <w:style w:type="character" w:styleId="PageNumber">
    <w:name w:val="page number"/>
    <w:basedOn w:val="DefaultParagraphFont"/>
    <w:rsid w:val="008A5A5B"/>
  </w:style>
  <w:style w:type="paragraph" w:customStyle="1" w:styleId="disclaimer">
    <w:name w:val="disclaimer"/>
    <w:basedOn w:val="Normal"/>
    <w:rsid w:val="008A5A5B"/>
    <w:pPr>
      <w:keepNext/>
      <w:snapToGrid w:val="0"/>
      <w:spacing w:before="120" w:after="120"/>
      <w:ind w:left="0" w:firstLine="0"/>
    </w:pPr>
    <w:rPr>
      <w:rFonts w:ascii="Arial" w:hAnsi="Arial" w:cs="Arial"/>
      <w:sz w:val="22"/>
      <w:lang w:bidi="ar-SA"/>
    </w:rPr>
  </w:style>
  <w:style w:type="paragraph" w:customStyle="1" w:styleId="figurecap">
    <w:name w:val="figurecap"/>
    <w:basedOn w:val="Caption"/>
    <w:link w:val="figurecapChar"/>
    <w:autoRedefine/>
    <w:rsid w:val="008A5A5B"/>
    <w:pPr>
      <w:keepNext w:val="0"/>
      <w:spacing w:before="0" w:after="200"/>
      <w:ind w:left="1152" w:hanging="360"/>
      <w:jc w:val="left"/>
    </w:pPr>
    <w:rPr>
      <w:rFonts w:ascii="Adobe Garamond Pro" w:hAnsi="Adobe Garamond Pro"/>
      <w:b/>
      <w:bCs/>
      <w:iCs w:val="0"/>
      <w:color w:val="4F81BD" w:themeColor="accent1"/>
      <w:sz w:val="18"/>
      <w:szCs w:val="18"/>
      <w:lang w:bidi="en-US"/>
    </w:rPr>
  </w:style>
  <w:style w:type="paragraph" w:customStyle="1" w:styleId="Tablecap">
    <w:name w:val="Tablecap"/>
    <w:basedOn w:val="Caption"/>
    <w:uiPriority w:val="99"/>
    <w:rsid w:val="008A5A5B"/>
    <w:pPr>
      <w:keepNext w:val="0"/>
      <w:spacing w:before="0" w:after="200"/>
      <w:ind w:left="1152" w:hanging="360"/>
      <w:jc w:val="left"/>
    </w:pPr>
    <w:rPr>
      <w:rFonts w:ascii="Adobe Garamond Pro" w:hAnsi="Adobe Garamond Pro" w:cs="Times New Roman"/>
      <w:b/>
      <w:bCs/>
      <w:iCs w:val="0"/>
      <w:color w:val="4F81BD" w:themeColor="accent1"/>
      <w:sz w:val="18"/>
      <w:szCs w:val="18"/>
      <w:lang w:bidi="en-US"/>
    </w:rPr>
  </w:style>
  <w:style w:type="paragraph" w:customStyle="1" w:styleId="ExecSumHeader">
    <w:name w:val="Exec Sum Header"/>
    <w:basedOn w:val="TOCHeader"/>
    <w:rsid w:val="008A5A5B"/>
  </w:style>
  <w:style w:type="paragraph" w:customStyle="1" w:styleId="subheadital">
    <w:name w:val="subhead ital"/>
    <w:basedOn w:val="bodytext0"/>
    <w:rsid w:val="008A5A5B"/>
  </w:style>
  <w:style w:type="character" w:customStyle="1" w:styleId="figureChar0">
    <w:name w:val="figure Char"/>
    <w:basedOn w:val="DefaultParagraphFont"/>
    <w:link w:val="figure0"/>
    <w:rsid w:val="008A5A5B"/>
    <w:rPr>
      <w:rFonts w:asciiTheme="minorHAnsi" w:hAnsiTheme="minorHAnsi"/>
      <w:sz w:val="24"/>
      <w:szCs w:val="24"/>
    </w:rPr>
  </w:style>
  <w:style w:type="paragraph" w:customStyle="1" w:styleId="BasicParagraph">
    <w:name w:val="[Basic Paragraph]"/>
    <w:basedOn w:val="Normal"/>
    <w:autoRedefine/>
    <w:rsid w:val="008A5A5B"/>
    <w:pPr>
      <w:keepNext/>
      <w:autoSpaceDE w:val="0"/>
      <w:autoSpaceDN w:val="0"/>
      <w:adjustRightInd w:val="0"/>
      <w:spacing w:after="120" w:line="288" w:lineRule="auto"/>
      <w:ind w:left="0" w:firstLine="0"/>
      <w:jc w:val="center"/>
      <w:textAlignment w:val="center"/>
    </w:pPr>
    <w:rPr>
      <w:rFonts w:ascii="Arial" w:hAnsi="Arial" w:cs="Arial"/>
      <w:color w:val="000000"/>
      <w:szCs w:val="20"/>
      <w:lang w:bidi="ar-SA"/>
    </w:rPr>
  </w:style>
  <w:style w:type="table" w:customStyle="1" w:styleId="TableGrid11">
    <w:name w:val="Table Grid11"/>
    <w:basedOn w:val="TableNormal"/>
    <w:next w:val="TableGrid"/>
    <w:uiPriority w:val="59"/>
    <w:rsid w:val="008A5A5B"/>
    <w:pPr>
      <w:spacing w:after="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text"/>
    <w:basedOn w:val="Normal"/>
    <w:rsid w:val="008A5A5B"/>
    <w:pPr>
      <w:keepNext/>
      <w:autoSpaceDE w:val="0"/>
      <w:autoSpaceDN w:val="0"/>
      <w:adjustRightInd w:val="0"/>
      <w:spacing w:before="240" w:after="240" w:line="288" w:lineRule="auto"/>
      <w:ind w:left="0" w:firstLine="0"/>
      <w:textAlignment w:val="center"/>
    </w:pPr>
    <w:rPr>
      <w:rFonts w:ascii="Arial" w:hAnsi="Arial"/>
      <w:color w:val="000000"/>
      <w:szCs w:val="24"/>
      <w:lang w:bidi="ar-SA"/>
    </w:rPr>
  </w:style>
  <w:style w:type="paragraph" w:styleId="ListBullet">
    <w:name w:val="List Bullet"/>
    <w:basedOn w:val="Normal"/>
    <w:rsid w:val="008A5A5B"/>
    <w:pPr>
      <w:keepNext/>
      <w:numPr>
        <w:numId w:val="11"/>
      </w:numPr>
      <w:spacing w:after="0"/>
    </w:pPr>
    <w:rPr>
      <w:rFonts w:asciiTheme="minorHAnsi" w:hAnsiTheme="minorHAnsi"/>
      <w:sz w:val="24"/>
      <w:szCs w:val="24"/>
      <w:lang w:bidi="ar-SA"/>
    </w:rPr>
  </w:style>
  <w:style w:type="paragraph" w:customStyle="1" w:styleId="H1Text">
    <w:name w:val="H1 Text"/>
    <w:link w:val="H1TextChar"/>
    <w:rsid w:val="008A5A5B"/>
    <w:pPr>
      <w:snapToGrid w:val="0"/>
      <w:spacing w:before="120" w:after="200"/>
      <w:ind w:left="0" w:firstLine="0"/>
      <w:jc w:val="both"/>
    </w:pPr>
    <w:rPr>
      <w:rFonts w:ascii="Times New Roman" w:hAnsi="Times New Roman"/>
      <w:sz w:val="24"/>
      <w:szCs w:val="24"/>
    </w:rPr>
  </w:style>
  <w:style w:type="paragraph" w:customStyle="1" w:styleId="H2TextChar">
    <w:name w:val="H2 Text Char"/>
    <w:basedOn w:val="Normal"/>
    <w:next w:val="Normal"/>
    <w:link w:val="H2TextCharChar"/>
    <w:rsid w:val="008A5A5B"/>
    <w:pPr>
      <w:keepNext/>
      <w:snapToGrid w:val="0"/>
      <w:spacing w:before="120" w:after="120"/>
      <w:ind w:left="720" w:firstLine="0"/>
    </w:pPr>
    <w:rPr>
      <w:rFonts w:asciiTheme="minorHAnsi" w:hAnsiTheme="minorHAnsi"/>
      <w:sz w:val="24"/>
      <w:szCs w:val="24"/>
      <w:lang w:bidi="ar-SA"/>
    </w:rPr>
  </w:style>
  <w:style w:type="paragraph" w:customStyle="1" w:styleId="H3TextChar">
    <w:name w:val="H3 Text Char"/>
    <w:basedOn w:val="Normal"/>
    <w:link w:val="H3TextCharChar"/>
    <w:rsid w:val="008A5A5B"/>
    <w:pPr>
      <w:keepNext/>
      <w:snapToGrid w:val="0"/>
      <w:spacing w:before="120" w:after="120"/>
      <w:ind w:left="1440" w:firstLine="0"/>
    </w:pPr>
    <w:rPr>
      <w:rFonts w:asciiTheme="minorHAnsi" w:hAnsiTheme="minorHAnsi"/>
      <w:sz w:val="24"/>
      <w:szCs w:val="24"/>
      <w:lang w:bidi="ar-SA"/>
    </w:rPr>
  </w:style>
  <w:style w:type="paragraph" w:customStyle="1" w:styleId="H1Bullet">
    <w:name w:val="H1Bullet"/>
    <w:basedOn w:val="Normal"/>
    <w:rsid w:val="008A5A5B"/>
    <w:pPr>
      <w:keepNext/>
      <w:numPr>
        <w:numId w:val="13"/>
      </w:numPr>
      <w:tabs>
        <w:tab w:val="clear" w:pos="432"/>
        <w:tab w:val="num" w:pos="720"/>
      </w:tabs>
      <w:spacing w:before="40" w:after="40"/>
      <w:ind w:left="720" w:hanging="360"/>
    </w:pPr>
    <w:rPr>
      <w:rFonts w:asciiTheme="minorHAnsi" w:hAnsiTheme="minorHAnsi"/>
      <w:sz w:val="24"/>
      <w:szCs w:val="24"/>
      <w:lang w:bidi="ar-SA"/>
    </w:rPr>
  </w:style>
  <w:style w:type="paragraph" w:customStyle="1" w:styleId="H1NormJust">
    <w:name w:val="H1NormJust"/>
    <w:basedOn w:val="Normal"/>
    <w:semiHidden/>
    <w:rsid w:val="008A5A5B"/>
    <w:pPr>
      <w:keepNext/>
      <w:spacing w:before="120" w:after="120"/>
      <w:ind w:left="0" w:firstLine="0"/>
    </w:pPr>
    <w:rPr>
      <w:rFonts w:asciiTheme="minorHAnsi" w:hAnsiTheme="minorHAnsi"/>
      <w:sz w:val="24"/>
      <w:szCs w:val="24"/>
      <w:lang w:bidi="ar-SA"/>
    </w:rPr>
  </w:style>
  <w:style w:type="paragraph" w:customStyle="1" w:styleId="H2BULLET">
    <w:name w:val="H2BULLET"/>
    <w:basedOn w:val="Normal"/>
    <w:rsid w:val="008A5A5B"/>
    <w:pPr>
      <w:keepNext/>
      <w:numPr>
        <w:numId w:val="14"/>
      </w:numPr>
      <w:tabs>
        <w:tab w:val="clear" w:pos="1080"/>
        <w:tab w:val="num" w:pos="720"/>
      </w:tabs>
      <w:spacing w:before="120" w:after="120"/>
      <w:ind w:left="720"/>
    </w:pPr>
    <w:rPr>
      <w:rFonts w:asciiTheme="minorHAnsi" w:hAnsiTheme="minorHAnsi"/>
      <w:sz w:val="22"/>
      <w:lang w:bidi="ar-SA"/>
    </w:rPr>
  </w:style>
  <w:style w:type="paragraph" w:customStyle="1" w:styleId="H2NoNmbrHdr">
    <w:name w:val="H2No Nmbr Hdr"/>
    <w:basedOn w:val="Normal"/>
    <w:next w:val="Normal"/>
    <w:semiHidden/>
    <w:rsid w:val="008A5A5B"/>
    <w:pPr>
      <w:keepNext/>
      <w:widowControl w:val="0"/>
      <w:autoSpaceDE w:val="0"/>
      <w:autoSpaceDN w:val="0"/>
      <w:adjustRightInd w:val="0"/>
      <w:spacing w:before="40"/>
      <w:ind w:left="360" w:firstLine="0"/>
    </w:pPr>
    <w:rPr>
      <w:rFonts w:ascii="Arial" w:hAnsi="Arial" w:cs="Arial"/>
      <w:b/>
      <w:bCs/>
      <w:iCs/>
      <w:sz w:val="22"/>
      <w:lang w:bidi="ar-SA"/>
    </w:rPr>
  </w:style>
  <w:style w:type="character" w:customStyle="1" w:styleId="H2NoNmbrHdrChar">
    <w:name w:val="H2No Nmbr Hdr Char"/>
    <w:basedOn w:val="DefaultParagraphFont"/>
    <w:semiHidden/>
    <w:rsid w:val="008A5A5B"/>
    <w:rPr>
      <w:rFonts w:ascii="Arial" w:hAnsi="Arial" w:cs="Arial"/>
      <w:b/>
      <w:bCs/>
      <w:sz w:val="22"/>
      <w:szCs w:val="22"/>
      <w:lang w:val="en-US" w:eastAsia="en-US"/>
    </w:rPr>
  </w:style>
  <w:style w:type="paragraph" w:customStyle="1" w:styleId="H2NormJustChar">
    <w:name w:val="H2NormJust Char"/>
    <w:basedOn w:val="Normal"/>
    <w:semiHidden/>
    <w:rsid w:val="008A5A5B"/>
    <w:pPr>
      <w:keepNext/>
      <w:tabs>
        <w:tab w:val="num" w:pos="1080"/>
      </w:tabs>
      <w:spacing w:before="120" w:after="120"/>
      <w:ind w:left="360" w:firstLine="0"/>
    </w:pPr>
    <w:rPr>
      <w:rFonts w:asciiTheme="minorHAnsi" w:hAnsiTheme="minorHAnsi"/>
      <w:sz w:val="24"/>
      <w:szCs w:val="24"/>
      <w:lang w:bidi="ar-SA"/>
    </w:rPr>
  </w:style>
  <w:style w:type="character" w:customStyle="1" w:styleId="H2NormJustCharChar">
    <w:name w:val="H2NormJust Char Char"/>
    <w:basedOn w:val="DefaultParagraphFont"/>
    <w:semiHidden/>
    <w:rsid w:val="008A5A5B"/>
    <w:rPr>
      <w:sz w:val="24"/>
      <w:szCs w:val="24"/>
      <w:lang w:val="en-US" w:eastAsia="en-US"/>
    </w:rPr>
  </w:style>
  <w:style w:type="paragraph" w:customStyle="1" w:styleId="H3BULLET0">
    <w:name w:val="H3BULLET"/>
    <w:basedOn w:val="H2BULLET"/>
    <w:semiHidden/>
    <w:rsid w:val="008A5A5B"/>
  </w:style>
  <w:style w:type="paragraph" w:customStyle="1" w:styleId="H3Bullet">
    <w:name w:val="H3Bullet"/>
    <w:basedOn w:val="Normal"/>
    <w:rsid w:val="008A5A5B"/>
    <w:pPr>
      <w:keepNext/>
      <w:numPr>
        <w:numId w:val="19"/>
      </w:numPr>
      <w:tabs>
        <w:tab w:val="clear" w:pos="720"/>
      </w:tabs>
      <w:spacing w:before="60"/>
      <w:ind w:left="1440"/>
    </w:pPr>
    <w:rPr>
      <w:rFonts w:asciiTheme="minorHAnsi" w:hAnsiTheme="minorHAnsi"/>
      <w:sz w:val="24"/>
      <w:szCs w:val="24"/>
      <w:lang w:bidi="ar-SA"/>
    </w:rPr>
  </w:style>
  <w:style w:type="paragraph" w:customStyle="1" w:styleId="H3NormJust">
    <w:name w:val="H3NormJust"/>
    <w:basedOn w:val="Normal"/>
    <w:semiHidden/>
    <w:rsid w:val="008A5A5B"/>
    <w:pPr>
      <w:keepNext/>
      <w:spacing w:before="120" w:after="120"/>
      <w:ind w:left="720" w:firstLine="0"/>
    </w:pPr>
    <w:rPr>
      <w:rFonts w:asciiTheme="minorHAnsi" w:hAnsiTheme="minorHAnsi"/>
      <w:sz w:val="24"/>
      <w:szCs w:val="24"/>
      <w:lang w:bidi="ar-SA"/>
    </w:rPr>
  </w:style>
  <w:style w:type="character" w:customStyle="1" w:styleId="H3NormJustChar">
    <w:name w:val="H3NormJust Char"/>
    <w:basedOn w:val="DefaultParagraphFont"/>
    <w:semiHidden/>
    <w:rsid w:val="008A5A5B"/>
    <w:rPr>
      <w:sz w:val="24"/>
      <w:szCs w:val="24"/>
      <w:lang w:val="en-US" w:eastAsia="en-US"/>
    </w:rPr>
  </w:style>
  <w:style w:type="paragraph" w:customStyle="1" w:styleId="H3SUBBUL">
    <w:name w:val="H3SUBBUL"/>
    <w:basedOn w:val="H3BULLET0"/>
    <w:rsid w:val="008A5A5B"/>
    <w:pPr>
      <w:numPr>
        <w:ilvl w:val="2"/>
        <w:numId w:val="15"/>
      </w:numPr>
      <w:tabs>
        <w:tab w:val="clear" w:pos="2519"/>
        <w:tab w:val="num" w:pos="720"/>
      </w:tabs>
      <w:ind w:left="720"/>
    </w:pPr>
  </w:style>
  <w:style w:type="paragraph" w:customStyle="1" w:styleId="Heading2PB">
    <w:name w:val="Heading 2 PB"/>
    <w:basedOn w:val="Heading2"/>
    <w:semiHidden/>
    <w:rsid w:val="008A5A5B"/>
    <w:pPr>
      <w:keepNext/>
      <w:pageBreakBefore/>
      <w:spacing w:before="120" w:after="240" w:line="240" w:lineRule="auto"/>
      <w:ind w:firstLine="0"/>
      <w:outlineLvl w:val="9"/>
    </w:pPr>
    <w:rPr>
      <w:rFonts w:ascii="Times New Roman Bold" w:hAnsi="Times New Roman Bold"/>
      <w:b/>
      <w:color w:val="auto"/>
      <w:sz w:val="40"/>
      <w:szCs w:val="20"/>
      <w:lang w:bidi="ar-SA"/>
    </w:rPr>
  </w:style>
  <w:style w:type="paragraph" w:styleId="BodyTextIndent2">
    <w:name w:val="Body Text Indent 2"/>
    <w:basedOn w:val="Normal"/>
    <w:link w:val="BodyTextIndent2Char"/>
    <w:rsid w:val="008A5A5B"/>
    <w:pPr>
      <w:keepNext/>
      <w:spacing w:after="0"/>
      <w:ind w:left="0" w:firstLine="720"/>
    </w:pPr>
    <w:rPr>
      <w:rFonts w:ascii="Times" w:hAnsi="Times" w:cs="Times"/>
      <w:sz w:val="24"/>
      <w:szCs w:val="24"/>
      <w:lang w:bidi="ar-SA"/>
    </w:rPr>
  </w:style>
  <w:style w:type="character" w:customStyle="1" w:styleId="BodyTextIndent2Char">
    <w:name w:val="Body Text Indent 2 Char"/>
    <w:basedOn w:val="DefaultParagraphFont"/>
    <w:link w:val="BodyTextIndent2"/>
    <w:rsid w:val="008A5A5B"/>
    <w:rPr>
      <w:rFonts w:ascii="Times" w:hAnsi="Times" w:cs="Times"/>
      <w:sz w:val="24"/>
      <w:szCs w:val="24"/>
    </w:rPr>
  </w:style>
  <w:style w:type="paragraph" w:customStyle="1" w:styleId="BoldUnderline">
    <w:name w:val="Bold Underline"/>
    <w:rsid w:val="008A5A5B"/>
    <w:pPr>
      <w:spacing w:after="0"/>
      <w:ind w:left="0" w:firstLine="0"/>
    </w:pPr>
    <w:rPr>
      <w:rFonts w:ascii="Times New Roman" w:hAnsi="Times New Roman"/>
      <w:b/>
      <w:sz w:val="24"/>
      <w:szCs w:val="24"/>
      <w:u w:val="single"/>
    </w:rPr>
  </w:style>
  <w:style w:type="paragraph" w:customStyle="1" w:styleId="address">
    <w:name w:val="address"/>
    <w:basedOn w:val="Normal"/>
    <w:rsid w:val="008A5A5B"/>
    <w:pPr>
      <w:keepNext/>
      <w:spacing w:after="0"/>
      <w:ind w:left="0" w:firstLine="0"/>
    </w:pPr>
    <w:rPr>
      <w:rFonts w:asciiTheme="minorHAnsi" w:hAnsiTheme="minorHAnsi"/>
      <w:sz w:val="24"/>
      <w:szCs w:val="24"/>
      <w:lang w:bidi="ar-SA"/>
    </w:rPr>
  </w:style>
  <w:style w:type="paragraph" w:styleId="ListNumber">
    <w:name w:val="List Number"/>
    <w:basedOn w:val="Normal"/>
    <w:rsid w:val="008A5A5B"/>
    <w:pPr>
      <w:keepNext/>
      <w:numPr>
        <w:numId w:val="16"/>
      </w:numPr>
      <w:spacing w:after="0"/>
    </w:pPr>
    <w:rPr>
      <w:rFonts w:asciiTheme="minorHAnsi" w:hAnsiTheme="minorHAnsi"/>
      <w:sz w:val="24"/>
      <w:szCs w:val="24"/>
      <w:lang w:bidi="ar-SA"/>
    </w:rPr>
  </w:style>
  <w:style w:type="paragraph" w:customStyle="1" w:styleId="a-c">
    <w:name w:val="a-c"/>
    <w:rsid w:val="008A5A5B"/>
    <w:pPr>
      <w:tabs>
        <w:tab w:val="left" w:pos="720"/>
      </w:tabs>
      <w:autoSpaceDE w:val="0"/>
      <w:autoSpaceDN w:val="0"/>
      <w:adjustRightInd w:val="0"/>
      <w:spacing w:before="240" w:after="120"/>
      <w:ind w:left="0" w:firstLine="0"/>
    </w:pPr>
    <w:rPr>
      <w:rFonts w:ascii="Times New Roman" w:hAnsi="Times New Roman"/>
      <w:b/>
      <w:bCs/>
      <w:sz w:val="24"/>
      <w:szCs w:val="24"/>
      <w:lang w:eastAsia="en-CA"/>
    </w:rPr>
  </w:style>
  <w:style w:type="paragraph" w:customStyle="1" w:styleId="A-CPara">
    <w:name w:val="A-C Para"/>
    <w:rsid w:val="008A5A5B"/>
    <w:pPr>
      <w:autoSpaceDE w:val="0"/>
      <w:autoSpaceDN w:val="0"/>
      <w:adjustRightInd w:val="0"/>
      <w:spacing w:before="40" w:after="120"/>
      <w:ind w:left="360" w:firstLine="0"/>
    </w:pPr>
    <w:rPr>
      <w:rFonts w:ascii="Times New Roman" w:hAnsi="Times New Roman"/>
      <w:sz w:val="24"/>
      <w:szCs w:val="24"/>
    </w:rPr>
  </w:style>
  <w:style w:type="paragraph" w:customStyle="1" w:styleId="Legalis">
    <w:name w:val="Legal i's"/>
    <w:basedOn w:val="Normal"/>
    <w:next w:val="Normal"/>
    <w:rsid w:val="008A5A5B"/>
    <w:pPr>
      <w:keepNext/>
      <w:spacing w:before="240" w:after="120"/>
      <w:ind w:left="0" w:firstLine="0"/>
    </w:pPr>
    <w:rPr>
      <w:rFonts w:asciiTheme="minorHAnsi" w:hAnsiTheme="minorHAnsi"/>
      <w:b/>
      <w:bCs/>
      <w:color w:val="000000"/>
      <w:sz w:val="24"/>
      <w:szCs w:val="24"/>
      <w:lang w:val="en-CA" w:eastAsia="en-CA" w:bidi="ar-SA"/>
    </w:rPr>
  </w:style>
  <w:style w:type="paragraph" w:customStyle="1" w:styleId="LegalPara">
    <w:name w:val="Legal Para"/>
    <w:rsid w:val="008A5A5B"/>
    <w:pPr>
      <w:spacing w:before="120" w:after="120"/>
      <w:ind w:left="1080" w:firstLine="0"/>
    </w:pPr>
    <w:rPr>
      <w:rFonts w:ascii="Times New Roman" w:hAnsi="Times New Roman"/>
      <w:sz w:val="24"/>
      <w:szCs w:val="24"/>
    </w:rPr>
  </w:style>
  <w:style w:type="numbering" w:customStyle="1" w:styleId="Italis">
    <w:name w:val="Ital i's"/>
    <w:rsid w:val="008A5A5B"/>
    <w:pPr>
      <w:numPr>
        <w:numId w:val="17"/>
      </w:numPr>
    </w:pPr>
  </w:style>
  <w:style w:type="paragraph" w:customStyle="1" w:styleId="numbertextChar">
    <w:name w:val="number text Char"/>
    <w:basedOn w:val="Normal"/>
    <w:link w:val="numbertextCharChar"/>
    <w:rsid w:val="008A5A5B"/>
    <w:pPr>
      <w:keepNext/>
      <w:numPr>
        <w:numId w:val="12"/>
      </w:numPr>
      <w:spacing w:before="120" w:after="120"/>
    </w:pPr>
    <w:rPr>
      <w:rFonts w:asciiTheme="minorHAnsi" w:hAnsiTheme="minorHAnsi"/>
      <w:sz w:val="24"/>
      <w:szCs w:val="24"/>
      <w:lang w:bidi="ar-SA"/>
    </w:rPr>
  </w:style>
  <w:style w:type="paragraph" w:styleId="ListNumber3">
    <w:name w:val="List Number 3"/>
    <w:basedOn w:val="Normal"/>
    <w:rsid w:val="008A5A5B"/>
    <w:pPr>
      <w:keepNext/>
      <w:numPr>
        <w:numId w:val="22"/>
      </w:numPr>
      <w:spacing w:before="80" w:after="80"/>
    </w:pPr>
    <w:rPr>
      <w:rFonts w:asciiTheme="minorHAnsi" w:hAnsiTheme="minorHAnsi"/>
      <w:sz w:val="24"/>
      <w:szCs w:val="24"/>
      <w:lang w:bidi="ar-SA"/>
    </w:rPr>
  </w:style>
  <w:style w:type="paragraph" w:styleId="ListNumber4">
    <w:name w:val="List Number 4"/>
    <w:basedOn w:val="Normal"/>
    <w:rsid w:val="008A5A5B"/>
    <w:pPr>
      <w:keepNext/>
      <w:numPr>
        <w:numId w:val="24"/>
      </w:numPr>
      <w:spacing w:after="0"/>
    </w:pPr>
    <w:rPr>
      <w:rFonts w:asciiTheme="minorHAnsi" w:hAnsiTheme="minorHAnsi"/>
      <w:sz w:val="24"/>
      <w:szCs w:val="24"/>
      <w:lang w:bidi="ar-SA"/>
    </w:rPr>
  </w:style>
  <w:style w:type="paragraph" w:styleId="ListNumber5">
    <w:name w:val="List Number 5"/>
    <w:basedOn w:val="Normal"/>
    <w:rsid w:val="008A5A5B"/>
    <w:pPr>
      <w:keepNext/>
      <w:numPr>
        <w:numId w:val="18"/>
      </w:numPr>
      <w:spacing w:after="0"/>
    </w:pPr>
    <w:rPr>
      <w:rFonts w:asciiTheme="minorHAnsi" w:hAnsiTheme="minorHAnsi"/>
      <w:sz w:val="24"/>
      <w:szCs w:val="24"/>
      <w:lang w:bidi="ar-SA"/>
    </w:rPr>
  </w:style>
  <w:style w:type="paragraph" w:styleId="List4">
    <w:name w:val="List 4"/>
    <w:basedOn w:val="Normal"/>
    <w:rsid w:val="008A5A5B"/>
    <w:pPr>
      <w:keepNext/>
      <w:spacing w:after="0"/>
      <w:ind w:left="1440"/>
    </w:pPr>
    <w:rPr>
      <w:rFonts w:asciiTheme="minorHAnsi" w:hAnsiTheme="minorHAnsi"/>
      <w:sz w:val="24"/>
      <w:szCs w:val="24"/>
      <w:lang w:bidi="ar-SA"/>
    </w:rPr>
  </w:style>
  <w:style w:type="paragraph" w:customStyle="1" w:styleId="H4TextChar">
    <w:name w:val="H4Text Char"/>
    <w:link w:val="H4TextCharChar"/>
    <w:rsid w:val="008A5A5B"/>
    <w:pPr>
      <w:spacing w:after="0"/>
      <w:ind w:left="2160" w:firstLine="0"/>
    </w:pPr>
    <w:rPr>
      <w:rFonts w:ascii="Times New Roman" w:hAnsi="Times New Roman"/>
      <w:sz w:val="24"/>
      <w:szCs w:val="24"/>
    </w:rPr>
  </w:style>
  <w:style w:type="paragraph" w:customStyle="1" w:styleId="captiontable">
    <w:name w:val="captiontable"/>
    <w:basedOn w:val="Normal"/>
    <w:next w:val="bodytext0"/>
    <w:rsid w:val="008A5A5B"/>
    <w:pPr>
      <w:keepNext/>
      <w:spacing w:before="120" w:after="120"/>
      <w:ind w:left="0" w:firstLine="0"/>
      <w:jc w:val="center"/>
    </w:pPr>
    <w:rPr>
      <w:rFonts w:ascii="Times" w:hAnsi="Times"/>
      <w:b/>
      <w:i/>
      <w:sz w:val="24"/>
      <w:szCs w:val="20"/>
      <w:lang w:bidi="ar-SA"/>
    </w:rPr>
  </w:style>
  <w:style w:type="character" w:customStyle="1" w:styleId="H2TextCharChar">
    <w:name w:val="H2 Text Char Char"/>
    <w:basedOn w:val="DefaultParagraphFont"/>
    <w:link w:val="H2TextChar"/>
    <w:rsid w:val="008A5A5B"/>
    <w:rPr>
      <w:rFonts w:asciiTheme="minorHAnsi" w:hAnsiTheme="minorHAnsi"/>
      <w:sz w:val="24"/>
      <w:szCs w:val="24"/>
    </w:rPr>
  </w:style>
  <w:style w:type="character" w:customStyle="1" w:styleId="H3TextCharChar">
    <w:name w:val="H3 Text Char Char"/>
    <w:basedOn w:val="DefaultParagraphFont"/>
    <w:link w:val="H3TextChar"/>
    <w:rsid w:val="008A5A5B"/>
    <w:rPr>
      <w:rFonts w:asciiTheme="minorHAnsi" w:hAnsiTheme="minorHAnsi"/>
      <w:sz w:val="24"/>
      <w:szCs w:val="24"/>
    </w:rPr>
  </w:style>
  <w:style w:type="character" w:customStyle="1" w:styleId="H4TextCharChar">
    <w:name w:val="H4Text Char Char"/>
    <w:basedOn w:val="DefaultParagraphFont"/>
    <w:link w:val="H4TextChar"/>
    <w:rsid w:val="008A5A5B"/>
    <w:rPr>
      <w:rFonts w:ascii="Times New Roman" w:hAnsi="Times New Roman"/>
      <w:sz w:val="24"/>
      <w:szCs w:val="24"/>
    </w:rPr>
  </w:style>
  <w:style w:type="paragraph" w:customStyle="1" w:styleId="bullettext">
    <w:name w:val="bullet text"/>
    <w:basedOn w:val="Normal"/>
    <w:rsid w:val="008A5A5B"/>
    <w:pPr>
      <w:keepNext/>
      <w:tabs>
        <w:tab w:val="num" w:pos="720"/>
      </w:tabs>
      <w:spacing w:before="60"/>
      <w:ind w:left="720" w:hanging="720"/>
    </w:pPr>
    <w:rPr>
      <w:rFonts w:asciiTheme="minorHAnsi" w:hAnsiTheme="minorHAnsi"/>
      <w:sz w:val="24"/>
      <w:szCs w:val="24"/>
      <w:lang w:bidi="ar-SA"/>
    </w:rPr>
  </w:style>
  <w:style w:type="paragraph" w:customStyle="1" w:styleId="dashtext">
    <w:name w:val="dash text"/>
    <w:basedOn w:val="bullettext"/>
    <w:rsid w:val="008A5A5B"/>
    <w:pPr>
      <w:numPr>
        <w:numId w:val="20"/>
      </w:numPr>
      <w:tabs>
        <w:tab w:val="clear" w:pos="360"/>
        <w:tab w:val="num" w:pos="720"/>
      </w:tabs>
      <w:ind w:left="720" w:hanging="720"/>
    </w:pPr>
  </w:style>
  <w:style w:type="paragraph" w:customStyle="1" w:styleId="LegalParaChar">
    <w:name w:val="Legal Para Char"/>
    <w:link w:val="LegalParaCharChar"/>
    <w:rsid w:val="008A5A5B"/>
    <w:pPr>
      <w:spacing w:before="120" w:after="120"/>
      <w:ind w:left="720" w:firstLine="0"/>
    </w:pPr>
    <w:rPr>
      <w:rFonts w:ascii="Times New Roman" w:hAnsi="Times New Roman"/>
      <w:sz w:val="24"/>
      <w:szCs w:val="24"/>
    </w:rPr>
  </w:style>
  <w:style w:type="paragraph" w:customStyle="1" w:styleId="StyleNumbered">
    <w:name w:val="Style Numbered"/>
    <w:basedOn w:val="Normal"/>
    <w:rsid w:val="008A5A5B"/>
    <w:pPr>
      <w:keepNext/>
      <w:numPr>
        <w:numId w:val="21"/>
      </w:numPr>
      <w:tabs>
        <w:tab w:val="clear" w:pos="1800"/>
        <w:tab w:val="num" w:pos="1080"/>
      </w:tabs>
      <w:spacing w:before="120" w:after="120"/>
      <w:ind w:left="1080"/>
    </w:pPr>
    <w:rPr>
      <w:rFonts w:asciiTheme="minorHAnsi" w:hAnsiTheme="minorHAnsi"/>
      <w:sz w:val="24"/>
      <w:szCs w:val="24"/>
      <w:lang w:bidi="ar-SA"/>
    </w:rPr>
  </w:style>
  <w:style w:type="character" w:customStyle="1" w:styleId="LegalParaCharChar">
    <w:name w:val="Legal Para Char Char"/>
    <w:basedOn w:val="DefaultParagraphFont"/>
    <w:link w:val="LegalParaChar"/>
    <w:rsid w:val="008A5A5B"/>
    <w:rPr>
      <w:rFonts w:ascii="Times New Roman" w:hAnsi="Times New Roman"/>
      <w:sz w:val="24"/>
      <w:szCs w:val="24"/>
    </w:rPr>
  </w:style>
  <w:style w:type="paragraph" w:customStyle="1" w:styleId="Style2">
    <w:name w:val="Style2"/>
    <w:basedOn w:val="Normal"/>
    <w:link w:val="Style2Char"/>
    <w:rsid w:val="008A5A5B"/>
    <w:pPr>
      <w:keepNext/>
      <w:spacing w:after="0"/>
      <w:ind w:left="1080" w:firstLine="0"/>
    </w:pPr>
    <w:rPr>
      <w:rFonts w:asciiTheme="minorHAnsi" w:hAnsiTheme="minorHAnsi"/>
      <w:sz w:val="24"/>
      <w:szCs w:val="24"/>
      <w:lang w:bidi="ar-SA"/>
    </w:rPr>
  </w:style>
  <w:style w:type="character" w:customStyle="1" w:styleId="Style2Char">
    <w:name w:val="Style2 Char"/>
    <w:basedOn w:val="DefaultParagraphFont"/>
    <w:link w:val="Style2"/>
    <w:rsid w:val="008A5A5B"/>
    <w:rPr>
      <w:rFonts w:asciiTheme="minorHAnsi" w:hAnsiTheme="minorHAnsi"/>
      <w:sz w:val="24"/>
      <w:szCs w:val="24"/>
    </w:rPr>
  </w:style>
  <w:style w:type="paragraph" w:customStyle="1" w:styleId="Intro123">
    <w:name w:val="Intro123"/>
    <w:basedOn w:val="StyleNumbered"/>
    <w:rsid w:val="008A5A5B"/>
  </w:style>
  <w:style w:type="character" w:customStyle="1" w:styleId="H1TextChar">
    <w:name w:val="H1 Text Char"/>
    <w:basedOn w:val="DefaultParagraphFont"/>
    <w:link w:val="H1Text"/>
    <w:rsid w:val="008A5A5B"/>
    <w:rPr>
      <w:rFonts w:ascii="Times New Roman" w:hAnsi="Times New Roman"/>
      <w:sz w:val="24"/>
      <w:szCs w:val="24"/>
    </w:rPr>
  </w:style>
  <w:style w:type="paragraph" w:customStyle="1" w:styleId="H1hdr">
    <w:name w:val="H1hdr"/>
    <w:basedOn w:val="Normal"/>
    <w:rsid w:val="008A5A5B"/>
    <w:pPr>
      <w:keepNext/>
      <w:widowControl w:val="0"/>
      <w:autoSpaceDE w:val="0"/>
      <w:autoSpaceDN w:val="0"/>
      <w:adjustRightInd w:val="0"/>
      <w:spacing w:after="0" w:line="312" w:lineRule="auto"/>
      <w:ind w:left="0" w:right="108" w:firstLine="0"/>
    </w:pPr>
    <w:rPr>
      <w:rFonts w:asciiTheme="minorHAnsi" w:eastAsia="Arial Unicode MS" w:hAnsiTheme="minorHAnsi"/>
      <w:b/>
      <w:bCs/>
      <w:i/>
      <w:sz w:val="26"/>
      <w:szCs w:val="26"/>
      <w:lang w:bidi="ar-SA"/>
    </w:rPr>
  </w:style>
  <w:style w:type="paragraph" w:customStyle="1" w:styleId="H2ItalicsHdr">
    <w:name w:val="H2ItalicsHdr"/>
    <w:basedOn w:val="Normal"/>
    <w:link w:val="H2ItalicsHdrChar"/>
    <w:rsid w:val="008A5A5B"/>
    <w:pPr>
      <w:keepNext/>
      <w:widowControl w:val="0"/>
      <w:autoSpaceDE w:val="0"/>
      <w:autoSpaceDN w:val="0"/>
      <w:adjustRightInd w:val="0"/>
      <w:spacing w:before="40"/>
      <w:ind w:left="720" w:firstLine="0"/>
    </w:pPr>
    <w:rPr>
      <w:rFonts w:asciiTheme="minorHAnsi" w:hAnsiTheme="minorHAnsi"/>
      <w:b/>
      <w:bCs/>
      <w:i/>
      <w:sz w:val="22"/>
      <w:lang w:bidi="ar-SA"/>
    </w:rPr>
  </w:style>
  <w:style w:type="paragraph" w:customStyle="1" w:styleId="H3NoNmbr">
    <w:name w:val="H3NoNmbr"/>
    <w:basedOn w:val="Normal"/>
    <w:rsid w:val="008A5A5B"/>
    <w:pPr>
      <w:keepNext/>
      <w:widowControl w:val="0"/>
      <w:autoSpaceDE w:val="0"/>
      <w:autoSpaceDN w:val="0"/>
      <w:adjustRightInd w:val="0"/>
      <w:spacing w:before="120"/>
      <w:ind w:left="720" w:firstLine="0"/>
    </w:pPr>
    <w:rPr>
      <w:rFonts w:ascii="Arial" w:eastAsia="Arial Unicode MS" w:hAnsi="Arial" w:cs="Arial"/>
      <w:b/>
      <w:bCs/>
      <w:sz w:val="22"/>
      <w:lang w:eastAsia="ja-JP" w:bidi="ar-SA"/>
    </w:rPr>
  </w:style>
  <w:style w:type="paragraph" w:customStyle="1" w:styleId="TblHdr">
    <w:name w:val="TblHdr"/>
    <w:basedOn w:val="Normal"/>
    <w:link w:val="TblHdrChar"/>
    <w:rsid w:val="008A5A5B"/>
    <w:pPr>
      <w:keepNext/>
      <w:widowControl w:val="0"/>
      <w:tabs>
        <w:tab w:val="center" w:pos="4320"/>
        <w:tab w:val="right" w:pos="8640"/>
      </w:tabs>
      <w:autoSpaceDE w:val="0"/>
      <w:autoSpaceDN w:val="0"/>
      <w:adjustRightInd w:val="0"/>
      <w:spacing w:before="120" w:after="120"/>
      <w:ind w:left="0" w:firstLine="0"/>
      <w:jc w:val="center"/>
    </w:pPr>
    <w:rPr>
      <w:rFonts w:ascii="Arial" w:eastAsia="Arial Unicode MS" w:hAnsi="Arial" w:cs="Arial"/>
      <w:b/>
      <w:bCs/>
      <w:iCs/>
      <w:szCs w:val="20"/>
      <w:lang w:eastAsia="ja-JP" w:bidi="ar-SA"/>
    </w:rPr>
  </w:style>
  <w:style w:type="paragraph" w:customStyle="1" w:styleId="FigTxt">
    <w:name w:val="FigTxt"/>
    <w:basedOn w:val="Footer"/>
    <w:rsid w:val="008A5A5B"/>
  </w:style>
  <w:style w:type="paragraph" w:customStyle="1" w:styleId="Default">
    <w:name w:val="Default"/>
    <w:rsid w:val="008A5A5B"/>
    <w:pPr>
      <w:autoSpaceDE w:val="0"/>
      <w:autoSpaceDN w:val="0"/>
      <w:adjustRightInd w:val="0"/>
      <w:spacing w:after="0"/>
      <w:ind w:left="0" w:firstLine="0"/>
    </w:pPr>
    <w:rPr>
      <w:rFonts w:ascii="Times New Roman" w:hAnsi="Times New Roman"/>
      <w:color w:val="000000"/>
      <w:sz w:val="24"/>
      <w:szCs w:val="24"/>
    </w:rPr>
  </w:style>
  <w:style w:type="character" w:customStyle="1" w:styleId="numbertextCharChar">
    <w:name w:val="number text Char Char"/>
    <w:basedOn w:val="DefaultParagraphFont"/>
    <w:link w:val="numbertextChar"/>
    <w:rsid w:val="008A5A5B"/>
    <w:rPr>
      <w:rFonts w:asciiTheme="minorHAnsi" w:hAnsiTheme="minorHAnsi"/>
      <w:sz w:val="24"/>
      <w:szCs w:val="24"/>
    </w:rPr>
  </w:style>
  <w:style w:type="character" w:customStyle="1" w:styleId="H2ItalicsHdrChar">
    <w:name w:val="H2ItalicsHdr Char"/>
    <w:basedOn w:val="DefaultParagraphFont"/>
    <w:link w:val="H2ItalicsHdr"/>
    <w:rsid w:val="008A5A5B"/>
    <w:rPr>
      <w:rFonts w:asciiTheme="minorHAnsi" w:hAnsiTheme="minorHAnsi"/>
      <w:b/>
      <w:bCs/>
      <w:i/>
      <w:sz w:val="22"/>
      <w:szCs w:val="22"/>
    </w:rPr>
  </w:style>
  <w:style w:type="paragraph" w:customStyle="1" w:styleId="nmbrtxtpara">
    <w:name w:val="nmbrtxtpara"/>
    <w:basedOn w:val="Normal"/>
    <w:rsid w:val="008A5A5B"/>
    <w:pPr>
      <w:keepNext/>
      <w:spacing w:after="0"/>
      <w:ind w:left="0" w:firstLine="0"/>
    </w:pPr>
    <w:rPr>
      <w:rFonts w:asciiTheme="minorHAnsi" w:hAnsiTheme="minorHAnsi"/>
      <w:sz w:val="24"/>
      <w:szCs w:val="24"/>
      <w:lang w:bidi="ar-SA"/>
    </w:rPr>
  </w:style>
  <w:style w:type="character" w:customStyle="1" w:styleId="H1TextCharCharChar">
    <w:name w:val="H1 Text Char Char Char"/>
    <w:basedOn w:val="DefaultParagraphFont"/>
    <w:rsid w:val="008A5A5B"/>
    <w:rPr>
      <w:sz w:val="24"/>
      <w:szCs w:val="24"/>
      <w:lang w:val="en-US" w:eastAsia="en-US" w:bidi="ar-SA"/>
    </w:rPr>
  </w:style>
  <w:style w:type="paragraph" w:customStyle="1" w:styleId="H2Text">
    <w:name w:val="H2 Text"/>
    <w:basedOn w:val="Normal"/>
    <w:next w:val="Normal"/>
    <w:rsid w:val="008A5A5B"/>
    <w:pPr>
      <w:keepNext/>
      <w:snapToGrid w:val="0"/>
      <w:spacing w:before="120" w:after="120"/>
      <w:ind w:left="720" w:firstLine="0"/>
    </w:pPr>
    <w:rPr>
      <w:rFonts w:asciiTheme="minorHAnsi" w:hAnsiTheme="minorHAnsi"/>
      <w:sz w:val="24"/>
      <w:szCs w:val="24"/>
      <w:lang w:bidi="ar-SA"/>
    </w:rPr>
  </w:style>
  <w:style w:type="paragraph" w:customStyle="1" w:styleId="H3Text">
    <w:name w:val="H3 Text"/>
    <w:basedOn w:val="Normal"/>
    <w:rsid w:val="008A5A5B"/>
    <w:pPr>
      <w:keepNext/>
      <w:snapToGrid w:val="0"/>
      <w:spacing w:before="120" w:after="120"/>
      <w:ind w:left="1440" w:firstLine="0"/>
    </w:pPr>
    <w:rPr>
      <w:rFonts w:asciiTheme="minorHAnsi" w:hAnsiTheme="minorHAnsi"/>
      <w:sz w:val="24"/>
      <w:szCs w:val="24"/>
      <w:lang w:bidi="ar-SA"/>
    </w:rPr>
  </w:style>
  <w:style w:type="paragraph" w:customStyle="1" w:styleId="lv1bullet">
    <w:name w:val="lv1bullet"/>
    <w:basedOn w:val="Normal"/>
    <w:rsid w:val="008A5A5B"/>
    <w:pPr>
      <w:keepNext/>
      <w:numPr>
        <w:numId w:val="23"/>
      </w:numPr>
      <w:spacing w:after="0"/>
    </w:pPr>
    <w:rPr>
      <w:rFonts w:asciiTheme="minorHAnsi" w:hAnsiTheme="minorHAnsi"/>
      <w:sz w:val="24"/>
      <w:szCs w:val="24"/>
      <w:lang w:bidi="ar-SA"/>
    </w:rPr>
  </w:style>
  <w:style w:type="paragraph" w:customStyle="1" w:styleId="numbertext0">
    <w:name w:val="number text"/>
    <w:basedOn w:val="Normal"/>
    <w:rsid w:val="008A5A5B"/>
    <w:pPr>
      <w:keepNext/>
      <w:tabs>
        <w:tab w:val="num" w:pos="720"/>
      </w:tabs>
      <w:spacing w:before="120" w:after="120"/>
      <w:ind w:left="720" w:hanging="720"/>
    </w:pPr>
    <w:rPr>
      <w:rFonts w:asciiTheme="minorHAnsi" w:hAnsiTheme="minorHAnsi"/>
      <w:sz w:val="24"/>
      <w:szCs w:val="24"/>
      <w:lang w:bidi="ar-SA"/>
    </w:rPr>
  </w:style>
  <w:style w:type="paragraph" w:customStyle="1" w:styleId="htexthdr">
    <w:name w:val="htexthdr"/>
    <w:basedOn w:val="Normal"/>
    <w:rsid w:val="008A5A5B"/>
    <w:pPr>
      <w:keepNext/>
      <w:spacing w:before="120" w:after="120"/>
      <w:ind w:left="0" w:firstLine="0"/>
    </w:pPr>
    <w:rPr>
      <w:rFonts w:asciiTheme="minorHAnsi" w:hAnsiTheme="minorHAnsi"/>
      <w:b/>
      <w:sz w:val="28"/>
      <w:szCs w:val="24"/>
      <w:lang w:bidi="ar-SA"/>
    </w:rPr>
  </w:style>
  <w:style w:type="character" w:customStyle="1" w:styleId="TblHdrChar">
    <w:name w:val="TblHdr Char"/>
    <w:basedOn w:val="DefaultParagraphFont"/>
    <w:link w:val="TblHdr"/>
    <w:rsid w:val="008A5A5B"/>
    <w:rPr>
      <w:rFonts w:ascii="Arial" w:eastAsia="Arial Unicode MS" w:hAnsi="Arial" w:cs="Arial"/>
      <w:b/>
      <w:bCs/>
      <w:iCs/>
      <w:lang w:eastAsia="ja-JP"/>
    </w:rPr>
  </w:style>
  <w:style w:type="paragraph" w:styleId="BodyTextFirstIndent">
    <w:name w:val="Body Text First Indent"/>
    <w:basedOn w:val="BodyText"/>
    <w:link w:val="BodyTextFirstIndentChar"/>
    <w:rsid w:val="008A5A5B"/>
    <w:pPr>
      <w:keepNext/>
      <w:widowControl/>
      <w:spacing w:line="240" w:lineRule="auto"/>
      <w:ind w:firstLine="210"/>
    </w:pPr>
    <w:rPr>
      <w:rFonts w:ascii="Times New Roman" w:eastAsia="Times New Roman" w:hAnsi="Times New Roman"/>
      <w:bCs w:val="0"/>
      <w:sz w:val="24"/>
      <w:szCs w:val="24"/>
    </w:rPr>
  </w:style>
  <w:style w:type="character" w:customStyle="1" w:styleId="BodyTextFirstIndentChar">
    <w:name w:val="Body Text First Indent Char"/>
    <w:basedOn w:val="BodyTextChar"/>
    <w:link w:val="BodyTextFirstIndent"/>
    <w:rsid w:val="008A5A5B"/>
    <w:rPr>
      <w:rFonts w:ascii="Times New Roman" w:eastAsia="Arial Narrow" w:hAnsi="Times New Roman"/>
      <w:bCs w:val="0"/>
      <w:sz w:val="24"/>
      <w:szCs w:val="24"/>
    </w:rPr>
  </w:style>
  <w:style w:type="character" w:customStyle="1" w:styleId="figurecapChar">
    <w:name w:val="figurecap Char"/>
    <w:basedOn w:val="CaptionChar"/>
    <w:link w:val="figurecap"/>
    <w:rsid w:val="008A5A5B"/>
    <w:rPr>
      <w:rFonts w:ascii="Adobe Garamond Pro" w:hAnsi="Adobe Garamond Pro" w:cs="Arial"/>
      <w:b/>
      <w:bCs/>
      <w:iCs w:val="0"/>
      <w:color w:val="4F81BD" w:themeColor="accent1"/>
      <w:sz w:val="18"/>
      <w:szCs w:val="18"/>
      <w:lang w:bidi="en-US"/>
    </w:rPr>
  </w:style>
  <w:style w:type="paragraph" w:customStyle="1" w:styleId="Appendixheading2">
    <w:name w:val="Appendix heading 2"/>
    <w:basedOn w:val="Heading2"/>
    <w:rsid w:val="008A5A5B"/>
    <w:pPr>
      <w:keepNext/>
      <w:keepLines/>
      <w:numPr>
        <w:ilvl w:val="1"/>
        <w:numId w:val="10"/>
      </w:numPr>
      <w:pBdr>
        <w:bottom w:val="single" w:sz="4" w:space="1" w:color="auto"/>
      </w:pBdr>
      <w:spacing w:before="480" w:after="240" w:line="240" w:lineRule="auto"/>
    </w:pPr>
    <w:rPr>
      <w:rFonts w:asciiTheme="minorHAnsi" w:hAnsiTheme="minorHAnsi" w:cs="Arial"/>
      <w:b/>
      <w:color w:val="auto"/>
      <w:kern w:val="32"/>
      <w:szCs w:val="28"/>
      <w:lang w:bidi="ar-SA"/>
    </w:rPr>
  </w:style>
  <w:style w:type="paragraph" w:customStyle="1" w:styleId="appendixheading1">
    <w:name w:val="appendix heading 1"/>
    <w:basedOn w:val="Heading1"/>
    <w:rsid w:val="008A5A5B"/>
    <w:pPr>
      <w:keepNext/>
      <w:keepLines/>
      <w:numPr>
        <w:numId w:val="10"/>
      </w:numPr>
      <w:spacing w:before="240" w:after="360" w:line="240" w:lineRule="auto"/>
      <w:contextualSpacing w:val="0"/>
    </w:pPr>
    <w:rPr>
      <w:rFonts w:asciiTheme="minorHAnsi" w:hAnsiTheme="minorHAnsi" w:cs="Arial"/>
      <w:b/>
      <w:color w:val="auto"/>
      <w:kern w:val="32"/>
      <w:sz w:val="28"/>
      <w:lang w:bidi="ar-SA"/>
    </w:rPr>
  </w:style>
  <w:style w:type="paragraph" w:customStyle="1" w:styleId="Clear">
    <w:name w:val="Clear"/>
    <w:basedOn w:val="Heading7"/>
    <w:rsid w:val="008A5A5B"/>
    <w:pPr>
      <w:keepNext/>
      <w:spacing w:before="240" w:after="60"/>
      <w:ind w:left="0" w:firstLine="0"/>
    </w:pPr>
    <w:rPr>
      <w:rFonts w:asciiTheme="minorHAnsi" w:hAnsiTheme="minorHAnsi"/>
      <w:b/>
      <w:i w:val="0"/>
      <w:color w:val="005C42"/>
      <w:sz w:val="32"/>
      <w:szCs w:val="32"/>
      <w:lang w:bidi="ar-SA"/>
    </w:rPr>
  </w:style>
  <w:style w:type="paragraph" w:customStyle="1" w:styleId="Style1">
    <w:name w:val="Style1"/>
    <w:basedOn w:val="FootnoteText"/>
    <w:rsid w:val="008A5A5B"/>
    <w:pPr>
      <w:keepNext/>
      <w:spacing w:after="0"/>
      <w:ind w:left="0" w:firstLine="0"/>
    </w:pPr>
    <w:rPr>
      <w:rFonts w:asciiTheme="minorHAnsi" w:hAnsiTheme="minorHAnsi"/>
      <w:lang w:bidi="ar-SA"/>
    </w:rPr>
  </w:style>
  <w:style w:type="paragraph" w:styleId="PlainText">
    <w:name w:val="Plain Text"/>
    <w:basedOn w:val="Normal"/>
    <w:link w:val="PlainTextChar"/>
    <w:uiPriority w:val="99"/>
    <w:unhideWhenUsed/>
    <w:rsid w:val="008A5A5B"/>
    <w:pPr>
      <w:keepNext/>
      <w:spacing w:after="0"/>
      <w:ind w:left="0" w:firstLine="0"/>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8A5A5B"/>
    <w:rPr>
      <w:rFonts w:ascii="Consolas" w:eastAsia="Calibri" w:hAnsi="Consolas"/>
      <w:sz w:val="21"/>
      <w:szCs w:val="21"/>
    </w:rPr>
  </w:style>
  <w:style w:type="paragraph" w:customStyle="1" w:styleId="Heading7Text">
    <w:name w:val="Heading 7 Text"/>
    <w:basedOn w:val="Normal"/>
    <w:rsid w:val="008A5A5B"/>
    <w:pPr>
      <w:keepNext/>
      <w:spacing w:after="100" w:afterAutospacing="1" w:line="276" w:lineRule="auto"/>
      <w:ind w:left="576" w:firstLine="0"/>
    </w:pPr>
    <w:rPr>
      <w:rFonts w:ascii="Calibri" w:eastAsia="Calibri" w:hAnsi="Calibri"/>
      <w:sz w:val="24"/>
      <w:szCs w:val="24"/>
      <w:lang w:bidi="ar-SA"/>
    </w:rPr>
  </w:style>
  <w:style w:type="numbering" w:customStyle="1" w:styleId="ReportHeadings-III">
    <w:name w:val="Report Headings - III"/>
    <w:uiPriority w:val="99"/>
    <w:rsid w:val="008A5A5B"/>
    <w:pPr>
      <w:numPr>
        <w:numId w:val="25"/>
      </w:numPr>
    </w:pPr>
  </w:style>
  <w:style w:type="character" w:customStyle="1" w:styleId="H2TextCharCharCharCharChar">
    <w:name w:val="H2 Text Char Char Char Char Char"/>
    <w:basedOn w:val="DefaultParagraphFont"/>
    <w:rsid w:val="008A5A5B"/>
    <w:rPr>
      <w:sz w:val="24"/>
      <w:szCs w:val="24"/>
      <w:lang w:val="en-US" w:eastAsia="en-US"/>
    </w:rPr>
  </w:style>
  <w:style w:type="paragraph" w:customStyle="1" w:styleId="ES6ExecutiveSummaryListLevel2">
    <w:name w:val="ES6 Executive Summary List Level 2"/>
    <w:uiPriority w:val="99"/>
    <w:rsid w:val="008A5A5B"/>
    <w:pPr>
      <w:spacing w:after="200" w:line="276" w:lineRule="auto"/>
      <w:ind w:left="2160"/>
      <w:jc w:val="both"/>
    </w:pPr>
    <w:rPr>
      <w:rFonts w:ascii="Cambria" w:hAnsi="Cambria"/>
      <w:bCs/>
      <w:iCs/>
      <w:szCs w:val="28"/>
    </w:rPr>
  </w:style>
  <w:style w:type="numbering" w:customStyle="1" w:styleId="ExecutiveSummaryList1">
    <w:name w:val="Executive Summary List1"/>
    <w:rsid w:val="008A5A5B"/>
    <w:pPr>
      <w:numPr>
        <w:numId w:val="26"/>
      </w:numPr>
    </w:pPr>
  </w:style>
  <w:style w:type="paragraph" w:customStyle="1" w:styleId="font5">
    <w:name w:val="font5"/>
    <w:basedOn w:val="Normal"/>
    <w:rsid w:val="008A5A5B"/>
    <w:pPr>
      <w:spacing w:before="100" w:beforeAutospacing="1" w:after="100" w:afterAutospacing="1"/>
      <w:ind w:left="0" w:firstLine="0"/>
    </w:pPr>
    <w:rPr>
      <w:rFonts w:ascii="Tahoma" w:hAnsi="Tahoma" w:cs="Tahoma"/>
      <w:color w:val="000000"/>
      <w:sz w:val="18"/>
      <w:szCs w:val="18"/>
      <w:lang w:bidi="ar-SA"/>
    </w:rPr>
  </w:style>
  <w:style w:type="paragraph" w:customStyle="1" w:styleId="font6">
    <w:name w:val="font6"/>
    <w:basedOn w:val="Normal"/>
    <w:rsid w:val="008A5A5B"/>
    <w:pPr>
      <w:spacing w:before="100" w:beforeAutospacing="1" w:after="100" w:afterAutospacing="1"/>
      <w:ind w:left="0" w:firstLine="0"/>
    </w:pPr>
    <w:rPr>
      <w:rFonts w:ascii="Tahoma" w:hAnsi="Tahoma" w:cs="Tahoma"/>
      <w:b/>
      <w:bCs/>
      <w:color w:val="000000"/>
      <w:sz w:val="18"/>
      <w:szCs w:val="18"/>
      <w:lang w:bidi="ar-SA"/>
    </w:rPr>
  </w:style>
  <w:style w:type="paragraph" w:customStyle="1" w:styleId="xl69">
    <w:name w:val="xl69"/>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0">
    <w:name w:val="xl70"/>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71">
    <w:name w:val="xl71"/>
    <w:basedOn w:val="Normal"/>
    <w:rsid w:val="008A5A5B"/>
    <w:pPr>
      <w:spacing w:before="100" w:beforeAutospacing="1" w:after="100" w:afterAutospacing="1"/>
      <w:ind w:left="0" w:firstLine="0"/>
    </w:pPr>
    <w:rPr>
      <w:rFonts w:asciiTheme="minorHAnsi" w:hAnsiTheme="minorHAnsi"/>
      <w:szCs w:val="20"/>
      <w:lang w:bidi="ar-SA"/>
    </w:rPr>
  </w:style>
  <w:style w:type="paragraph" w:customStyle="1" w:styleId="xl72">
    <w:name w:val="xl72"/>
    <w:basedOn w:val="Normal"/>
    <w:rsid w:val="008A5A5B"/>
    <w:pPr>
      <w:shd w:val="clear" w:color="000000" w:fill="FFFF00"/>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3">
    <w:name w:val="xl73"/>
    <w:basedOn w:val="Normal"/>
    <w:rsid w:val="008A5A5B"/>
    <w:pPr>
      <w:shd w:val="clear" w:color="000000" w:fill="92D050"/>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4">
    <w:name w:val="xl74"/>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75">
    <w:name w:val="xl75"/>
    <w:basedOn w:val="Normal"/>
    <w:rsid w:val="008A5A5B"/>
    <w:pPr>
      <w:pBdr>
        <w:top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6">
    <w:name w:val="xl76"/>
    <w:basedOn w:val="Normal"/>
    <w:rsid w:val="008A5A5B"/>
    <w:pPr>
      <w:pBdr>
        <w:top w:val="single" w:sz="8" w:space="0" w:color="003300"/>
        <w:lef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7">
    <w:name w:val="xl77"/>
    <w:basedOn w:val="Normal"/>
    <w:rsid w:val="008A5A5B"/>
    <w:pPr>
      <w:pBdr>
        <w:top w:val="single" w:sz="8" w:space="0" w:color="003300"/>
        <w:lef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78">
    <w:name w:val="xl78"/>
    <w:basedOn w:val="Normal"/>
    <w:rsid w:val="008A5A5B"/>
    <w:pPr>
      <w:pBdr>
        <w:top w:val="single" w:sz="8" w:space="0" w:color="000000"/>
        <w:lef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79">
    <w:name w:val="xl79"/>
    <w:basedOn w:val="Normal"/>
    <w:rsid w:val="008A5A5B"/>
    <w:pPr>
      <w:pBdr>
        <w:top w:val="single" w:sz="8" w:space="0" w:color="000000"/>
        <w:righ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0">
    <w:name w:val="xl80"/>
    <w:basedOn w:val="Normal"/>
    <w:rsid w:val="008A5A5B"/>
    <w:pPr>
      <w:pBdr>
        <w:top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1">
    <w:name w:val="xl81"/>
    <w:basedOn w:val="Normal"/>
    <w:rsid w:val="008A5A5B"/>
    <w:pPr>
      <w:pBdr>
        <w:top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2">
    <w:name w:val="xl82"/>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3">
    <w:name w:val="xl83"/>
    <w:basedOn w:val="Normal"/>
    <w:rsid w:val="008A5A5B"/>
    <w:pPr>
      <w:pBdr>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4">
    <w:name w:val="xl84"/>
    <w:basedOn w:val="Normal"/>
    <w:rsid w:val="008A5A5B"/>
    <w:pPr>
      <w:pBdr>
        <w:lef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5">
    <w:name w:val="xl85"/>
    <w:basedOn w:val="Normal"/>
    <w:rsid w:val="008A5A5B"/>
    <w:pPr>
      <w:pBdr>
        <w:lef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86">
    <w:name w:val="xl86"/>
    <w:basedOn w:val="Normal"/>
    <w:rsid w:val="008A5A5B"/>
    <w:pPr>
      <w:pBdr>
        <w:lef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7">
    <w:name w:val="xl87"/>
    <w:basedOn w:val="Normal"/>
    <w:rsid w:val="008A5A5B"/>
    <w:pPr>
      <w:pBdr>
        <w:right w:val="single" w:sz="8" w:space="0" w:color="0000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8">
    <w:name w:val="xl88"/>
    <w:basedOn w:val="Normal"/>
    <w:rsid w:val="008A5A5B"/>
    <w:pP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89">
    <w:name w:val="xl89"/>
    <w:basedOn w:val="Normal"/>
    <w:rsid w:val="008A5A5B"/>
    <w:pPr>
      <w:pBdr>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0">
    <w:name w:val="xl90"/>
    <w:basedOn w:val="Normal"/>
    <w:rsid w:val="008A5A5B"/>
    <w:pPr>
      <w:pBdr>
        <w:left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1">
    <w:name w:val="xl91"/>
    <w:basedOn w:val="Normal"/>
    <w:rsid w:val="008A5A5B"/>
    <w:pPr>
      <w:pBdr>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2">
    <w:name w:val="xl92"/>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3">
    <w:name w:val="xl93"/>
    <w:basedOn w:val="Normal"/>
    <w:rsid w:val="008A5A5B"/>
    <w:pPr>
      <w:pBdr>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4">
    <w:name w:val="xl94"/>
    <w:basedOn w:val="Normal"/>
    <w:rsid w:val="008A5A5B"/>
    <w:pPr>
      <w:pBdr>
        <w:left w:val="single" w:sz="8" w:space="0" w:color="003300"/>
        <w:bottom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5">
    <w:name w:val="xl95"/>
    <w:basedOn w:val="Normal"/>
    <w:rsid w:val="008A5A5B"/>
    <w:pPr>
      <w:pBdr>
        <w:bottom w:val="single" w:sz="8" w:space="0" w:color="003300"/>
        <w:right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96">
    <w:name w:val="xl96"/>
    <w:basedOn w:val="Normal"/>
    <w:rsid w:val="008A5A5B"/>
    <w:pPr>
      <w:pBdr>
        <w:left w:val="single" w:sz="8"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7">
    <w:name w:val="xl97"/>
    <w:basedOn w:val="Normal"/>
    <w:rsid w:val="008A5A5B"/>
    <w:pPr>
      <w:pBdr>
        <w:left w:val="single" w:sz="8" w:space="0" w:color="000000"/>
        <w:bottom w:val="single" w:sz="8" w:space="0" w:color="0000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8">
    <w:name w:val="xl98"/>
    <w:basedOn w:val="Normal"/>
    <w:rsid w:val="008A5A5B"/>
    <w:pPr>
      <w:pBdr>
        <w:top w:val="single" w:sz="4"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99">
    <w:name w:val="xl99"/>
    <w:basedOn w:val="Normal"/>
    <w:rsid w:val="008A5A5B"/>
    <w:pPr>
      <w:pBdr>
        <w:top w:val="single" w:sz="4"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0">
    <w:name w:val="xl100"/>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1">
    <w:name w:val="xl101"/>
    <w:basedOn w:val="Normal"/>
    <w:rsid w:val="008A5A5B"/>
    <w:pPr>
      <w:pBdr>
        <w:top w:val="single" w:sz="4" w:space="0" w:color="003300"/>
        <w:left w:val="single" w:sz="8" w:space="0" w:color="003300"/>
        <w:bottom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2">
    <w:name w:val="xl102"/>
    <w:basedOn w:val="Normal"/>
    <w:rsid w:val="008A5A5B"/>
    <w:pPr>
      <w:pBdr>
        <w:bottom w:val="single" w:sz="8" w:space="0" w:color="003300"/>
      </w:pBdr>
      <w:spacing w:before="100" w:beforeAutospacing="1" w:after="100" w:afterAutospacing="1"/>
      <w:ind w:left="0" w:firstLine="0"/>
      <w:textAlignment w:val="center"/>
    </w:pPr>
    <w:rPr>
      <w:rFonts w:asciiTheme="minorHAnsi" w:hAnsiTheme="minorHAnsi"/>
      <w:b/>
      <w:bCs/>
      <w:color w:val="000000"/>
      <w:szCs w:val="20"/>
      <w:lang w:bidi="ar-SA"/>
    </w:rPr>
  </w:style>
  <w:style w:type="paragraph" w:customStyle="1" w:styleId="xl103">
    <w:name w:val="xl103"/>
    <w:basedOn w:val="Normal"/>
    <w:rsid w:val="008A5A5B"/>
    <w:pP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04">
    <w:name w:val="xl104"/>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5">
    <w:name w:val="xl105"/>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06">
    <w:name w:val="xl106"/>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07">
    <w:name w:val="xl107"/>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8">
    <w:name w:val="xl10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09">
    <w:name w:val="xl10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0">
    <w:name w:val="xl110"/>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1">
    <w:name w:val="xl111"/>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2">
    <w:name w:val="xl112"/>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13">
    <w:name w:val="xl113"/>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4">
    <w:name w:val="xl114"/>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15">
    <w:name w:val="xl115"/>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6">
    <w:name w:val="xl116"/>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7">
    <w:name w:val="xl117"/>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18">
    <w:name w:val="xl11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19">
    <w:name w:val="xl119"/>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20">
    <w:name w:val="xl120"/>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21">
    <w:name w:val="xl121"/>
    <w:basedOn w:val="Normal"/>
    <w:rsid w:val="008A5A5B"/>
    <w:pPr>
      <w:spacing w:before="100" w:beforeAutospacing="1" w:after="100" w:afterAutospacing="1"/>
      <w:ind w:left="0" w:firstLine="0"/>
      <w:textAlignment w:val="top"/>
    </w:pPr>
    <w:rPr>
      <w:rFonts w:asciiTheme="minorHAnsi" w:hAnsiTheme="minorHAnsi"/>
      <w:color w:val="000000"/>
      <w:szCs w:val="20"/>
      <w:lang w:bidi="ar-SA"/>
    </w:rPr>
  </w:style>
  <w:style w:type="paragraph" w:customStyle="1" w:styleId="xl122">
    <w:name w:val="xl122"/>
    <w:basedOn w:val="Normal"/>
    <w:rsid w:val="008A5A5B"/>
    <w:pPr>
      <w:shd w:val="clear" w:color="000000" w:fill="92D050"/>
      <w:spacing w:before="100" w:beforeAutospacing="1" w:after="100" w:afterAutospacing="1"/>
      <w:ind w:left="0" w:firstLine="0"/>
    </w:pPr>
    <w:rPr>
      <w:rFonts w:asciiTheme="minorHAnsi" w:hAnsiTheme="minorHAnsi"/>
      <w:szCs w:val="20"/>
      <w:lang w:bidi="ar-SA"/>
    </w:rPr>
  </w:style>
  <w:style w:type="paragraph" w:customStyle="1" w:styleId="xl123">
    <w:name w:val="xl123"/>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24">
    <w:name w:val="xl124"/>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5">
    <w:name w:val="xl125"/>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6">
    <w:name w:val="xl126"/>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27">
    <w:name w:val="xl127"/>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8">
    <w:name w:val="xl128"/>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29">
    <w:name w:val="xl12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0">
    <w:name w:val="xl130"/>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1">
    <w:name w:val="xl131"/>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2">
    <w:name w:val="xl132"/>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33">
    <w:name w:val="xl133"/>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4">
    <w:name w:val="xl134"/>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5">
    <w:name w:val="xl135"/>
    <w:basedOn w:val="Normal"/>
    <w:rsid w:val="008A5A5B"/>
    <w:pPr>
      <w:spacing w:before="100" w:beforeAutospacing="1" w:after="100" w:afterAutospacing="1"/>
      <w:ind w:left="0" w:firstLine="0"/>
      <w:jc w:val="center"/>
      <w:textAlignment w:val="top"/>
    </w:pPr>
    <w:rPr>
      <w:rFonts w:asciiTheme="minorHAnsi" w:hAnsiTheme="minorHAnsi"/>
      <w:color w:val="000000"/>
      <w:szCs w:val="20"/>
      <w:lang w:bidi="ar-SA"/>
    </w:rPr>
  </w:style>
  <w:style w:type="paragraph" w:customStyle="1" w:styleId="xl136">
    <w:name w:val="xl136"/>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37">
    <w:name w:val="xl137"/>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38">
    <w:name w:val="xl138"/>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39">
    <w:name w:val="xl139"/>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0">
    <w:name w:val="xl140"/>
    <w:basedOn w:val="Normal"/>
    <w:rsid w:val="008A5A5B"/>
    <w:pPr>
      <w:spacing w:before="100" w:beforeAutospacing="1" w:after="100" w:afterAutospacing="1"/>
      <w:ind w:left="0" w:firstLine="0"/>
      <w:jc w:val="center"/>
    </w:pPr>
    <w:rPr>
      <w:rFonts w:asciiTheme="minorHAnsi" w:hAnsiTheme="minorHAnsi"/>
      <w:color w:val="000000"/>
      <w:szCs w:val="20"/>
      <w:lang w:bidi="ar-SA"/>
    </w:rPr>
  </w:style>
  <w:style w:type="paragraph" w:customStyle="1" w:styleId="xl141">
    <w:name w:val="xl141"/>
    <w:basedOn w:val="Normal"/>
    <w:rsid w:val="008A5A5B"/>
    <w:pPr>
      <w:spacing w:before="100" w:beforeAutospacing="1" w:after="100" w:afterAutospacing="1"/>
      <w:ind w:left="0" w:firstLine="0"/>
      <w:textAlignment w:val="center"/>
    </w:pPr>
    <w:rPr>
      <w:rFonts w:asciiTheme="minorHAnsi" w:hAnsiTheme="minorHAnsi"/>
      <w:color w:val="000000"/>
      <w:szCs w:val="20"/>
      <w:lang w:bidi="ar-SA"/>
    </w:rPr>
  </w:style>
  <w:style w:type="paragraph" w:customStyle="1" w:styleId="xl142">
    <w:name w:val="xl142"/>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3">
    <w:name w:val="xl143"/>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4">
    <w:name w:val="xl144"/>
    <w:basedOn w:val="Normal"/>
    <w:rsid w:val="008A5A5B"/>
    <w:pP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5">
    <w:name w:val="xl145"/>
    <w:basedOn w:val="Normal"/>
    <w:rsid w:val="008A5A5B"/>
    <w:pPr>
      <w:spacing w:before="100" w:beforeAutospacing="1" w:after="100" w:afterAutospacing="1"/>
      <w:ind w:left="0" w:firstLine="0"/>
    </w:pPr>
    <w:rPr>
      <w:rFonts w:asciiTheme="minorHAnsi" w:hAnsiTheme="minorHAnsi"/>
      <w:color w:val="000000"/>
      <w:szCs w:val="20"/>
      <w:lang w:bidi="ar-SA"/>
    </w:rPr>
  </w:style>
  <w:style w:type="paragraph" w:customStyle="1" w:styleId="xl146">
    <w:name w:val="xl146"/>
    <w:basedOn w:val="Normal"/>
    <w:rsid w:val="008A5A5B"/>
    <w:pPr>
      <w:pBdr>
        <w:top w:val="single" w:sz="8" w:space="0" w:color="003300"/>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b/>
      <w:bCs/>
      <w:color w:val="000000"/>
      <w:szCs w:val="20"/>
      <w:lang w:bidi="ar-SA"/>
    </w:rPr>
  </w:style>
  <w:style w:type="paragraph" w:customStyle="1" w:styleId="xl147">
    <w:name w:val="xl147"/>
    <w:basedOn w:val="Normal"/>
    <w:rsid w:val="008A5A5B"/>
    <w:pPr>
      <w:pBdr>
        <w:left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148">
    <w:name w:val="xl148"/>
    <w:basedOn w:val="Normal"/>
    <w:rsid w:val="008A5A5B"/>
    <w:pPr>
      <w:pBdr>
        <w:left w:val="single" w:sz="8" w:space="0" w:color="003300"/>
        <w:bottom w:val="single" w:sz="8" w:space="0" w:color="003300"/>
        <w:right w:val="single" w:sz="8" w:space="0" w:color="003300"/>
      </w:pBdr>
      <w:spacing w:before="100" w:beforeAutospacing="1" w:after="100" w:afterAutospacing="1"/>
      <w:ind w:left="0" w:firstLine="0"/>
      <w:jc w:val="center"/>
      <w:textAlignment w:val="center"/>
    </w:pPr>
    <w:rPr>
      <w:rFonts w:asciiTheme="minorHAnsi" w:hAnsiTheme="minorHAnsi"/>
      <w:color w:val="000000"/>
      <w:szCs w:val="20"/>
      <w:lang w:bidi="ar-SA"/>
    </w:rPr>
  </w:style>
  <w:style w:type="paragraph" w:customStyle="1" w:styleId="xl64">
    <w:name w:val="xl64"/>
    <w:basedOn w:val="Normal"/>
    <w:rsid w:val="008A5A5B"/>
    <w:pPr>
      <w:shd w:val="clear" w:color="000000" w:fill="EAF1DD"/>
      <w:spacing w:before="100" w:beforeAutospacing="1" w:after="100" w:afterAutospacing="1"/>
      <w:ind w:left="0" w:firstLine="0"/>
      <w:jc w:val="center"/>
      <w:textAlignment w:val="center"/>
    </w:pPr>
    <w:rPr>
      <w:rFonts w:ascii="Times New Roman" w:hAnsi="Times New Roman"/>
      <w:sz w:val="16"/>
      <w:szCs w:val="16"/>
      <w:lang w:bidi="ar-SA"/>
    </w:rPr>
  </w:style>
  <w:style w:type="paragraph" w:customStyle="1" w:styleId="xl65">
    <w:name w:val="xl65"/>
    <w:basedOn w:val="Normal"/>
    <w:rsid w:val="008A5A5B"/>
    <w:pPr>
      <w:shd w:val="clear" w:color="000000" w:fill="FFFFFF"/>
      <w:spacing w:before="100" w:beforeAutospacing="1" w:after="100" w:afterAutospacing="1"/>
      <w:ind w:left="0" w:firstLine="0"/>
    </w:pPr>
    <w:rPr>
      <w:rFonts w:ascii="Times New Roman" w:hAnsi="Times New Roman"/>
      <w:sz w:val="16"/>
      <w:szCs w:val="16"/>
      <w:lang w:bidi="ar-SA"/>
    </w:rPr>
  </w:style>
  <w:style w:type="paragraph" w:customStyle="1" w:styleId="xl66">
    <w:name w:val="xl66"/>
    <w:basedOn w:val="Normal"/>
    <w:rsid w:val="008A5A5B"/>
    <w:pPr>
      <w:shd w:val="clear" w:color="000000" w:fill="FFFFFF"/>
      <w:spacing w:before="100" w:beforeAutospacing="1" w:after="100" w:afterAutospacing="1"/>
      <w:ind w:left="0" w:firstLine="0"/>
      <w:jc w:val="center"/>
      <w:textAlignment w:val="center"/>
    </w:pPr>
    <w:rPr>
      <w:rFonts w:ascii="Times New Roman" w:hAnsi="Times New Roman"/>
      <w:sz w:val="16"/>
      <w:szCs w:val="16"/>
      <w:lang w:bidi="ar-SA"/>
    </w:rPr>
  </w:style>
  <w:style w:type="paragraph" w:customStyle="1" w:styleId="xl67">
    <w:name w:val="xl67"/>
    <w:basedOn w:val="Normal"/>
    <w:rsid w:val="008A5A5B"/>
    <w:pPr>
      <w:shd w:val="clear" w:color="000000" w:fill="FFFFFF"/>
      <w:spacing w:before="100" w:beforeAutospacing="1" w:after="100" w:afterAutospacing="1"/>
      <w:ind w:left="0" w:firstLine="0"/>
    </w:pPr>
    <w:rPr>
      <w:rFonts w:ascii="Times New Roman" w:hAnsi="Times New Roman"/>
      <w:sz w:val="16"/>
      <w:szCs w:val="16"/>
      <w:lang w:bidi="ar-SA"/>
    </w:rPr>
  </w:style>
  <w:style w:type="paragraph" w:customStyle="1" w:styleId="xl68">
    <w:name w:val="xl68"/>
    <w:basedOn w:val="Normal"/>
    <w:rsid w:val="008A5A5B"/>
    <w:pPr>
      <w:shd w:val="clear" w:color="000000" w:fill="FFFFFF"/>
      <w:spacing w:before="100" w:beforeAutospacing="1" w:after="100" w:afterAutospacing="1"/>
      <w:ind w:left="0" w:firstLine="0"/>
      <w:jc w:val="center"/>
    </w:pPr>
    <w:rPr>
      <w:rFonts w:ascii="Times New Roman" w:hAnsi="Times New Roman"/>
      <w:sz w:val="16"/>
      <w:szCs w:val="16"/>
      <w:lang w:bidi="ar-SA"/>
    </w:rPr>
  </w:style>
  <w:style w:type="character" w:customStyle="1" w:styleId="Font-CrossReferenceLink">
    <w:name w:val="Font - Cross Reference Link"/>
    <w:basedOn w:val="DefaultParagraphFont"/>
    <w:rsid w:val="008A5A5B"/>
    <w:rPr>
      <w:color w:val="0000FF"/>
      <w:u w:val="single"/>
    </w:rPr>
  </w:style>
  <w:style w:type="paragraph" w:customStyle="1" w:styleId="xl149">
    <w:name w:val="xl149"/>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0">
    <w:name w:val="xl150"/>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1">
    <w:name w:val="xl15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2">
    <w:name w:val="xl152"/>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3">
    <w:name w:val="xl153"/>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4">
    <w:name w:val="xl154"/>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5">
    <w:name w:val="xl155"/>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6">
    <w:name w:val="xl156"/>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7">
    <w:name w:val="xl157"/>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8">
    <w:name w:val="xl158"/>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59">
    <w:name w:val="xl159"/>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textAlignment w:val="top"/>
    </w:pPr>
    <w:rPr>
      <w:rFonts w:ascii="Times New Roman" w:hAnsi="Times New Roman"/>
      <w:szCs w:val="20"/>
      <w:lang w:bidi="ar-SA"/>
    </w:rPr>
  </w:style>
  <w:style w:type="paragraph" w:customStyle="1" w:styleId="xl160">
    <w:name w:val="xl160"/>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1">
    <w:name w:val="xl16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2">
    <w:name w:val="xl162"/>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3">
    <w:name w:val="xl163"/>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4">
    <w:name w:val="xl164"/>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5">
    <w:name w:val="xl165"/>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6">
    <w:name w:val="xl166"/>
    <w:basedOn w:val="Normal"/>
    <w:rsid w:val="008A5A5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67">
    <w:name w:val="xl167"/>
    <w:basedOn w:val="Normal"/>
    <w:rsid w:val="008A5A5B"/>
    <w:pPr>
      <w:pBdr>
        <w:top w:val="single" w:sz="4"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Cs w:val="20"/>
      <w:lang w:bidi="ar-SA"/>
    </w:rPr>
  </w:style>
  <w:style w:type="paragraph" w:customStyle="1" w:styleId="xl168">
    <w:name w:val="xl168"/>
    <w:basedOn w:val="Normal"/>
    <w:rsid w:val="008A5A5B"/>
    <w:pPr>
      <w:pBdr>
        <w:top w:val="single" w:sz="4" w:space="0" w:color="auto"/>
        <w:bottom w:val="single" w:sz="4" w:space="0" w:color="auto"/>
      </w:pBdr>
      <w:shd w:val="clear" w:color="000000" w:fill="F2F2F2"/>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69">
    <w:name w:val="xl169"/>
    <w:basedOn w:val="Normal"/>
    <w:rsid w:val="008A5A5B"/>
    <w:pPr>
      <w:pBdr>
        <w:top w:val="single" w:sz="8"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Cs w:val="20"/>
      <w:lang w:bidi="ar-SA"/>
    </w:rPr>
  </w:style>
  <w:style w:type="paragraph" w:customStyle="1" w:styleId="xl170">
    <w:name w:val="xl170"/>
    <w:basedOn w:val="Normal"/>
    <w:rsid w:val="008A5A5B"/>
    <w:pPr>
      <w:pBdr>
        <w:top w:val="single" w:sz="8" w:space="0" w:color="auto"/>
        <w:bottom w:val="single" w:sz="4" w:space="0" w:color="auto"/>
      </w:pBdr>
      <w:shd w:val="clear" w:color="000000" w:fill="F2F2F2"/>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71">
    <w:name w:val="xl171"/>
    <w:basedOn w:val="Normal"/>
    <w:rsid w:val="008A5A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2">
    <w:name w:val="xl172"/>
    <w:basedOn w:val="Normal"/>
    <w:rsid w:val="008A5A5B"/>
    <w:pPr>
      <w:pBdr>
        <w:top w:val="single" w:sz="4"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 w:val="24"/>
      <w:szCs w:val="24"/>
      <w:u w:val="single"/>
      <w:lang w:bidi="ar-SA"/>
    </w:rPr>
  </w:style>
  <w:style w:type="paragraph" w:customStyle="1" w:styleId="xl173">
    <w:name w:val="xl173"/>
    <w:basedOn w:val="Normal"/>
    <w:rsid w:val="008A5A5B"/>
    <w:pPr>
      <w:pBdr>
        <w:top w:val="single" w:sz="8" w:space="0" w:color="auto"/>
        <w:bottom w:val="single" w:sz="4" w:space="0" w:color="auto"/>
      </w:pBdr>
      <w:shd w:val="clear" w:color="000000" w:fill="F2F2F2"/>
      <w:spacing w:before="100" w:beforeAutospacing="1" w:after="100" w:afterAutospacing="1"/>
      <w:ind w:left="0" w:firstLine="0"/>
      <w:textAlignment w:val="top"/>
    </w:pPr>
    <w:rPr>
      <w:rFonts w:ascii="Times New Roman" w:hAnsi="Times New Roman"/>
      <w:b/>
      <w:bCs/>
      <w:sz w:val="24"/>
      <w:szCs w:val="24"/>
      <w:lang w:bidi="ar-SA"/>
    </w:rPr>
  </w:style>
  <w:style w:type="paragraph" w:customStyle="1" w:styleId="xl174">
    <w:name w:val="xl174"/>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5">
    <w:name w:val="xl175"/>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6">
    <w:name w:val="xl176"/>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7">
    <w:name w:val="xl177"/>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8">
    <w:name w:val="xl178"/>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79">
    <w:name w:val="xl179"/>
    <w:basedOn w:val="Normal"/>
    <w:rsid w:val="008A5A5B"/>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80">
    <w:name w:val="xl180"/>
    <w:basedOn w:val="Normal"/>
    <w:rsid w:val="008A5A5B"/>
    <w:pPr>
      <w:pBdr>
        <w:top w:val="single" w:sz="4" w:space="0" w:color="auto"/>
        <w:bottom w:val="single" w:sz="8" w:space="0" w:color="auto"/>
        <w:right w:val="single" w:sz="4" w:space="0" w:color="auto"/>
      </w:pBdr>
      <w:shd w:val="clear" w:color="000000" w:fill="FFFFFF"/>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81">
    <w:name w:val="xl181"/>
    <w:basedOn w:val="Normal"/>
    <w:rsid w:val="008A5A5B"/>
    <w:pPr>
      <w:pBdr>
        <w:top w:val="single" w:sz="8" w:space="0" w:color="auto"/>
        <w:left w:val="single" w:sz="4"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2">
    <w:name w:val="xl182"/>
    <w:basedOn w:val="Normal"/>
    <w:rsid w:val="008A5A5B"/>
    <w:pPr>
      <w:pBdr>
        <w:top w:val="single" w:sz="8" w:space="0" w:color="auto"/>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3">
    <w:name w:val="xl183"/>
    <w:basedOn w:val="Normal"/>
    <w:rsid w:val="008A5A5B"/>
    <w:pPr>
      <w:pBdr>
        <w:top w:val="single" w:sz="8" w:space="0" w:color="auto"/>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4">
    <w:name w:val="xl184"/>
    <w:basedOn w:val="Normal"/>
    <w:rsid w:val="008A5A5B"/>
    <w:pPr>
      <w:pBdr>
        <w:left w:val="single" w:sz="4"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5">
    <w:name w:val="xl185"/>
    <w:basedOn w:val="Normal"/>
    <w:rsid w:val="008A5A5B"/>
    <w:pPr>
      <w:pBdr>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6">
    <w:name w:val="xl186"/>
    <w:basedOn w:val="Normal"/>
    <w:rsid w:val="008A5A5B"/>
    <w:pPr>
      <w:pBdr>
        <w:left w:val="single" w:sz="4"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7">
    <w:name w:val="xl187"/>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88">
    <w:name w:val="xl188"/>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89">
    <w:name w:val="xl189"/>
    <w:basedOn w:val="Normal"/>
    <w:rsid w:val="008A5A5B"/>
    <w:pPr>
      <w:pBdr>
        <w:left w:val="single" w:sz="4" w:space="0" w:color="auto"/>
        <w:bottom w:val="single" w:sz="8" w:space="0" w:color="auto"/>
        <w:right w:val="single" w:sz="4" w:space="0" w:color="auto"/>
      </w:pBdr>
      <w:spacing w:before="100" w:beforeAutospacing="1" w:after="100" w:afterAutospacing="1"/>
      <w:ind w:left="0" w:firstLine="0"/>
      <w:textAlignment w:val="top"/>
    </w:pPr>
    <w:rPr>
      <w:rFonts w:ascii="Times New Roman" w:hAnsi="Times New Roman"/>
      <w:b/>
      <w:bCs/>
      <w:szCs w:val="20"/>
      <w:lang w:bidi="ar-SA"/>
    </w:rPr>
  </w:style>
  <w:style w:type="paragraph" w:customStyle="1" w:styleId="xl190">
    <w:name w:val="xl190"/>
    <w:basedOn w:val="Normal"/>
    <w:rsid w:val="008A5A5B"/>
    <w:pPr>
      <w:pBdr>
        <w:top w:val="single" w:sz="8" w:space="0" w:color="auto"/>
        <w:bottom w:val="single" w:sz="4" w:space="0" w:color="auto"/>
      </w:pBdr>
      <w:spacing w:before="100" w:beforeAutospacing="1" w:after="100" w:afterAutospacing="1"/>
      <w:ind w:left="0" w:firstLine="0"/>
      <w:jc w:val="center"/>
      <w:textAlignment w:val="top"/>
    </w:pPr>
    <w:rPr>
      <w:rFonts w:ascii="Times New Roman" w:hAnsi="Times New Roman"/>
      <w:b/>
      <w:bCs/>
      <w:szCs w:val="20"/>
      <w:lang w:bidi="ar-SA"/>
    </w:rPr>
  </w:style>
  <w:style w:type="paragraph" w:customStyle="1" w:styleId="xl191">
    <w:name w:val="xl191"/>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2">
    <w:name w:val="xl192"/>
    <w:basedOn w:val="Normal"/>
    <w:rsid w:val="008A5A5B"/>
    <w:pPr>
      <w:pBdr>
        <w:top w:val="single" w:sz="4" w:space="0" w:color="auto"/>
        <w:bottom w:val="single" w:sz="4" w:space="0" w:color="auto"/>
      </w:pBdr>
      <w:spacing w:before="100" w:beforeAutospacing="1" w:after="100" w:afterAutospacing="1"/>
      <w:ind w:left="0" w:firstLine="0"/>
      <w:textAlignment w:val="top"/>
    </w:pPr>
    <w:rPr>
      <w:rFonts w:ascii="Times New Roman" w:hAnsi="Times New Roman"/>
      <w:b/>
      <w:bCs/>
      <w:i/>
      <w:iCs/>
      <w:szCs w:val="20"/>
      <w:lang w:bidi="ar-SA"/>
    </w:rPr>
  </w:style>
  <w:style w:type="paragraph" w:customStyle="1" w:styleId="xl193">
    <w:name w:val="xl193"/>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4">
    <w:name w:val="xl194"/>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5">
    <w:name w:val="xl195"/>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6">
    <w:name w:val="xl196"/>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7">
    <w:name w:val="xl197"/>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198">
    <w:name w:val="xl198"/>
    <w:basedOn w:val="Normal"/>
    <w:rsid w:val="008A5A5B"/>
    <w:pPr>
      <w:pBdr>
        <w:top w:val="single" w:sz="4" w:space="0" w:color="auto"/>
        <w:left w:val="single" w:sz="4" w:space="0" w:color="auto"/>
        <w:bottom w:val="single" w:sz="8" w:space="0" w:color="auto"/>
        <w:right w:val="single" w:sz="4" w:space="0" w:color="auto"/>
      </w:pBdr>
      <w:spacing w:before="100" w:beforeAutospacing="1" w:after="100" w:afterAutospacing="1"/>
      <w:ind w:left="0" w:firstLine="0"/>
      <w:jc w:val="center"/>
      <w:textAlignment w:val="top"/>
    </w:pPr>
    <w:rPr>
      <w:rFonts w:ascii="Times New Roman" w:hAnsi="Times New Roman"/>
      <w:szCs w:val="20"/>
      <w:lang w:bidi="ar-SA"/>
    </w:rPr>
  </w:style>
  <w:style w:type="paragraph" w:customStyle="1" w:styleId="xl231">
    <w:name w:val="xl231"/>
    <w:basedOn w:val="Normal"/>
    <w:rsid w:val="008A5A5B"/>
    <w:pP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2">
    <w:name w:val="xl232"/>
    <w:basedOn w:val="Normal"/>
    <w:rsid w:val="008A5A5B"/>
    <w:pPr>
      <w:pBdr>
        <w:top w:val="single" w:sz="8"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3">
    <w:name w:val="xl233"/>
    <w:basedOn w:val="Normal"/>
    <w:rsid w:val="008A5A5B"/>
    <w:pPr>
      <w:pBdr>
        <w:top w:val="single" w:sz="8"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4">
    <w:name w:val="xl234"/>
    <w:basedOn w:val="Normal"/>
    <w:rsid w:val="008A5A5B"/>
    <w:pPr>
      <w:pBdr>
        <w:top w:val="single" w:sz="8"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5">
    <w:name w:val="xl235"/>
    <w:basedOn w:val="Normal"/>
    <w:rsid w:val="008A5A5B"/>
    <w:pPr>
      <w:pBdr>
        <w:top w:val="single" w:sz="8" w:space="0" w:color="auto"/>
        <w:left w:val="single" w:sz="4" w:space="0" w:color="auto"/>
        <w:bottom w:val="single" w:sz="4"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6">
    <w:name w:val="xl236"/>
    <w:basedOn w:val="Normal"/>
    <w:rsid w:val="008A5A5B"/>
    <w:pPr>
      <w:pBdr>
        <w:top w:val="single" w:sz="4"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7">
    <w:name w:val="xl237"/>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8">
    <w:name w:val="xl238"/>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39">
    <w:name w:val="xl239"/>
    <w:basedOn w:val="Normal"/>
    <w:rsid w:val="008A5A5B"/>
    <w:pPr>
      <w:pBdr>
        <w:top w:val="single" w:sz="4" w:space="0" w:color="auto"/>
        <w:left w:val="single" w:sz="4" w:space="0" w:color="auto"/>
        <w:bottom w:val="single" w:sz="4"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0">
    <w:name w:val="xl240"/>
    <w:basedOn w:val="Normal"/>
    <w:rsid w:val="008A5A5B"/>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1">
    <w:name w:val="xl241"/>
    <w:basedOn w:val="Normal"/>
    <w:rsid w:val="008A5A5B"/>
    <w:pPr>
      <w:pBdr>
        <w:top w:val="single" w:sz="4" w:space="0" w:color="auto"/>
        <w:left w:val="single" w:sz="12"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2">
    <w:name w:val="xl242"/>
    <w:basedOn w:val="Normal"/>
    <w:rsid w:val="008A5A5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3">
    <w:name w:val="xl243"/>
    <w:basedOn w:val="Normal"/>
    <w:rsid w:val="008A5A5B"/>
    <w:pPr>
      <w:pBdr>
        <w:top w:val="single" w:sz="4" w:space="0" w:color="auto"/>
        <w:left w:val="single" w:sz="4"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4">
    <w:name w:val="xl244"/>
    <w:basedOn w:val="Normal"/>
    <w:rsid w:val="008A5A5B"/>
    <w:pPr>
      <w:pBdr>
        <w:top w:val="single" w:sz="4" w:space="0" w:color="auto"/>
        <w:left w:val="single" w:sz="4" w:space="0" w:color="auto"/>
        <w:bottom w:val="single" w:sz="12"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5">
    <w:name w:val="xl245"/>
    <w:basedOn w:val="Normal"/>
    <w:rsid w:val="008A5A5B"/>
    <w:pPr>
      <w:pBdr>
        <w:top w:val="single" w:sz="8"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6">
    <w:name w:val="xl246"/>
    <w:basedOn w:val="Normal"/>
    <w:rsid w:val="008A5A5B"/>
    <w:pPr>
      <w:pBdr>
        <w:top w:val="single" w:sz="4" w:space="0" w:color="auto"/>
        <w:left w:val="single" w:sz="12" w:space="0" w:color="auto"/>
        <w:bottom w:val="single" w:sz="4"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7">
    <w:name w:val="xl247"/>
    <w:basedOn w:val="Normal"/>
    <w:rsid w:val="008A5A5B"/>
    <w:pPr>
      <w:pBdr>
        <w:top w:val="single" w:sz="4" w:space="0" w:color="auto"/>
        <w:left w:val="single" w:sz="12" w:space="0" w:color="auto"/>
        <w:bottom w:val="single" w:sz="12"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8">
    <w:name w:val="xl248"/>
    <w:basedOn w:val="Normal"/>
    <w:rsid w:val="008A5A5B"/>
    <w:pPr>
      <w:pBdr>
        <w:top w:val="single" w:sz="12" w:space="0" w:color="auto"/>
        <w:left w:val="single" w:sz="4"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49">
    <w:name w:val="xl249"/>
    <w:basedOn w:val="Normal"/>
    <w:rsid w:val="008A5A5B"/>
    <w:pPr>
      <w:pBdr>
        <w:left w:val="single" w:sz="4" w:space="0" w:color="auto"/>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0">
    <w:name w:val="xl250"/>
    <w:basedOn w:val="Normal"/>
    <w:rsid w:val="008A5A5B"/>
    <w:pPr>
      <w:pBdr>
        <w:top w:val="single" w:sz="12" w:space="0" w:color="auto"/>
        <w:left w:val="single" w:sz="4" w:space="0" w:color="auto"/>
        <w:right w:val="single" w:sz="12"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1">
    <w:name w:val="xl251"/>
    <w:basedOn w:val="Normal"/>
    <w:rsid w:val="008A5A5B"/>
    <w:pPr>
      <w:pBdr>
        <w:left w:val="single" w:sz="4" w:space="0" w:color="auto"/>
        <w:bottom w:val="single" w:sz="8" w:space="0" w:color="auto"/>
        <w:right w:val="single" w:sz="12"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2">
    <w:name w:val="xl252"/>
    <w:basedOn w:val="Normal"/>
    <w:rsid w:val="008A5A5B"/>
    <w:pPr>
      <w:pBdr>
        <w:top w:val="single" w:sz="12" w:space="0" w:color="auto"/>
        <w:left w:val="single" w:sz="12"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3">
    <w:name w:val="xl253"/>
    <w:basedOn w:val="Normal"/>
    <w:rsid w:val="008A5A5B"/>
    <w:pPr>
      <w:pBdr>
        <w:left w:val="single" w:sz="12" w:space="0" w:color="auto"/>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4">
    <w:name w:val="xl254"/>
    <w:basedOn w:val="Normal"/>
    <w:rsid w:val="008A5A5B"/>
    <w:pPr>
      <w:pBdr>
        <w:top w:val="single" w:sz="12" w:space="0" w:color="auto"/>
        <w:right w:val="single" w:sz="4" w:space="0" w:color="auto"/>
      </w:pBdr>
      <w:shd w:val="clear" w:color="000000" w:fill="D7E4BC"/>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255">
    <w:name w:val="xl255"/>
    <w:basedOn w:val="Normal"/>
    <w:rsid w:val="008A5A5B"/>
    <w:pPr>
      <w:pBdr>
        <w:bottom w:val="single" w:sz="8" w:space="0" w:color="auto"/>
        <w:right w:val="single" w:sz="4" w:space="0" w:color="auto"/>
      </w:pBdr>
      <w:spacing w:before="100" w:beforeAutospacing="1" w:after="100" w:afterAutospacing="1"/>
      <w:ind w:left="0" w:firstLine="0"/>
      <w:jc w:val="center"/>
      <w:textAlignment w:val="center"/>
    </w:pPr>
    <w:rPr>
      <w:rFonts w:ascii="Times New Roman" w:hAnsi="Times New Roman"/>
      <w:sz w:val="24"/>
      <w:szCs w:val="24"/>
      <w:lang w:bidi="ar-SA"/>
    </w:rPr>
  </w:style>
  <w:style w:type="paragraph" w:customStyle="1" w:styleId="xl199">
    <w:name w:val="xl199"/>
    <w:basedOn w:val="Normal"/>
    <w:rsid w:val="008A5A5B"/>
    <w:pPr>
      <w:pBdr>
        <w:left w:val="single" w:sz="12" w:space="0" w:color="auto"/>
        <w:bottom w:val="single" w:sz="8" w:space="0" w:color="auto"/>
        <w:right w:val="single" w:sz="8"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0">
    <w:name w:val="xl200"/>
    <w:basedOn w:val="Normal"/>
    <w:rsid w:val="008A5A5B"/>
    <w:pPr>
      <w:pBdr>
        <w:top w:val="single" w:sz="8" w:space="0" w:color="auto"/>
        <w:left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1">
    <w:name w:val="xl201"/>
    <w:basedOn w:val="Normal"/>
    <w:rsid w:val="008A5A5B"/>
    <w:pPr>
      <w:pBdr>
        <w:left w:val="single" w:sz="8" w:space="0" w:color="auto"/>
        <w:bottom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2">
    <w:name w:val="xl202"/>
    <w:basedOn w:val="Normal"/>
    <w:rsid w:val="008A5A5B"/>
    <w:pPr>
      <w:pBdr>
        <w:top w:val="single" w:sz="8" w:space="0" w:color="auto"/>
        <w:left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xl203">
    <w:name w:val="xl203"/>
    <w:basedOn w:val="Normal"/>
    <w:rsid w:val="008A5A5B"/>
    <w:pPr>
      <w:pBdr>
        <w:left w:val="single" w:sz="8" w:space="0" w:color="auto"/>
        <w:bottom w:val="single" w:sz="8" w:space="0" w:color="auto"/>
        <w:right w:val="single" w:sz="12" w:space="0" w:color="auto"/>
      </w:pBdr>
      <w:spacing w:before="100" w:beforeAutospacing="1" w:after="100" w:afterAutospacing="1"/>
      <w:ind w:left="0" w:firstLine="0"/>
    </w:pPr>
    <w:rPr>
      <w:rFonts w:ascii="Times New Roman" w:hAnsi="Times New Roman"/>
      <w:color w:val="000000"/>
      <w:sz w:val="16"/>
      <w:szCs w:val="16"/>
      <w:lang w:bidi="ar-SA"/>
    </w:rPr>
  </w:style>
  <w:style w:type="paragraph" w:customStyle="1" w:styleId="msonormal0">
    <w:name w:val="msonormal"/>
    <w:basedOn w:val="Normal"/>
    <w:rsid w:val="008A5A5B"/>
    <w:pPr>
      <w:spacing w:before="100" w:beforeAutospacing="1" w:after="100" w:afterAutospacing="1"/>
      <w:ind w:left="0" w:firstLine="0"/>
    </w:pPr>
    <w:rPr>
      <w:rFonts w:ascii="Times New Roman" w:hAnsi="Times New Roman"/>
      <w:sz w:val="24"/>
      <w:szCs w:val="24"/>
      <w:lang w:bidi="ar-SA"/>
    </w:rPr>
  </w:style>
  <w:style w:type="paragraph" w:customStyle="1" w:styleId="xl204">
    <w:name w:val="xl204"/>
    <w:basedOn w:val="Normal"/>
    <w:rsid w:val="008A5A5B"/>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center"/>
      <w:textAlignment w:val="center"/>
    </w:pPr>
    <w:rPr>
      <w:rFonts w:ascii="Franklin Gothic Book" w:hAnsi="Franklin Gothic Book"/>
      <w:sz w:val="24"/>
      <w:szCs w:val="24"/>
      <w:lang w:bidi="ar-SA"/>
    </w:rPr>
  </w:style>
  <w:style w:type="paragraph" w:customStyle="1" w:styleId="xl205">
    <w:name w:val="xl205"/>
    <w:basedOn w:val="Normal"/>
    <w:rsid w:val="008A5A5B"/>
    <w:pPr>
      <w:pBdr>
        <w:left w:val="single" w:sz="4"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6">
    <w:name w:val="xl206"/>
    <w:basedOn w:val="Normal"/>
    <w:rsid w:val="008A5A5B"/>
    <w:pPr>
      <w:pBdr>
        <w:left w:val="single" w:sz="4"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07">
    <w:name w:val="xl207"/>
    <w:basedOn w:val="Normal"/>
    <w:rsid w:val="008A5A5B"/>
    <w:pPr>
      <w:pBdr>
        <w:left w:val="single" w:sz="4"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8">
    <w:name w:val="xl208"/>
    <w:basedOn w:val="Normal"/>
    <w:rsid w:val="008A5A5B"/>
    <w:pPr>
      <w:pBdr>
        <w:left w:val="single" w:sz="4" w:space="0" w:color="auto"/>
        <w:right w:val="single" w:sz="8"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09">
    <w:name w:val="xl209"/>
    <w:basedOn w:val="Normal"/>
    <w:rsid w:val="008A5A5B"/>
    <w:pPr>
      <w:pBdr>
        <w:left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0">
    <w:name w:val="xl210"/>
    <w:basedOn w:val="Normal"/>
    <w:rsid w:val="008A5A5B"/>
    <w:pPr>
      <w:pBdr>
        <w:left w:val="single" w:sz="8" w:space="0" w:color="auto"/>
        <w:bottom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1">
    <w:name w:val="xl211"/>
    <w:basedOn w:val="Normal"/>
    <w:rsid w:val="008A5A5B"/>
    <w:pPr>
      <w:pBdr>
        <w:left w:val="single" w:sz="4" w:space="0" w:color="auto"/>
        <w:bottom w:val="single" w:sz="8" w:space="0" w:color="auto"/>
        <w:right w:val="single" w:sz="4"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xl212">
    <w:name w:val="xl212"/>
    <w:basedOn w:val="Normal"/>
    <w:rsid w:val="008A5A5B"/>
    <w:pPr>
      <w:pBdr>
        <w:left w:val="single" w:sz="4" w:space="0" w:color="auto"/>
        <w:bottom w:val="single" w:sz="8" w:space="0" w:color="auto"/>
        <w:right w:val="single" w:sz="4" w:space="0" w:color="auto"/>
      </w:pBdr>
      <w:shd w:val="clear" w:color="000000" w:fill="00B0F0"/>
      <w:spacing w:before="100" w:beforeAutospacing="1" w:after="100" w:afterAutospacing="1"/>
      <w:ind w:left="0" w:firstLine="0"/>
      <w:jc w:val="center"/>
      <w:textAlignment w:val="center"/>
    </w:pPr>
    <w:rPr>
      <w:rFonts w:ascii="Franklin Gothic Book" w:hAnsi="Franklin Gothic Book"/>
      <w:b/>
      <w:bCs/>
      <w:color w:val="FFFFFF"/>
      <w:sz w:val="24"/>
      <w:szCs w:val="24"/>
      <w:lang w:bidi="ar-SA"/>
    </w:rPr>
  </w:style>
  <w:style w:type="paragraph" w:customStyle="1" w:styleId="xl213">
    <w:name w:val="xl213"/>
    <w:basedOn w:val="Normal"/>
    <w:rsid w:val="008A5A5B"/>
    <w:pPr>
      <w:pBdr>
        <w:left w:val="single" w:sz="4" w:space="0" w:color="auto"/>
        <w:bottom w:val="single" w:sz="8" w:space="0" w:color="auto"/>
        <w:right w:val="single" w:sz="8" w:space="0" w:color="auto"/>
      </w:pBdr>
      <w:shd w:val="clear" w:color="000000" w:fill="00B0F0"/>
      <w:spacing w:before="100" w:beforeAutospacing="1" w:after="100" w:afterAutospacing="1"/>
      <w:ind w:left="0" w:firstLine="0"/>
      <w:textAlignment w:val="center"/>
    </w:pPr>
    <w:rPr>
      <w:rFonts w:ascii="Franklin Gothic Book" w:hAnsi="Franklin Gothic Book"/>
      <w:b/>
      <w:bCs/>
      <w:color w:val="FFFFFF"/>
      <w:sz w:val="24"/>
      <w:szCs w:val="24"/>
      <w:lang w:bidi="ar-SA"/>
    </w:rPr>
  </w:style>
  <w:style w:type="paragraph" w:customStyle="1" w:styleId="BL">
    <w:name w:val="BL"/>
    <w:rsid w:val="005B5DFF"/>
    <w:pPr>
      <w:numPr>
        <w:numId w:val="28"/>
      </w:numPr>
      <w:spacing w:before="60" w:after="0"/>
    </w:pPr>
    <w:rPr>
      <w:rFonts w:ascii="Times New Roman" w:hAnsi="Times New Roman"/>
      <w:sz w:val="24"/>
      <w:szCs w:val="24"/>
    </w:rPr>
  </w:style>
  <w:style w:type="character" w:customStyle="1" w:styleId="SquareBulletstyleChar">
    <w:name w:val="Square Bullet style Char"/>
    <w:link w:val="SquareBulletstyle"/>
    <w:locked/>
    <w:rsid w:val="00E549FD"/>
    <w:rPr>
      <w:rFonts w:ascii="Cambria" w:eastAsia="Arial Narrow" w:hAnsi="Cambria"/>
      <w:bCs/>
      <w:sz w:val="22"/>
      <w:szCs w:val="22"/>
    </w:rPr>
  </w:style>
  <w:style w:type="paragraph" w:customStyle="1" w:styleId="SquareBulletstyle">
    <w:name w:val="Square Bullet style"/>
    <w:basedOn w:val="BodyText"/>
    <w:link w:val="SquareBulletstyleChar"/>
    <w:qFormat/>
    <w:rsid w:val="00E549FD"/>
    <w:pPr>
      <w:numPr>
        <w:numId w:val="34"/>
      </w:numPr>
      <w:spacing w:line="240" w:lineRule="auto"/>
    </w:pPr>
  </w:style>
  <w:style w:type="paragraph" w:customStyle="1" w:styleId="BodyText10">
    <w:name w:val="Body Text1"/>
    <w:basedOn w:val="Normal"/>
    <w:link w:val="bodytextChar1"/>
    <w:qFormat/>
    <w:rsid w:val="00236BB9"/>
    <w:pPr>
      <w:spacing w:after="160" w:line="276" w:lineRule="auto"/>
      <w:ind w:left="0" w:firstLine="360"/>
    </w:pPr>
    <w:rPr>
      <w:rFonts w:ascii="Cambria" w:eastAsiaTheme="minorHAnsi" w:hAnsi="Cambria" w:cstheme="minorHAnsi"/>
      <w:sz w:val="22"/>
      <w:lang w:bidi="ar-SA"/>
    </w:rPr>
  </w:style>
  <w:style w:type="character" w:customStyle="1" w:styleId="bodytextChar1">
    <w:name w:val="body text Char"/>
    <w:basedOn w:val="DefaultParagraphFont"/>
    <w:link w:val="BodyText10"/>
    <w:rsid w:val="00236BB9"/>
    <w:rPr>
      <w:rFonts w:ascii="Cambria" w:eastAsiaTheme="minorHAnsi" w:hAnsi="Cambria" w:cstheme="minorHAnsi"/>
      <w:sz w:val="22"/>
      <w:szCs w:val="22"/>
    </w:rPr>
  </w:style>
  <w:style w:type="paragraph" w:customStyle="1" w:styleId="TableParagraph">
    <w:name w:val="Table Paragraph"/>
    <w:basedOn w:val="Normal"/>
    <w:uiPriority w:val="1"/>
    <w:qFormat/>
    <w:rsid w:val="00EB1E64"/>
    <w:pPr>
      <w:widowControl w:val="0"/>
      <w:autoSpaceDE w:val="0"/>
      <w:autoSpaceDN w:val="0"/>
      <w:spacing w:after="0"/>
      <w:ind w:left="160" w:firstLine="0"/>
    </w:pPr>
    <w:rPr>
      <w:rFonts w:ascii="Roboto Condensed" w:eastAsia="Roboto Condensed" w:hAnsi="Roboto Condensed" w:cs="Roboto Condense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945">
      <w:bodyDiv w:val="1"/>
      <w:marLeft w:val="0"/>
      <w:marRight w:val="0"/>
      <w:marTop w:val="0"/>
      <w:marBottom w:val="0"/>
      <w:divBdr>
        <w:top w:val="none" w:sz="0" w:space="0" w:color="auto"/>
        <w:left w:val="none" w:sz="0" w:space="0" w:color="auto"/>
        <w:bottom w:val="none" w:sz="0" w:space="0" w:color="auto"/>
        <w:right w:val="none" w:sz="0" w:space="0" w:color="auto"/>
      </w:divBdr>
      <w:divsChild>
        <w:div w:id="1422725723">
          <w:marLeft w:val="1166"/>
          <w:marRight w:val="0"/>
          <w:marTop w:val="96"/>
          <w:marBottom w:val="0"/>
          <w:divBdr>
            <w:top w:val="none" w:sz="0" w:space="0" w:color="auto"/>
            <w:left w:val="none" w:sz="0" w:space="0" w:color="auto"/>
            <w:bottom w:val="none" w:sz="0" w:space="0" w:color="auto"/>
            <w:right w:val="none" w:sz="0" w:space="0" w:color="auto"/>
          </w:divBdr>
        </w:div>
        <w:div w:id="2082024739">
          <w:marLeft w:val="1166"/>
          <w:marRight w:val="0"/>
          <w:marTop w:val="96"/>
          <w:marBottom w:val="0"/>
          <w:divBdr>
            <w:top w:val="none" w:sz="0" w:space="0" w:color="auto"/>
            <w:left w:val="none" w:sz="0" w:space="0" w:color="auto"/>
            <w:bottom w:val="none" w:sz="0" w:space="0" w:color="auto"/>
            <w:right w:val="none" w:sz="0" w:space="0" w:color="auto"/>
          </w:divBdr>
        </w:div>
        <w:div w:id="1318730262">
          <w:marLeft w:val="1166"/>
          <w:marRight w:val="0"/>
          <w:marTop w:val="96"/>
          <w:marBottom w:val="0"/>
          <w:divBdr>
            <w:top w:val="none" w:sz="0" w:space="0" w:color="auto"/>
            <w:left w:val="none" w:sz="0" w:space="0" w:color="auto"/>
            <w:bottom w:val="none" w:sz="0" w:space="0" w:color="auto"/>
            <w:right w:val="none" w:sz="0" w:space="0" w:color="auto"/>
          </w:divBdr>
        </w:div>
        <w:div w:id="1689796999">
          <w:marLeft w:val="1800"/>
          <w:marRight w:val="0"/>
          <w:marTop w:val="86"/>
          <w:marBottom w:val="0"/>
          <w:divBdr>
            <w:top w:val="none" w:sz="0" w:space="0" w:color="auto"/>
            <w:left w:val="none" w:sz="0" w:space="0" w:color="auto"/>
            <w:bottom w:val="none" w:sz="0" w:space="0" w:color="auto"/>
            <w:right w:val="none" w:sz="0" w:space="0" w:color="auto"/>
          </w:divBdr>
        </w:div>
      </w:divsChild>
    </w:div>
    <w:div w:id="13894788">
      <w:bodyDiv w:val="1"/>
      <w:marLeft w:val="0"/>
      <w:marRight w:val="0"/>
      <w:marTop w:val="0"/>
      <w:marBottom w:val="0"/>
      <w:divBdr>
        <w:top w:val="none" w:sz="0" w:space="0" w:color="auto"/>
        <w:left w:val="none" w:sz="0" w:space="0" w:color="auto"/>
        <w:bottom w:val="none" w:sz="0" w:space="0" w:color="auto"/>
        <w:right w:val="none" w:sz="0" w:space="0" w:color="auto"/>
      </w:divBdr>
    </w:div>
    <w:div w:id="37972865">
      <w:bodyDiv w:val="1"/>
      <w:marLeft w:val="0"/>
      <w:marRight w:val="0"/>
      <w:marTop w:val="0"/>
      <w:marBottom w:val="0"/>
      <w:divBdr>
        <w:top w:val="none" w:sz="0" w:space="0" w:color="auto"/>
        <w:left w:val="none" w:sz="0" w:space="0" w:color="auto"/>
        <w:bottom w:val="none" w:sz="0" w:space="0" w:color="auto"/>
        <w:right w:val="none" w:sz="0" w:space="0" w:color="auto"/>
      </w:divBdr>
      <w:divsChild>
        <w:div w:id="374818186">
          <w:marLeft w:val="1166"/>
          <w:marRight w:val="0"/>
          <w:marTop w:val="110"/>
          <w:marBottom w:val="0"/>
          <w:divBdr>
            <w:top w:val="none" w:sz="0" w:space="0" w:color="auto"/>
            <w:left w:val="none" w:sz="0" w:space="0" w:color="auto"/>
            <w:bottom w:val="none" w:sz="0" w:space="0" w:color="auto"/>
            <w:right w:val="none" w:sz="0" w:space="0" w:color="auto"/>
          </w:divBdr>
        </w:div>
        <w:div w:id="1185168471">
          <w:marLeft w:val="1166"/>
          <w:marRight w:val="0"/>
          <w:marTop w:val="125"/>
          <w:marBottom w:val="0"/>
          <w:divBdr>
            <w:top w:val="none" w:sz="0" w:space="0" w:color="auto"/>
            <w:left w:val="none" w:sz="0" w:space="0" w:color="auto"/>
            <w:bottom w:val="none" w:sz="0" w:space="0" w:color="auto"/>
            <w:right w:val="none" w:sz="0" w:space="0" w:color="auto"/>
          </w:divBdr>
        </w:div>
      </w:divsChild>
    </w:div>
    <w:div w:id="61950670">
      <w:bodyDiv w:val="1"/>
      <w:marLeft w:val="0"/>
      <w:marRight w:val="0"/>
      <w:marTop w:val="0"/>
      <w:marBottom w:val="0"/>
      <w:divBdr>
        <w:top w:val="none" w:sz="0" w:space="0" w:color="auto"/>
        <w:left w:val="none" w:sz="0" w:space="0" w:color="auto"/>
        <w:bottom w:val="none" w:sz="0" w:space="0" w:color="auto"/>
        <w:right w:val="none" w:sz="0" w:space="0" w:color="auto"/>
      </w:divBdr>
      <w:divsChild>
        <w:div w:id="1655722660">
          <w:marLeft w:val="1166"/>
          <w:marRight w:val="0"/>
          <w:marTop w:val="77"/>
          <w:marBottom w:val="0"/>
          <w:divBdr>
            <w:top w:val="none" w:sz="0" w:space="0" w:color="auto"/>
            <w:left w:val="none" w:sz="0" w:space="0" w:color="auto"/>
            <w:bottom w:val="none" w:sz="0" w:space="0" w:color="auto"/>
            <w:right w:val="none" w:sz="0" w:space="0" w:color="auto"/>
          </w:divBdr>
        </w:div>
      </w:divsChild>
    </w:div>
    <w:div w:id="67769376">
      <w:bodyDiv w:val="1"/>
      <w:marLeft w:val="0"/>
      <w:marRight w:val="0"/>
      <w:marTop w:val="0"/>
      <w:marBottom w:val="0"/>
      <w:divBdr>
        <w:top w:val="none" w:sz="0" w:space="0" w:color="auto"/>
        <w:left w:val="none" w:sz="0" w:space="0" w:color="auto"/>
        <w:bottom w:val="none" w:sz="0" w:space="0" w:color="auto"/>
        <w:right w:val="none" w:sz="0" w:space="0" w:color="auto"/>
      </w:divBdr>
      <w:divsChild>
        <w:div w:id="1376465887">
          <w:marLeft w:val="547"/>
          <w:marRight w:val="0"/>
          <w:marTop w:val="115"/>
          <w:marBottom w:val="0"/>
          <w:divBdr>
            <w:top w:val="none" w:sz="0" w:space="0" w:color="auto"/>
            <w:left w:val="none" w:sz="0" w:space="0" w:color="auto"/>
            <w:bottom w:val="none" w:sz="0" w:space="0" w:color="auto"/>
            <w:right w:val="none" w:sz="0" w:space="0" w:color="auto"/>
          </w:divBdr>
        </w:div>
      </w:divsChild>
    </w:div>
    <w:div w:id="74589902">
      <w:bodyDiv w:val="1"/>
      <w:marLeft w:val="0"/>
      <w:marRight w:val="0"/>
      <w:marTop w:val="0"/>
      <w:marBottom w:val="0"/>
      <w:divBdr>
        <w:top w:val="none" w:sz="0" w:space="0" w:color="auto"/>
        <w:left w:val="none" w:sz="0" w:space="0" w:color="auto"/>
        <w:bottom w:val="none" w:sz="0" w:space="0" w:color="auto"/>
        <w:right w:val="none" w:sz="0" w:space="0" w:color="auto"/>
      </w:divBdr>
    </w:div>
    <w:div w:id="105851467">
      <w:bodyDiv w:val="1"/>
      <w:marLeft w:val="0"/>
      <w:marRight w:val="0"/>
      <w:marTop w:val="0"/>
      <w:marBottom w:val="0"/>
      <w:divBdr>
        <w:top w:val="none" w:sz="0" w:space="0" w:color="auto"/>
        <w:left w:val="none" w:sz="0" w:space="0" w:color="auto"/>
        <w:bottom w:val="none" w:sz="0" w:space="0" w:color="auto"/>
        <w:right w:val="none" w:sz="0" w:space="0" w:color="auto"/>
      </w:divBdr>
    </w:div>
    <w:div w:id="111217187">
      <w:bodyDiv w:val="1"/>
      <w:marLeft w:val="0"/>
      <w:marRight w:val="0"/>
      <w:marTop w:val="0"/>
      <w:marBottom w:val="0"/>
      <w:divBdr>
        <w:top w:val="none" w:sz="0" w:space="0" w:color="auto"/>
        <w:left w:val="none" w:sz="0" w:space="0" w:color="auto"/>
        <w:bottom w:val="none" w:sz="0" w:space="0" w:color="auto"/>
        <w:right w:val="none" w:sz="0" w:space="0" w:color="auto"/>
      </w:divBdr>
      <w:divsChild>
        <w:div w:id="528371607">
          <w:marLeft w:val="547"/>
          <w:marRight w:val="0"/>
          <w:marTop w:val="106"/>
          <w:marBottom w:val="0"/>
          <w:divBdr>
            <w:top w:val="none" w:sz="0" w:space="0" w:color="auto"/>
            <w:left w:val="none" w:sz="0" w:space="0" w:color="auto"/>
            <w:bottom w:val="none" w:sz="0" w:space="0" w:color="auto"/>
            <w:right w:val="none" w:sz="0" w:space="0" w:color="auto"/>
          </w:divBdr>
        </w:div>
        <w:div w:id="1169829708">
          <w:marLeft w:val="1166"/>
          <w:marRight w:val="0"/>
          <w:marTop w:val="77"/>
          <w:marBottom w:val="0"/>
          <w:divBdr>
            <w:top w:val="none" w:sz="0" w:space="0" w:color="auto"/>
            <w:left w:val="none" w:sz="0" w:space="0" w:color="auto"/>
            <w:bottom w:val="none" w:sz="0" w:space="0" w:color="auto"/>
            <w:right w:val="none" w:sz="0" w:space="0" w:color="auto"/>
          </w:divBdr>
        </w:div>
        <w:div w:id="1806729138">
          <w:marLeft w:val="547"/>
          <w:marRight w:val="0"/>
          <w:marTop w:val="106"/>
          <w:marBottom w:val="0"/>
          <w:divBdr>
            <w:top w:val="none" w:sz="0" w:space="0" w:color="auto"/>
            <w:left w:val="none" w:sz="0" w:space="0" w:color="auto"/>
            <w:bottom w:val="none" w:sz="0" w:space="0" w:color="auto"/>
            <w:right w:val="none" w:sz="0" w:space="0" w:color="auto"/>
          </w:divBdr>
        </w:div>
        <w:div w:id="885946415">
          <w:marLeft w:val="547"/>
          <w:marRight w:val="0"/>
          <w:marTop w:val="106"/>
          <w:marBottom w:val="0"/>
          <w:divBdr>
            <w:top w:val="none" w:sz="0" w:space="0" w:color="auto"/>
            <w:left w:val="none" w:sz="0" w:space="0" w:color="auto"/>
            <w:bottom w:val="none" w:sz="0" w:space="0" w:color="auto"/>
            <w:right w:val="none" w:sz="0" w:space="0" w:color="auto"/>
          </w:divBdr>
        </w:div>
        <w:div w:id="1544437141">
          <w:marLeft w:val="547"/>
          <w:marRight w:val="0"/>
          <w:marTop w:val="106"/>
          <w:marBottom w:val="0"/>
          <w:divBdr>
            <w:top w:val="none" w:sz="0" w:space="0" w:color="auto"/>
            <w:left w:val="none" w:sz="0" w:space="0" w:color="auto"/>
            <w:bottom w:val="none" w:sz="0" w:space="0" w:color="auto"/>
            <w:right w:val="none" w:sz="0" w:space="0" w:color="auto"/>
          </w:divBdr>
        </w:div>
      </w:divsChild>
    </w:div>
    <w:div w:id="140512756">
      <w:bodyDiv w:val="1"/>
      <w:marLeft w:val="0"/>
      <w:marRight w:val="0"/>
      <w:marTop w:val="0"/>
      <w:marBottom w:val="0"/>
      <w:divBdr>
        <w:top w:val="none" w:sz="0" w:space="0" w:color="auto"/>
        <w:left w:val="none" w:sz="0" w:space="0" w:color="auto"/>
        <w:bottom w:val="none" w:sz="0" w:space="0" w:color="auto"/>
        <w:right w:val="none" w:sz="0" w:space="0" w:color="auto"/>
      </w:divBdr>
    </w:div>
    <w:div w:id="176383105">
      <w:bodyDiv w:val="1"/>
      <w:marLeft w:val="0"/>
      <w:marRight w:val="0"/>
      <w:marTop w:val="0"/>
      <w:marBottom w:val="0"/>
      <w:divBdr>
        <w:top w:val="none" w:sz="0" w:space="0" w:color="auto"/>
        <w:left w:val="none" w:sz="0" w:space="0" w:color="auto"/>
        <w:bottom w:val="none" w:sz="0" w:space="0" w:color="auto"/>
        <w:right w:val="none" w:sz="0" w:space="0" w:color="auto"/>
      </w:divBdr>
    </w:div>
    <w:div w:id="182788871">
      <w:bodyDiv w:val="1"/>
      <w:marLeft w:val="0"/>
      <w:marRight w:val="0"/>
      <w:marTop w:val="0"/>
      <w:marBottom w:val="0"/>
      <w:divBdr>
        <w:top w:val="none" w:sz="0" w:space="0" w:color="auto"/>
        <w:left w:val="none" w:sz="0" w:space="0" w:color="auto"/>
        <w:bottom w:val="none" w:sz="0" w:space="0" w:color="auto"/>
        <w:right w:val="none" w:sz="0" w:space="0" w:color="auto"/>
      </w:divBdr>
    </w:div>
    <w:div w:id="192965573">
      <w:bodyDiv w:val="1"/>
      <w:marLeft w:val="0"/>
      <w:marRight w:val="0"/>
      <w:marTop w:val="0"/>
      <w:marBottom w:val="0"/>
      <w:divBdr>
        <w:top w:val="none" w:sz="0" w:space="0" w:color="auto"/>
        <w:left w:val="none" w:sz="0" w:space="0" w:color="auto"/>
        <w:bottom w:val="none" w:sz="0" w:space="0" w:color="auto"/>
        <w:right w:val="none" w:sz="0" w:space="0" w:color="auto"/>
      </w:divBdr>
    </w:div>
    <w:div w:id="257562588">
      <w:bodyDiv w:val="1"/>
      <w:marLeft w:val="0"/>
      <w:marRight w:val="0"/>
      <w:marTop w:val="0"/>
      <w:marBottom w:val="0"/>
      <w:divBdr>
        <w:top w:val="none" w:sz="0" w:space="0" w:color="auto"/>
        <w:left w:val="none" w:sz="0" w:space="0" w:color="auto"/>
        <w:bottom w:val="none" w:sz="0" w:space="0" w:color="auto"/>
        <w:right w:val="none" w:sz="0" w:space="0" w:color="auto"/>
      </w:divBdr>
    </w:div>
    <w:div w:id="259528750">
      <w:bodyDiv w:val="1"/>
      <w:marLeft w:val="0"/>
      <w:marRight w:val="0"/>
      <w:marTop w:val="0"/>
      <w:marBottom w:val="0"/>
      <w:divBdr>
        <w:top w:val="none" w:sz="0" w:space="0" w:color="auto"/>
        <w:left w:val="none" w:sz="0" w:space="0" w:color="auto"/>
        <w:bottom w:val="none" w:sz="0" w:space="0" w:color="auto"/>
        <w:right w:val="none" w:sz="0" w:space="0" w:color="auto"/>
      </w:divBdr>
    </w:div>
    <w:div w:id="274480426">
      <w:bodyDiv w:val="1"/>
      <w:marLeft w:val="0"/>
      <w:marRight w:val="0"/>
      <w:marTop w:val="0"/>
      <w:marBottom w:val="0"/>
      <w:divBdr>
        <w:top w:val="none" w:sz="0" w:space="0" w:color="auto"/>
        <w:left w:val="none" w:sz="0" w:space="0" w:color="auto"/>
        <w:bottom w:val="none" w:sz="0" w:space="0" w:color="auto"/>
        <w:right w:val="none" w:sz="0" w:space="0" w:color="auto"/>
      </w:divBdr>
    </w:div>
    <w:div w:id="293829957">
      <w:bodyDiv w:val="1"/>
      <w:marLeft w:val="0"/>
      <w:marRight w:val="0"/>
      <w:marTop w:val="0"/>
      <w:marBottom w:val="0"/>
      <w:divBdr>
        <w:top w:val="none" w:sz="0" w:space="0" w:color="auto"/>
        <w:left w:val="none" w:sz="0" w:space="0" w:color="auto"/>
        <w:bottom w:val="none" w:sz="0" w:space="0" w:color="auto"/>
        <w:right w:val="none" w:sz="0" w:space="0" w:color="auto"/>
      </w:divBdr>
    </w:div>
    <w:div w:id="334577639">
      <w:bodyDiv w:val="1"/>
      <w:marLeft w:val="0"/>
      <w:marRight w:val="0"/>
      <w:marTop w:val="0"/>
      <w:marBottom w:val="0"/>
      <w:divBdr>
        <w:top w:val="none" w:sz="0" w:space="0" w:color="auto"/>
        <w:left w:val="none" w:sz="0" w:space="0" w:color="auto"/>
        <w:bottom w:val="none" w:sz="0" w:space="0" w:color="auto"/>
        <w:right w:val="none" w:sz="0" w:space="0" w:color="auto"/>
      </w:divBdr>
    </w:div>
    <w:div w:id="341862686">
      <w:bodyDiv w:val="1"/>
      <w:marLeft w:val="0"/>
      <w:marRight w:val="0"/>
      <w:marTop w:val="0"/>
      <w:marBottom w:val="0"/>
      <w:divBdr>
        <w:top w:val="none" w:sz="0" w:space="0" w:color="auto"/>
        <w:left w:val="none" w:sz="0" w:space="0" w:color="auto"/>
        <w:bottom w:val="none" w:sz="0" w:space="0" w:color="auto"/>
        <w:right w:val="none" w:sz="0" w:space="0" w:color="auto"/>
      </w:divBdr>
    </w:div>
    <w:div w:id="427313968">
      <w:bodyDiv w:val="1"/>
      <w:marLeft w:val="0"/>
      <w:marRight w:val="0"/>
      <w:marTop w:val="0"/>
      <w:marBottom w:val="0"/>
      <w:divBdr>
        <w:top w:val="none" w:sz="0" w:space="0" w:color="auto"/>
        <w:left w:val="none" w:sz="0" w:space="0" w:color="auto"/>
        <w:bottom w:val="none" w:sz="0" w:space="0" w:color="auto"/>
        <w:right w:val="none" w:sz="0" w:space="0" w:color="auto"/>
      </w:divBdr>
    </w:div>
    <w:div w:id="434405195">
      <w:bodyDiv w:val="1"/>
      <w:marLeft w:val="0"/>
      <w:marRight w:val="0"/>
      <w:marTop w:val="0"/>
      <w:marBottom w:val="0"/>
      <w:divBdr>
        <w:top w:val="none" w:sz="0" w:space="0" w:color="auto"/>
        <w:left w:val="none" w:sz="0" w:space="0" w:color="auto"/>
        <w:bottom w:val="none" w:sz="0" w:space="0" w:color="auto"/>
        <w:right w:val="none" w:sz="0" w:space="0" w:color="auto"/>
      </w:divBdr>
    </w:div>
    <w:div w:id="437677206">
      <w:bodyDiv w:val="1"/>
      <w:marLeft w:val="0"/>
      <w:marRight w:val="0"/>
      <w:marTop w:val="0"/>
      <w:marBottom w:val="0"/>
      <w:divBdr>
        <w:top w:val="none" w:sz="0" w:space="0" w:color="auto"/>
        <w:left w:val="none" w:sz="0" w:space="0" w:color="auto"/>
        <w:bottom w:val="none" w:sz="0" w:space="0" w:color="auto"/>
        <w:right w:val="none" w:sz="0" w:space="0" w:color="auto"/>
      </w:divBdr>
    </w:div>
    <w:div w:id="462584150">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1">
          <w:marLeft w:val="1166"/>
          <w:marRight w:val="0"/>
          <w:marTop w:val="91"/>
          <w:marBottom w:val="0"/>
          <w:divBdr>
            <w:top w:val="none" w:sz="0" w:space="0" w:color="auto"/>
            <w:left w:val="none" w:sz="0" w:space="0" w:color="auto"/>
            <w:bottom w:val="none" w:sz="0" w:space="0" w:color="auto"/>
            <w:right w:val="none" w:sz="0" w:space="0" w:color="auto"/>
          </w:divBdr>
        </w:div>
      </w:divsChild>
    </w:div>
    <w:div w:id="505485966">
      <w:bodyDiv w:val="1"/>
      <w:marLeft w:val="0"/>
      <w:marRight w:val="0"/>
      <w:marTop w:val="0"/>
      <w:marBottom w:val="0"/>
      <w:divBdr>
        <w:top w:val="none" w:sz="0" w:space="0" w:color="auto"/>
        <w:left w:val="none" w:sz="0" w:space="0" w:color="auto"/>
        <w:bottom w:val="none" w:sz="0" w:space="0" w:color="auto"/>
        <w:right w:val="none" w:sz="0" w:space="0" w:color="auto"/>
      </w:divBdr>
    </w:div>
    <w:div w:id="520317179">
      <w:bodyDiv w:val="1"/>
      <w:marLeft w:val="0"/>
      <w:marRight w:val="0"/>
      <w:marTop w:val="0"/>
      <w:marBottom w:val="0"/>
      <w:divBdr>
        <w:top w:val="none" w:sz="0" w:space="0" w:color="auto"/>
        <w:left w:val="none" w:sz="0" w:space="0" w:color="auto"/>
        <w:bottom w:val="none" w:sz="0" w:space="0" w:color="auto"/>
        <w:right w:val="none" w:sz="0" w:space="0" w:color="auto"/>
      </w:divBdr>
    </w:div>
    <w:div w:id="524560090">
      <w:bodyDiv w:val="1"/>
      <w:marLeft w:val="0"/>
      <w:marRight w:val="0"/>
      <w:marTop w:val="0"/>
      <w:marBottom w:val="0"/>
      <w:divBdr>
        <w:top w:val="none" w:sz="0" w:space="0" w:color="auto"/>
        <w:left w:val="none" w:sz="0" w:space="0" w:color="auto"/>
        <w:bottom w:val="none" w:sz="0" w:space="0" w:color="auto"/>
        <w:right w:val="none" w:sz="0" w:space="0" w:color="auto"/>
      </w:divBdr>
    </w:div>
    <w:div w:id="553546175">
      <w:bodyDiv w:val="1"/>
      <w:marLeft w:val="0"/>
      <w:marRight w:val="0"/>
      <w:marTop w:val="0"/>
      <w:marBottom w:val="0"/>
      <w:divBdr>
        <w:top w:val="none" w:sz="0" w:space="0" w:color="auto"/>
        <w:left w:val="none" w:sz="0" w:space="0" w:color="auto"/>
        <w:bottom w:val="none" w:sz="0" w:space="0" w:color="auto"/>
        <w:right w:val="none" w:sz="0" w:space="0" w:color="auto"/>
      </w:divBdr>
      <w:divsChild>
        <w:div w:id="1752850790">
          <w:marLeft w:val="1166"/>
          <w:marRight w:val="0"/>
          <w:marTop w:val="91"/>
          <w:marBottom w:val="0"/>
          <w:divBdr>
            <w:top w:val="none" w:sz="0" w:space="0" w:color="auto"/>
            <w:left w:val="none" w:sz="0" w:space="0" w:color="auto"/>
            <w:bottom w:val="none" w:sz="0" w:space="0" w:color="auto"/>
            <w:right w:val="none" w:sz="0" w:space="0" w:color="auto"/>
          </w:divBdr>
        </w:div>
      </w:divsChild>
    </w:div>
    <w:div w:id="556891991">
      <w:bodyDiv w:val="1"/>
      <w:marLeft w:val="0"/>
      <w:marRight w:val="0"/>
      <w:marTop w:val="0"/>
      <w:marBottom w:val="0"/>
      <w:divBdr>
        <w:top w:val="none" w:sz="0" w:space="0" w:color="auto"/>
        <w:left w:val="none" w:sz="0" w:space="0" w:color="auto"/>
        <w:bottom w:val="none" w:sz="0" w:space="0" w:color="auto"/>
        <w:right w:val="none" w:sz="0" w:space="0" w:color="auto"/>
      </w:divBdr>
    </w:div>
    <w:div w:id="587344341">
      <w:bodyDiv w:val="1"/>
      <w:marLeft w:val="0"/>
      <w:marRight w:val="0"/>
      <w:marTop w:val="0"/>
      <w:marBottom w:val="0"/>
      <w:divBdr>
        <w:top w:val="none" w:sz="0" w:space="0" w:color="auto"/>
        <w:left w:val="none" w:sz="0" w:space="0" w:color="auto"/>
        <w:bottom w:val="none" w:sz="0" w:space="0" w:color="auto"/>
        <w:right w:val="none" w:sz="0" w:space="0" w:color="auto"/>
      </w:divBdr>
      <w:divsChild>
        <w:div w:id="1272934822">
          <w:marLeft w:val="547"/>
          <w:marRight w:val="0"/>
          <w:marTop w:val="96"/>
          <w:marBottom w:val="0"/>
          <w:divBdr>
            <w:top w:val="none" w:sz="0" w:space="0" w:color="auto"/>
            <w:left w:val="none" w:sz="0" w:space="0" w:color="auto"/>
            <w:bottom w:val="none" w:sz="0" w:space="0" w:color="auto"/>
            <w:right w:val="none" w:sz="0" w:space="0" w:color="auto"/>
          </w:divBdr>
        </w:div>
        <w:div w:id="1782604941">
          <w:marLeft w:val="1166"/>
          <w:marRight w:val="0"/>
          <w:marTop w:val="72"/>
          <w:marBottom w:val="0"/>
          <w:divBdr>
            <w:top w:val="none" w:sz="0" w:space="0" w:color="auto"/>
            <w:left w:val="none" w:sz="0" w:space="0" w:color="auto"/>
            <w:bottom w:val="none" w:sz="0" w:space="0" w:color="auto"/>
            <w:right w:val="none" w:sz="0" w:space="0" w:color="auto"/>
          </w:divBdr>
        </w:div>
        <w:div w:id="981542836">
          <w:marLeft w:val="547"/>
          <w:marRight w:val="0"/>
          <w:marTop w:val="96"/>
          <w:marBottom w:val="0"/>
          <w:divBdr>
            <w:top w:val="none" w:sz="0" w:space="0" w:color="auto"/>
            <w:left w:val="none" w:sz="0" w:space="0" w:color="auto"/>
            <w:bottom w:val="none" w:sz="0" w:space="0" w:color="auto"/>
            <w:right w:val="none" w:sz="0" w:space="0" w:color="auto"/>
          </w:divBdr>
        </w:div>
        <w:div w:id="497769551">
          <w:marLeft w:val="547"/>
          <w:marRight w:val="0"/>
          <w:marTop w:val="96"/>
          <w:marBottom w:val="0"/>
          <w:divBdr>
            <w:top w:val="none" w:sz="0" w:space="0" w:color="auto"/>
            <w:left w:val="none" w:sz="0" w:space="0" w:color="auto"/>
            <w:bottom w:val="none" w:sz="0" w:space="0" w:color="auto"/>
            <w:right w:val="none" w:sz="0" w:space="0" w:color="auto"/>
          </w:divBdr>
        </w:div>
        <w:div w:id="1907107116">
          <w:marLeft w:val="547"/>
          <w:marRight w:val="0"/>
          <w:marTop w:val="96"/>
          <w:marBottom w:val="0"/>
          <w:divBdr>
            <w:top w:val="none" w:sz="0" w:space="0" w:color="auto"/>
            <w:left w:val="none" w:sz="0" w:space="0" w:color="auto"/>
            <w:bottom w:val="none" w:sz="0" w:space="0" w:color="auto"/>
            <w:right w:val="none" w:sz="0" w:space="0" w:color="auto"/>
          </w:divBdr>
        </w:div>
      </w:divsChild>
    </w:div>
    <w:div w:id="614290789">
      <w:bodyDiv w:val="1"/>
      <w:marLeft w:val="0"/>
      <w:marRight w:val="0"/>
      <w:marTop w:val="0"/>
      <w:marBottom w:val="0"/>
      <w:divBdr>
        <w:top w:val="none" w:sz="0" w:space="0" w:color="auto"/>
        <w:left w:val="none" w:sz="0" w:space="0" w:color="auto"/>
        <w:bottom w:val="none" w:sz="0" w:space="0" w:color="auto"/>
        <w:right w:val="none" w:sz="0" w:space="0" w:color="auto"/>
      </w:divBdr>
      <w:divsChild>
        <w:div w:id="1401562372">
          <w:marLeft w:val="1166"/>
          <w:marRight w:val="0"/>
          <w:marTop w:val="72"/>
          <w:marBottom w:val="0"/>
          <w:divBdr>
            <w:top w:val="none" w:sz="0" w:space="0" w:color="auto"/>
            <w:left w:val="none" w:sz="0" w:space="0" w:color="auto"/>
            <w:bottom w:val="none" w:sz="0" w:space="0" w:color="auto"/>
            <w:right w:val="none" w:sz="0" w:space="0" w:color="auto"/>
          </w:divBdr>
        </w:div>
      </w:divsChild>
    </w:div>
    <w:div w:id="622466314">
      <w:bodyDiv w:val="1"/>
      <w:marLeft w:val="0"/>
      <w:marRight w:val="0"/>
      <w:marTop w:val="0"/>
      <w:marBottom w:val="0"/>
      <w:divBdr>
        <w:top w:val="none" w:sz="0" w:space="0" w:color="auto"/>
        <w:left w:val="none" w:sz="0" w:space="0" w:color="auto"/>
        <w:bottom w:val="none" w:sz="0" w:space="0" w:color="auto"/>
        <w:right w:val="none" w:sz="0" w:space="0" w:color="auto"/>
      </w:divBdr>
    </w:div>
    <w:div w:id="644823112">
      <w:bodyDiv w:val="1"/>
      <w:marLeft w:val="0"/>
      <w:marRight w:val="0"/>
      <w:marTop w:val="0"/>
      <w:marBottom w:val="0"/>
      <w:divBdr>
        <w:top w:val="none" w:sz="0" w:space="0" w:color="auto"/>
        <w:left w:val="none" w:sz="0" w:space="0" w:color="auto"/>
        <w:bottom w:val="none" w:sz="0" w:space="0" w:color="auto"/>
        <w:right w:val="none" w:sz="0" w:space="0" w:color="auto"/>
      </w:divBdr>
      <w:divsChild>
        <w:div w:id="604003780">
          <w:marLeft w:val="547"/>
          <w:marRight w:val="0"/>
          <w:marTop w:val="115"/>
          <w:marBottom w:val="0"/>
          <w:divBdr>
            <w:top w:val="none" w:sz="0" w:space="0" w:color="auto"/>
            <w:left w:val="none" w:sz="0" w:space="0" w:color="auto"/>
            <w:bottom w:val="none" w:sz="0" w:space="0" w:color="auto"/>
            <w:right w:val="none" w:sz="0" w:space="0" w:color="auto"/>
          </w:divBdr>
        </w:div>
        <w:div w:id="788664491">
          <w:marLeft w:val="547"/>
          <w:marRight w:val="0"/>
          <w:marTop w:val="115"/>
          <w:marBottom w:val="0"/>
          <w:divBdr>
            <w:top w:val="none" w:sz="0" w:space="0" w:color="auto"/>
            <w:left w:val="none" w:sz="0" w:space="0" w:color="auto"/>
            <w:bottom w:val="none" w:sz="0" w:space="0" w:color="auto"/>
            <w:right w:val="none" w:sz="0" w:space="0" w:color="auto"/>
          </w:divBdr>
        </w:div>
        <w:div w:id="1083841145">
          <w:marLeft w:val="547"/>
          <w:marRight w:val="0"/>
          <w:marTop w:val="115"/>
          <w:marBottom w:val="0"/>
          <w:divBdr>
            <w:top w:val="none" w:sz="0" w:space="0" w:color="auto"/>
            <w:left w:val="none" w:sz="0" w:space="0" w:color="auto"/>
            <w:bottom w:val="none" w:sz="0" w:space="0" w:color="auto"/>
            <w:right w:val="none" w:sz="0" w:space="0" w:color="auto"/>
          </w:divBdr>
        </w:div>
      </w:divsChild>
    </w:div>
    <w:div w:id="669719309">
      <w:bodyDiv w:val="1"/>
      <w:marLeft w:val="0"/>
      <w:marRight w:val="0"/>
      <w:marTop w:val="0"/>
      <w:marBottom w:val="0"/>
      <w:divBdr>
        <w:top w:val="none" w:sz="0" w:space="0" w:color="auto"/>
        <w:left w:val="none" w:sz="0" w:space="0" w:color="auto"/>
        <w:bottom w:val="none" w:sz="0" w:space="0" w:color="auto"/>
        <w:right w:val="none" w:sz="0" w:space="0" w:color="auto"/>
      </w:divBdr>
    </w:div>
    <w:div w:id="689185605">
      <w:bodyDiv w:val="1"/>
      <w:marLeft w:val="0"/>
      <w:marRight w:val="0"/>
      <w:marTop w:val="0"/>
      <w:marBottom w:val="0"/>
      <w:divBdr>
        <w:top w:val="none" w:sz="0" w:space="0" w:color="auto"/>
        <w:left w:val="none" w:sz="0" w:space="0" w:color="auto"/>
        <w:bottom w:val="none" w:sz="0" w:space="0" w:color="auto"/>
        <w:right w:val="none" w:sz="0" w:space="0" w:color="auto"/>
      </w:divBdr>
    </w:div>
    <w:div w:id="721833241">
      <w:bodyDiv w:val="1"/>
      <w:marLeft w:val="0"/>
      <w:marRight w:val="0"/>
      <w:marTop w:val="0"/>
      <w:marBottom w:val="0"/>
      <w:divBdr>
        <w:top w:val="none" w:sz="0" w:space="0" w:color="auto"/>
        <w:left w:val="none" w:sz="0" w:space="0" w:color="auto"/>
        <w:bottom w:val="none" w:sz="0" w:space="0" w:color="auto"/>
        <w:right w:val="none" w:sz="0" w:space="0" w:color="auto"/>
      </w:divBdr>
    </w:div>
    <w:div w:id="751396621">
      <w:bodyDiv w:val="1"/>
      <w:marLeft w:val="0"/>
      <w:marRight w:val="0"/>
      <w:marTop w:val="0"/>
      <w:marBottom w:val="0"/>
      <w:divBdr>
        <w:top w:val="none" w:sz="0" w:space="0" w:color="auto"/>
        <w:left w:val="none" w:sz="0" w:space="0" w:color="auto"/>
        <w:bottom w:val="none" w:sz="0" w:space="0" w:color="auto"/>
        <w:right w:val="none" w:sz="0" w:space="0" w:color="auto"/>
      </w:divBdr>
    </w:div>
    <w:div w:id="780996220">
      <w:bodyDiv w:val="1"/>
      <w:marLeft w:val="0"/>
      <w:marRight w:val="0"/>
      <w:marTop w:val="0"/>
      <w:marBottom w:val="0"/>
      <w:divBdr>
        <w:top w:val="none" w:sz="0" w:space="0" w:color="auto"/>
        <w:left w:val="none" w:sz="0" w:space="0" w:color="auto"/>
        <w:bottom w:val="none" w:sz="0" w:space="0" w:color="auto"/>
        <w:right w:val="none" w:sz="0" w:space="0" w:color="auto"/>
      </w:divBdr>
    </w:div>
    <w:div w:id="800853247">
      <w:bodyDiv w:val="1"/>
      <w:marLeft w:val="0"/>
      <w:marRight w:val="0"/>
      <w:marTop w:val="0"/>
      <w:marBottom w:val="0"/>
      <w:divBdr>
        <w:top w:val="none" w:sz="0" w:space="0" w:color="auto"/>
        <w:left w:val="none" w:sz="0" w:space="0" w:color="auto"/>
        <w:bottom w:val="none" w:sz="0" w:space="0" w:color="auto"/>
        <w:right w:val="none" w:sz="0" w:space="0" w:color="auto"/>
      </w:divBdr>
    </w:div>
    <w:div w:id="826870414">
      <w:bodyDiv w:val="1"/>
      <w:marLeft w:val="0"/>
      <w:marRight w:val="0"/>
      <w:marTop w:val="0"/>
      <w:marBottom w:val="0"/>
      <w:divBdr>
        <w:top w:val="none" w:sz="0" w:space="0" w:color="auto"/>
        <w:left w:val="none" w:sz="0" w:space="0" w:color="auto"/>
        <w:bottom w:val="none" w:sz="0" w:space="0" w:color="auto"/>
        <w:right w:val="none" w:sz="0" w:space="0" w:color="auto"/>
      </w:divBdr>
    </w:div>
    <w:div w:id="837378657">
      <w:bodyDiv w:val="1"/>
      <w:marLeft w:val="0"/>
      <w:marRight w:val="0"/>
      <w:marTop w:val="0"/>
      <w:marBottom w:val="0"/>
      <w:divBdr>
        <w:top w:val="none" w:sz="0" w:space="0" w:color="auto"/>
        <w:left w:val="none" w:sz="0" w:space="0" w:color="auto"/>
        <w:bottom w:val="none" w:sz="0" w:space="0" w:color="auto"/>
        <w:right w:val="none" w:sz="0" w:space="0" w:color="auto"/>
      </w:divBdr>
    </w:div>
    <w:div w:id="840122586">
      <w:bodyDiv w:val="1"/>
      <w:marLeft w:val="0"/>
      <w:marRight w:val="0"/>
      <w:marTop w:val="0"/>
      <w:marBottom w:val="0"/>
      <w:divBdr>
        <w:top w:val="none" w:sz="0" w:space="0" w:color="auto"/>
        <w:left w:val="none" w:sz="0" w:space="0" w:color="auto"/>
        <w:bottom w:val="none" w:sz="0" w:space="0" w:color="auto"/>
        <w:right w:val="none" w:sz="0" w:space="0" w:color="auto"/>
      </w:divBdr>
      <w:divsChild>
        <w:div w:id="930435446">
          <w:marLeft w:val="547"/>
          <w:marRight w:val="0"/>
          <w:marTop w:val="125"/>
          <w:marBottom w:val="0"/>
          <w:divBdr>
            <w:top w:val="none" w:sz="0" w:space="0" w:color="auto"/>
            <w:left w:val="none" w:sz="0" w:space="0" w:color="auto"/>
            <w:bottom w:val="none" w:sz="0" w:space="0" w:color="auto"/>
            <w:right w:val="none" w:sz="0" w:space="0" w:color="auto"/>
          </w:divBdr>
        </w:div>
      </w:divsChild>
    </w:div>
    <w:div w:id="844441537">
      <w:bodyDiv w:val="1"/>
      <w:marLeft w:val="0"/>
      <w:marRight w:val="0"/>
      <w:marTop w:val="0"/>
      <w:marBottom w:val="0"/>
      <w:divBdr>
        <w:top w:val="none" w:sz="0" w:space="0" w:color="auto"/>
        <w:left w:val="none" w:sz="0" w:space="0" w:color="auto"/>
        <w:bottom w:val="none" w:sz="0" w:space="0" w:color="auto"/>
        <w:right w:val="none" w:sz="0" w:space="0" w:color="auto"/>
      </w:divBdr>
      <w:divsChild>
        <w:div w:id="58330745">
          <w:marLeft w:val="547"/>
          <w:marRight w:val="0"/>
          <w:marTop w:val="86"/>
          <w:marBottom w:val="0"/>
          <w:divBdr>
            <w:top w:val="none" w:sz="0" w:space="0" w:color="auto"/>
            <w:left w:val="none" w:sz="0" w:space="0" w:color="auto"/>
            <w:bottom w:val="none" w:sz="0" w:space="0" w:color="auto"/>
            <w:right w:val="none" w:sz="0" w:space="0" w:color="auto"/>
          </w:divBdr>
        </w:div>
      </w:divsChild>
    </w:div>
    <w:div w:id="867333270">
      <w:bodyDiv w:val="1"/>
      <w:marLeft w:val="0"/>
      <w:marRight w:val="0"/>
      <w:marTop w:val="0"/>
      <w:marBottom w:val="0"/>
      <w:divBdr>
        <w:top w:val="none" w:sz="0" w:space="0" w:color="auto"/>
        <w:left w:val="none" w:sz="0" w:space="0" w:color="auto"/>
        <w:bottom w:val="none" w:sz="0" w:space="0" w:color="auto"/>
        <w:right w:val="none" w:sz="0" w:space="0" w:color="auto"/>
      </w:divBdr>
    </w:div>
    <w:div w:id="878325975">
      <w:bodyDiv w:val="1"/>
      <w:marLeft w:val="0"/>
      <w:marRight w:val="0"/>
      <w:marTop w:val="0"/>
      <w:marBottom w:val="0"/>
      <w:divBdr>
        <w:top w:val="none" w:sz="0" w:space="0" w:color="auto"/>
        <w:left w:val="none" w:sz="0" w:space="0" w:color="auto"/>
        <w:bottom w:val="none" w:sz="0" w:space="0" w:color="auto"/>
        <w:right w:val="none" w:sz="0" w:space="0" w:color="auto"/>
      </w:divBdr>
      <w:divsChild>
        <w:div w:id="1105230014">
          <w:marLeft w:val="0"/>
          <w:marRight w:val="0"/>
          <w:marTop w:val="0"/>
          <w:marBottom w:val="0"/>
          <w:divBdr>
            <w:top w:val="none" w:sz="0" w:space="0" w:color="auto"/>
            <w:left w:val="none" w:sz="0" w:space="0" w:color="auto"/>
            <w:bottom w:val="none" w:sz="0" w:space="0" w:color="auto"/>
            <w:right w:val="none" w:sz="0" w:space="0" w:color="auto"/>
          </w:divBdr>
          <w:divsChild>
            <w:div w:id="627321187">
              <w:marLeft w:val="0"/>
              <w:marRight w:val="0"/>
              <w:marTop w:val="0"/>
              <w:marBottom w:val="0"/>
              <w:divBdr>
                <w:top w:val="none" w:sz="0" w:space="0" w:color="auto"/>
                <w:left w:val="none" w:sz="0" w:space="0" w:color="auto"/>
                <w:bottom w:val="none" w:sz="0" w:space="0" w:color="auto"/>
                <w:right w:val="none" w:sz="0" w:space="0" w:color="auto"/>
              </w:divBdr>
              <w:divsChild>
                <w:div w:id="1687246815">
                  <w:marLeft w:val="1776"/>
                  <w:marRight w:val="1716"/>
                  <w:marTop w:val="0"/>
                  <w:marBottom w:val="0"/>
                  <w:divBdr>
                    <w:top w:val="single" w:sz="2" w:space="0" w:color="FFFFFF"/>
                    <w:left w:val="single" w:sz="2" w:space="0" w:color="FFFFFF"/>
                    <w:bottom w:val="single" w:sz="2" w:space="0" w:color="FFFFFF"/>
                    <w:right w:val="single" w:sz="2" w:space="0" w:color="FFFFFF"/>
                  </w:divBdr>
                  <w:divsChild>
                    <w:div w:id="1320771320">
                      <w:marLeft w:val="0"/>
                      <w:marRight w:val="0"/>
                      <w:marTop w:val="0"/>
                      <w:marBottom w:val="0"/>
                      <w:divBdr>
                        <w:top w:val="none" w:sz="0" w:space="0" w:color="auto"/>
                        <w:left w:val="none" w:sz="0" w:space="0" w:color="auto"/>
                        <w:bottom w:val="none" w:sz="0" w:space="0" w:color="auto"/>
                        <w:right w:val="none" w:sz="0" w:space="0" w:color="auto"/>
                      </w:divBdr>
                      <w:divsChild>
                        <w:div w:id="233052012">
                          <w:marLeft w:val="0"/>
                          <w:marRight w:val="0"/>
                          <w:marTop w:val="120"/>
                          <w:marBottom w:val="120"/>
                          <w:divBdr>
                            <w:top w:val="none" w:sz="0" w:space="0" w:color="auto"/>
                            <w:left w:val="none" w:sz="0" w:space="0" w:color="auto"/>
                            <w:bottom w:val="none" w:sz="0" w:space="0" w:color="auto"/>
                            <w:right w:val="none" w:sz="0" w:space="0" w:color="auto"/>
                          </w:divBdr>
                          <w:divsChild>
                            <w:div w:id="734277444">
                              <w:marLeft w:val="0"/>
                              <w:marRight w:val="0"/>
                              <w:marTop w:val="0"/>
                              <w:marBottom w:val="0"/>
                              <w:divBdr>
                                <w:top w:val="none" w:sz="0" w:space="0" w:color="auto"/>
                                <w:left w:val="none" w:sz="0" w:space="0" w:color="auto"/>
                                <w:bottom w:val="none" w:sz="0" w:space="0" w:color="auto"/>
                                <w:right w:val="none" w:sz="0" w:space="0" w:color="auto"/>
                              </w:divBdr>
                            </w:div>
                            <w:div w:id="1261255257">
                              <w:marLeft w:val="0"/>
                              <w:marRight w:val="0"/>
                              <w:marTop w:val="0"/>
                              <w:marBottom w:val="0"/>
                              <w:divBdr>
                                <w:top w:val="none" w:sz="0" w:space="0" w:color="auto"/>
                                <w:left w:val="none" w:sz="0" w:space="0" w:color="auto"/>
                                <w:bottom w:val="none" w:sz="0" w:space="0" w:color="auto"/>
                                <w:right w:val="none" w:sz="0" w:space="0" w:color="auto"/>
                              </w:divBdr>
                            </w:div>
                          </w:divsChild>
                        </w:div>
                        <w:div w:id="1808816907">
                          <w:marLeft w:val="0"/>
                          <w:marRight w:val="0"/>
                          <w:marTop w:val="120"/>
                          <w:marBottom w:val="120"/>
                          <w:divBdr>
                            <w:top w:val="none" w:sz="0" w:space="0" w:color="auto"/>
                            <w:left w:val="none" w:sz="0" w:space="0" w:color="auto"/>
                            <w:bottom w:val="none" w:sz="0" w:space="0" w:color="auto"/>
                            <w:right w:val="none" w:sz="0" w:space="0" w:color="auto"/>
                          </w:divBdr>
                          <w:divsChild>
                            <w:div w:id="516962831">
                              <w:marLeft w:val="288"/>
                              <w:marRight w:val="0"/>
                              <w:marTop w:val="0"/>
                              <w:marBottom w:val="0"/>
                              <w:divBdr>
                                <w:top w:val="none" w:sz="0" w:space="0" w:color="auto"/>
                                <w:left w:val="none" w:sz="0" w:space="0" w:color="auto"/>
                                <w:bottom w:val="none" w:sz="0" w:space="0" w:color="auto"/>
                                <w:right w:val="none" w:sz="0" w:space="0" w:color="auto"/>
                              </w:divBdr>
                            </w:div>
                          </w:divsChild>
                        </w:div>
                        <w:div w:id="429935453">
                          <w:marLeft w:val="0"/>
                          <w:marRight w:val="0"/>
                          <w:marTop w:val="120"/>
                          <w:marBottom w:val="120"/>
                          <w:divBdr>
                            <w:top w:val="none" w:sz="0" w:space="0" w:color="auto"/>
                            <w:left w:val="none" w:sz="0" w:space="0" w:color="auto"/>
                            <w:bottom w:val="none" w:sz="0" w:space="0" w:color="auto"/>
                            <w:right w:val="none" w:sz="0" w:space="0" w:color="auto"/>
                          </w:divBdr>
                          <w:divsChild>
                            <w:div w:id="1171874326">
                              <w:marLeft w:val="0"/>
                              <w:marRight w:val="0"/>
                              <w:marTop w:val="0"/>
                              <w:marBottom w:val="0"/>
                              <w:divBdr>
                                <w:top w:val="none" w:sz="0" w:space="0" w:color="auto"/>
                                <w:left w:val="none" w:sz="0" w:space="0" w:color="auto"/>
                                <w:bottom w:val="none" w:sz="0" w:space="0" w:color="auto"/>
                                <w:right w:val="none" w:sz="0" w:space="0" w:color="auto"/>
                              </w:divBdr>
                            </w:div>
                            <w:div w:id="321853452">
                              <w:marLeft w:val="0"/>
                              <w:marRight w:val="0"/>
                              <w:marTop w:val="0"/>
                              <w:marBottom w:val="0"/>
                              <w:divBdr>
                                <w:top w:val="none" w:sz="0" w:space="0" w:color="auto"/>
                                <w:left w:val="none" w:sz="0" w:space="0" w:color="auto"/>
                                <w:bottom w:val="none" w:sz="0" w:space="0" w:color="auto"/>
                                <w:right w:val="none" w:sz="0" w:space="0" w:color="auto"/>
                              </w:divBdr>
                            </w:div>
                          </w:divsChild>
                        </w:div>
                        <w:div w:id="618412823">
                          <w:marLeft w:val="0"/>
                          <w:marRight w:val="0"/>
                          <w:marTop w:val="120"/>
                          <w:marBottom w:val="120"/>
                          <w:divBdr>
                            <w:top w:val="none" w:sz="0" w:space="0" w:color="auto"/>
                            <w:left w:val="none" w:sz="0" w:space="0" w:color="auto"/>
                            <w:bottom w:val="none" w:sz="0" w:space="0" w:color="auto"/>
                            <w:right w:val="none" w:sz="0" w:space="0" w:color="auto"/>
                          </w:divBdr>
                          <w:divsChild>
                            <w:div w:id="1443845911">
                              <w:marLeft w:val="288"/>
                              <w:marRight w:val="0"/>
                              <w:marTop w:val="0"/>
                              <w:marBottom w:val="0"/>
                              <w:divBdr>
                                <w:top w:val="none" w:sz="0" w:space="0" w:color="auto"/>
                                <w:left w:val="none" w:sz="0" w:space="0" w:color="auto"/>
                                <w:bottom w:val="none" w:sz="0" w:space="0" w:color="auto"/>
                                <w:right w:val="none" w:sz="0" w:space="0" w:color="auto"/>
                              </w:divBdr>
                            </w:div>
                          </w:divsChild>
                        </w:div>
                        <w:div w:id="1226255007">
                          <w:marLeft w:val="0"/>
                          <w:marRight w:val="0"/>
                          <w:marTop w:val="120"/>
                          <w:marBottom w:val="120"/>
                          <w:divBdr>
                            <w:top w:val="none" w:sz="0" w:space="0" w:color="auto"/>
                            <w:left w:val="none" w:sz="0" w:space="0" w:color="auto"/>
                            <w:bottom w:val="none" w:sz="0" w:space="0" w:color="auto"/>
                            <w:right w:val="none" w:sz="0" w:space="0" w:color="auto"/>
                          </w:divBdr>
                          <w:divsChild>
                            <w:div w:id="204559533">
                              <w:marLeft w:val="0"/>
                              <w:marRight w:val="0"/>
                              <w:marTop w:val="0"/>
                              <w:marBottom w:val="0"/>
                              <w:divBdr>
                                <w:top w:val="none" w:sz="0" w:space="0" w:color="auto"/>
                                <w:left w:val="none" w:sz="0" w:space="0" w:color="auto"/>
                                <w:bottom w:val="none" w:sz="0" w:space="0" w:color="auto"/>
                                <w:right w:val="none" w:sz="0" w:space="0" w:color="auto"/>
                              </w:divBdr>
                            </w:div>
                            <w:div w:id="105540280">
                              <w:marLeft w:val="0"/>
                              <w:marRight w:val="0"/>
                              <w:marTop w:val="0"/>
                              <w:marBottom w:val="0"/>
                              <w:divBdr>
                                <w:top w:val="none" w:sz="0" w:space="0" w:color="auto"/>
                                <w:left w:val="none" w:sz="0" w:space="0" w:color="auto"/>
                                <w:bottom w:val="none" w:sz="0" w:space="0" w:color="auto"/>
                                <w:right w:val="none" w:sz="0" w:space="0" w:color="auto"/>
                              </w:divBdr>
                            </w:div>
                          </w:divsChild>
                        </w:div>
                        <w:div w:id="350448138">
                          <w:marLeft w:val="0"/>
                          <w:marRight w:val="0"/>
                          <w:marTop w:val="120"/>
                          <w:marBottom w:val="120"/>
                          <w:divBdr>
                            <w:top w:val="none" w:sz="0" w:space="0" w:color="auto"/>
                            <w:left w:val="none" w:sz="0" w:space="0" w:color="auto"/>
                            <w:bottom w:val="none" w:sz="0" w:space="0" w:color="auto"/>
                            <w:right w:val="none" w:sz="0" w:space="0" w:color="auto"/>
                          </w:divBdr>
                          <w:divsChild>
                            <w:div w:id="563806574">
                              <w:marLeft w:val="0"/>
                              <w:marRight w:val="0"/>
                              <w:marTop w:val="0"/>
                              <w:marBottom w:val="0"/>
                              <w:divBdr>
                                <w:top w:val="none" w:sz="0" w:space="0" w:color="auto"/>
                                <w:left w:val="none" w:sz="0" w:space="0" w:color="auto"/>
                                <w:bottom w:val="none" w:sz="0" w:space="0" w:color="auto"/>
                                <w:right w:val="none" w:sz="0" w:space="0" w:color="auto"/>
                              </w:divBdr>
                            </w:div>
                            <w:div w:id="1492595216">
                              <w:marLeft w:val="0"/>
                              <w:marRight w:val="0"/>
                              <w:marTop w:val="0"/>
                              <w:marBottom w:val="0"/>
                              <w:divBdr>
                                <w:top w:val="none" w:sz="0" w:space="0" w:color="auto"/>
                                <w:left w:val="none" w:sz="0" w:space="0" w:color="auto"/>
                                <w:bottom w:val="none" w:sz="0" w:space="0" w:color="auto"/>
                                <w:right w:val="none" w:sz="0" w:space="0" w:color="auto"/>
                              </w:divBdr>
                            </w:div>
                          </w:divsChild>
                        </w:div>
                        <w:div w:id="1188789105">
                          <w:marLeft w:val="0"/>
                          <w:marRight w:val="0"/>
                          <w:marTop w:val="120"/>
                          <w:marBottom w:val="120"/>
                          <w:divBdr>
                            <w:top w:val="none" w:sz="0" w:space="0" w:color="auto"/>
                            <w:left w:val="none" w:sz="0" w:space="0" w:color="auto"/>
                            <w:bottom w:val="none" w:sz="0" w:space="0" w:color="auto"/>
                            <w:right w:val="none" w:sz="0" w:space="0" w:color="auto"/>
                          </w:divBdr>
                          <w:divsChild>
                            <w:div w:id="895628657">
                              <w:marLeft w:val="288"/>
                              <w:marRight w:val="0"/>
                              <w:marTop w:val="0"/>
                              <w:marBottom w:val="0"/>
                              <w:divBdr>
                                <w:top w:val="none" w:sz="0" w:space="0" w:color="auto"/>
                                <w:left w:val="none" w:sz="0" w:space="0" w:color="auto"/>
                                <w:bottom w:val="none" w:sz="0" w:space="0" w:color="auto"/>
                                <w:right w:val="none" w:sz="0" w:space="0" w:color="auto"/>
                              </w:divBdr>
                            </w:div>
                          </w:divsChild>
                        </w:div>
                        <w:div w:id="766537437">
                          <w:marLeft w:val="0"/>
                          <w:marRight w:val="0"/>
                          <w:marTop w:val="120"/>
                          <w:marBottom w:val="120"/>
                          <w:divBdr>
                            <w:top w:val="none" w:sz="0" w:space="0" w:color="auto"/>
                            <w:left w:val="none" w:sz="0" w:space="0" w:color="auto"/>
                            <w:bottom w:val="none" w:sz="0" w:space="0" w:color="auto"/>
                            <w:right w:val="none" w:sz="0" w:space="0" w:color="auto"/>
                          </w:divBdr>
                          <w:divsChild>
                            <w:div w:id="1387604485">
                              <w:marLeft w:val="0"/>
                              <w:marRight w:val="0"/>
                              <w:marTop w:val="0"/>
                              <w:marBottom w:val="0"/>
                              <w:divBdr>
                                <w:top w:val="none" w:sz="0" w:space="0" w:color="auto"/>
                                <w:left w:val="none" w:sz="0" w:space="0" w:color="auto"/>
                                <w:bottom w:val="none" w:sz="0" w:space="0" w:color="auto"/>
                                <w:right w:val="none" w:sz="0" w:space="0" w:color="auto"/>
                              </w:divBdr>
                            </w:div>
                            <w:div w:id="590356753">
                              <w:marLeft w:val="0"/>
                              <w:marRight w:val="0"/>
                              <w:marTop w:val="0"/>
                              <w:marBottom w:val="0"/>
                              <w:divBdr>
                                <w:top w:val="none" w:sz="0" w:space="0" w:color="auto"/>
                                <w:left w:val="none" w:sz="0" w:space="0" w:color="auto"/>
                                <w:bottom w:val="none" w:sz="0" w:space="0" w:color="auto"/>
                                <w:right w:val="none" w:sz="0" w:space="0" w:color="auto"/>
                              </w:divBdr>
                            </w:div>
                          </w:divsChild>
                        </w:div>
                        <w:div w:id="1194002164">
                          <w:marLeft w:val="0"/>
                          <w:marRight w:val="0"/>
                          <w:marTop w:val="120"/>
                          <w:marBottom w:val="120"/>
                          <w:divBdr>
                            <w:top w:val="none" w:sz="0" w:space="0" w:color="auto"/>
                            <w:left w:val="none" w:sz="0" w:space="0" w:color="auto"/>
                            <w:bottom w:val="none" w:sz="0" w:space="0" w:color="auto"/>
                            <w:right w:val="none" w:sz="0" w:space="0" w:color="auto"/>
                          </w:divBdr>
                          <w:divsChild>
                            <w:div w:id="1063210858">
                              <w:marLeft w:val="288"/>
                              <w:marRight w:val="0"/>
                              <w:marTop w:val="0"/>
                              <w:marBottom w:val="0"/>
                              <w:divBdr>
                                <w:top w:val="none" w:sz="0" w:space="0" w:color="auto"/>
                                <w:left w:val="none" w:sz="0" w:space="0" w:color="auto"/>
                                <w:bottom w:val="none" w:sz="0" w:space="0" w:color="auto"/>
                                <w:right w:val="none" w:sz="0" w:space="0" w:color="auto"/>
                              </w:divBdr>
                            </w:div>
                          </w:divsChild>
                        </w:div>
                        <w:div w:id="957099620">
                          <w:marLeft w:val="0"/>
                          <w:marRight w:val="0"/>
                          <w:marTop w:val="120"/>
                          <w:marBottom w:val="120"/>
                          <w:divBdr>
                            <w:top w:val="none" w:sz="0" w:space="0" w:color="auto"/>
                            <w:left w:val="none" w:sz="0" w:space="0" w:color="auto"/>
                            <w:bottom w:val="none" w:sz="0" w:space="0" w:color="auto"/>
                            <w:right w:val="none" w:sz="0" w:space="0" w:color="auto"/>
                          </w:divBdr>
                          <w:divsChild>
                            <w:div w:id="1536767862">
                              <w:marLeft w:val="0"/>
                              <w:marRight w:val="0"/>
                              <w:marTop w:val="0"/>
                              <w:marBottom w:val="0"/>
                              <w:divBdr>
                                <w:top w:val="none" w:sz="0" w:space="0" w:color="auto"/>
                                <w:left w:val="none" w:sz="0" w:space="0" w:color="auto"/>
                                <w:bottom w:val="none" w:sz="0" w:space="0" w:color="auto"/>
                                <w:right w:val="none" w:sz="0" w:space="0" w:color="auto"/>
                              </w:divBdr>
                            </w:div>
                            <w:div w:id="1330061643">
                              <w:marLeft w:val="0"/>
                              <w:marRight w:val="0"/>
                              <w:marTop w:val="0"/>
                              <w:marBottom w:val="0"/>
                              <w:divBdr>
                                <w:top w:val="none" w:sz="0" w:space="0" w:color="auto"/>
                                <w:left w:val="none" w:sz="0" w:space="0" w:color="auto"/>
                                <w:bottom w:val="none" w:sz="0" w:space="0" w:color="auto"/>
                                <w:right w:val="none" w:sz="0" w:space="0" w:color="auto"/>
                              </w:divBdr>
                            </w:div>
                          </w:divsChild>
                        </w:div>
                        <w:div w:id="1893610338">
                          <w:marLeft w:val="0"/>
                          <w:marRight w:val="0"/>
                          <w:marTop w:val="120"/>
                          <w:marBottom w:val="120"/>
                          <w:divBdr>
                            <w:top w:val="none" w:sz="0" w:space="0" w:color="auto"/>
                            <w:left w:val="none" w:sz="0" w:space="0" w:color="auto"/>
                            <w:bottom w:val="none" w:sz="0" w:space="0" w:color="auto"/>
                            <w:right w:val="none" w:sz="0" w:space="0" w:color="auto"/>
                          </w:divBdr>
                          <w:divsChild>
                            <w:div w:id="1347748784">
                              <w:marLeft w:val="288"/>
                              <w:marRight w:val="0"/>
                              <w:marTop w:val="0"/>
                              <w:marBottom w:val="0"/>
                              <w:divBdr>
                                <w:top w:val="none" w:sz="0" w:space="0" w:color="auto"/>
                                <w:left w:val="none" w:sz="0" w:space="0" w:color="auto"/>
                                <w:bottom w:val="none" w:sz="0" w:space="0" w:color="auto"/>
                                <w:right w:val="none" w:sz="0" w:space="0" w:color="auto"/>
                              </w:divBdr>
                            </w:div>
                          </w:divsChild>
                        </w:div>
                        <w:div w:id="897476429">
                          <w:marLeft w:val="0"/>
                          <w:marRight w:val="0"/>
                          <w:marTop w:val="120"/>
                          <w:marBottom w:val="120"/>
                          <w:divBdr>
                            <w:top w:val="none" w:sz="0" w:space="0" w:color="auto"/>
                            <w:left w:val="none" w:sz="0" w:space="0" w:color="auto"/>
                            <w:bottom w:val="none" w:sz="0" w:space="0" w:color="auto"/>
                            <w:right w:val="none" w:sz="0" w:space="0" w:color="auto"/>
                          </w:divBdr>
                          <w:divsChild>
                            <w:div w:id="1432120072">
                              <w:marLeft w:val="0"/>
                              <w:marRight w:val="0"/>
                              <w:marTop w:val="0"/>
                              <w:marBottom w:val="0"/>
                              <w:divBdr>
                                <w:top w:val="none" w:sz="0" w:space="0" w:color="auto"/>
                                <w:left w:val="none" w:sz="0" w:space="0" w:color="auto"/>
                                <w:bottom w:val="none" w:sz="0" w:space="0" w:color="auto"/>
                                <w:right w:val="none" w:sz="0" w:space="0" w:color="auto"/>
                              </w:divBdr>
                            </w:div>
                            <w:div w:id="724333447">
                              <w:marLeft w:val="0"/>
                              <w:marRight w:val="0"/>
                              <w:marTop w:val="0"/>
                              <w:marBottom w:val="0"/>
                              <w:divBdr>
                                <w:top w:val="none" w:sz="0" w:space="0" w:color="auto"/>
                                <w:left w:val="none" w:sz="0" w:space="0" w:color="auto"/>
                                <w:bottom w:val="none" w:sz="0" w:space="0" w:color="auto"/>
                                <w:right w:val="none" w:sz="0" w:space="0" w:color="auto"/>
                              </w:divBdr>
                            </w:div>
                          </w:divsChild>
                        </w:div>
                        <w:div w:id="562760531">
                          <w:marLeft w:val="0"/>
                          <w:marRight w:val="0"/>
                          <w:marTop w:val="120"/>
                          <w:marBottom w:val="120"/>
                          <w:divBdr>
                            <w:top w:val="none" w:sz="0" w:space="0" w:color="auto"/>
                            <w:left w:val="none" w:sz="0" w:space="0" w:color="auto"/>
                            <w:bottom w:val="none" w:sz="0" w:space="0" w:color="auto"/>
                            <w:right w:val="none" w:sz="0" w:space="0" w:color="auto"/>
                          </w:divBdr>
                          <w:divsChild>
                            <w:div w:id="304242665">
                              <w:marLeft w:val="288"/>
                              <w:marRight w:val="0"/>
                              <w:marTop w:val="0"/>
                              <w:marBottom w:val="0"/>
                              <w:divBdr>
                                <w:top w:val="none" w:sz="0" w:space="0" w:color="auto"/>
                                <w:left w:val="none" w:sz="0" w:space="0" w:color="auto"/>
                                <w:bottom w:val="none" w:sz="0" w:space="0" w:color="auto"/>
                                <w:right w:val="none" w:sz="0" w:space="0" w:color="auto"/>
                              </w:divBdr>
                            </w:div>
                          </w:divsChild>
                        </w:div>
                        <w:div w:id="1072846624">
                          <w:marLeft w:val="0"/>
                          <w:marRight w:val="0"/>
                          <w:marTop w:val="120"/>
                          <w:marBottom w:val="120"/>
                          <w:divBdr>
                            <w:top w:val="none" w:sz="0" w:space="0" w:color="auto"/>
                            <w:left w:val="none" w:sz="0" w:space="0" w:color="auto"/>
                            <w:bottom w:val="none" w:sz="0" w:space="0" w:color="auto"/>
                            <w:right w:val="none" w:sz="0" w:space="0" w:color="auto"/>
                          </w:divBdr>
                          <w:divsChild>
                            <w:div w:id="2027057032">
                              <w:marLeft w:val="0"/>
                              <w:marRight w:val="0"/>
                              <w:marTop w:val="0"/>
                              <w:marBottom w:val="0"/>
                              <w:divBdr>
                                <w:top w:val="none" w:sz="0" w:space="0" w:color="auto"/>
                                <w:left w:val="none" w:sz="0" w:space="0" w:color="auto"/>
                                <w:bottom w:val="none" w:sz="0" w:space="0" w:color="auto"/>
                                <w:right w:val="none" w:sz="0" w:space="0" w:color="auto"/>
                              </w:divBdr>
                            </w:div>
                            <w:div w:id="1557625606">
                              <w:marLeft w:val="0"/>
                              <w:marRight w:val="0"/>
                              <w:marTop w:val="0"/>
                              <w:marBottom w:val="0"/>
                              <w:divBdr>
                                <w:top w:val="none" w:sz="0" w:space="0" w:color="auto"/>
                                <w:left w:val="none" w:sz="0" w:space="0" w:color="auto"/>
                                <w:bottom w:val="none" w:sz="0" w:space="0" w:color="auto"/>
                                <w:right w:val="none" w:sz="0" w:space="0" w:color="auto"/>
                              </w:divBdr>
                            </w:div>
                          </w:divsChild>
                        </w:div>
                        <w:div w:id="178084950">
                          <w:marLeft w:val="0"/>
                          <w:marRight w:val="0"/>
                          <w:marTop w:val="120"/>
                          <w:marBottom w:val="120"/>
                          <w:divBdr>
                            <w:top w:val="none" w:sz="0" w:space="0" w:color="auto"/>
                            <w:left w:val="none" w:sz="0" w:space="0" w:color="auto"/>
                            <w:bottom w:val="none" w:sz="0" w:space="0" w:color="auto"/>
                            <w:right w:val="none" w:sz="0" w:space="0" w:color="auto"/>
                          </w:divBdr>
                          <w:divsChild>
                            <w:div w:id="2083328325">
                              <w:marLeft w:val="288"/>
                              <w:marRight w:val="0"/>
                              <w:marTop w:val="0"/>
                              <w:marBottom w:val="0"/>
                              <w:divBdr>
                                <w:top w:val="none" w:sz="0" w:space="0" w:color="auto"/>
                                <w:left w:val="none" w:sz="0" w:space="0" w:color="auto"/>
                                <w:bottom w:val="none" w:sz="0" w:space="0" w:color="auto"/>
                                <w:right w:val="none" w:sz="0" w:space="0" w:color="auto"/>
                              </w:divBdr>
                            </w:div>
                          </w:divsChild>
                        </w:div>
                        <w:div w:id="289826602">
                          <w:marLeft w:val="0"/>
                          <w:marRight w:val="0"/>
                          <w:marTop w:val="120"/>
                          <w:marBottom w:val="120"/>
                          <w:divBdr>
                            <w:top w:val="none" w:sz="0" w:space="0" w:color="auto"/>
                            <w:left w:val="none" w:sz="0" w:space="0" w:color="auto"/>
                            <w:bottom w:val="none" w:sz="0" w:space="0" w:color="auto"/>
                            <w:right w:val="none" w:sz="0" w:space="0" w:color="auto"/>
                          </w:divBdr>
                          <w:divsChild>
                            <w:div w:id="2118674675">
                              <w:marLeft w:val="0"/>
                              <w:marRight w:val="0"/>
                              <w:marTop w:val="0"/>
                              <w:marBottom w:val="0"/>
                              <w:divBdr>
                                <w:top w:val="none" w:sz="0" w:space="0" w:color="auto"/>
                                <w:left w:val="none" w:sz="0" w:space="0" w:color="auto"/>
                                <w:bottom w:val="none" w:sz="0" w:space="0" w:color="auto"/>
                                <w:right w:val="none" w:sz="0" w:space="0" w:color="auto"/>
                              </w:divBdr>
                            </w:div>
                            <w:div w:id="1243878398">
                              <w:marLeft w:val="0"/>
                              <w:marRight w:val="0"/>
                              <w:marTop w:val="0"/>
                              <w:marBottom w:val="0"/>
                              <w:divBdr>
                                <w:top w:val="none" w:sz="0" w:space="0" w:color="auto"/>
                                <w:left w:val="none" w:sz="0" w:space="0" w:color="auto"/>
                                <w:bottom w:val="none" w:sz="0" w:space="0" w:color="auto"/>
                                <w:right w:val="none" w:sz="0" w:space="0" w:color="auto"/>
                              </w:divBdr>
                            </w:div>
                            <w:div w:id="1992562547">
                              <w:marLeft w:val="0"/>
                              <w:marRight w:val="0"/>
                              <w:marTop w:val="0"/>
                              <w:marBottom w:val="0"/>
                              <w:divBdr>
                                <w:top w:val="none" w:sz="0" w:space="0" w:color="auto"/>
                                <w:left w:val="none" w:sz="0" w:space="0" w:color="auto"/>
                                <w:bottom w:val="none" w:sz="0" w:space="0" w:color="auto"/>
                                <w:right w:val="none" w:sz="0" w:space="0" w:color="auto"/>
                              </w:divBdr>
                            </w:div>
                            <w:div w:id="782304240">
                              <w:marLeft w:val="0"/>
                              <w:marRight w:val="0"/>
                              <w:marTop w:val="0"/>
                              <w:marBottom w:val="0"/>
                              <w:divBdr>
                                <w:top w:val="none" w:sz="0" w:space="0" w:color="auto"/>
                                <w:left w:val="none" w:sz="0" w:space="0" w:color="auto"/>
                                <w:bottom w:val="none" w:sz="0" w:space="0" w:color="auto"/>
                                <w:right w:val="none" w:sz="0" w:space="0" w:color="auto"/>
                              </w:divBdr>
                            </w:div>
                          </w:divsChild>
                        </w:div>
                        <w:div w:id="1592273127">
                          <w:marLeft w:val="0"/>
                          <w:marRight w:val="0"/>
                          <w:marTop w:val="120"/>
                          <w:marBottom w:val="120"/>
                          <w:divBdr>
                            <w:top w:val="none" w:sz="0" w:space="0" w:color="auto"/>
                            <w:left w:val="none" w:sz="0" w:space="0" w:color="auto"/>
                            <w:bottom w:val="none" w:sz="0" w:space="0" w:color="auto"/>
                            <w:right w:val="none" w:sz="0" w:space="0" w:color="auto"/>
                          </w:divBdr>
                          <w:divsChild>
                            <w:div w:id="1253855412">
                              <w:marLeft w:val="288"/>
                              <w:marRight w:val="0"/>
                              <w:marTop w:val="0"/>
                              <w:marBottom w:val="0"/>
                              <w:divBdr>
                                <w:top w:val="none" w:sz="0" w:space="0" w:color="auto"/>
                                <w:left w:val="none" w:sz="0" w:space="0" w:color="auto"/>
                                <w:bottom w:val="none" w:sz="0" w:space="0" w:color="auto"/>
                                <w:right w:val="none" w:sz="0" w:space="0" w:color="auto"/>
                              </w:divBdr>
                            </w:div>
                            <w:div w:id="735130230">
                              <w:marLeft w:val="288"/>
                              <w:marRight w:val="0"/>
                              <w:marTop w:val="0"/>
                              <w:marBottom w:val="0"/>
                              <w:divBdr>
                                <w:top w:val="none" w:sz="0" w:space="0" w:color="auto"/>
                                <w:left w:val="none" w:sz="0" w:space="0" w:color="auto"/>
                                <w:bottom w:val="none" w:sz="0" w:space="0" w:color="auto"/>
                                <w:right w:val="none" w:sz="0" w:space="0" w:color="auto"/>
                              </w:divBdr>
                            </w:div>
                          </w:divsChild>
                        </w:div>
                        <w:div w:id="1741631374">
                          <w:marLeft w:val="0"/>
                          <w:marRight w:val="0"/>
                          <w:marTop w:val="120"/>
                          <w:marBottom w:val="120"/>
                          <w:divBdr>
                            <w:top w:val="none" w:sz="0" w:space="0" w:color="auto"/>
                            <w:left w:val="none" w:sz="0" w:space="0" w:color="auto"/>
                            <w:bottom w:val="none" w:sz="0" w:space="0" w:color="auto"/>
                            <w:right w:val="none" w:sz="0" w:space="0" w:color="auto"/>
                          </w:divBdr>
                          <w:divsChild>
                            <w:div w:id="1180895353">
                              <w:marLeft w:val="0"/>
                              <w:marRight w:val="0"/>
                              <w:marTop w:val="0"/>
                              <w:marBottom w:val="0"/>
                              <w:divBdr>
                                <w:top w:val="none" w:sz="0" w:space="0" w:color="auto"/>
                                <w:left w:val="none" w:sz="0" w:space="0" w:color="auto"/>
                                <w:bottom w:val="none" w:sz="0" w:space="0" w:color="auto"/>
                                <w:right w:val="none" w:sz="0" w:space="0" w:color="auto"/>
                              </w:divBdr>
                            </w:div>
                            <w:div w:id="326251970">
                              <w:marLeft w:val="0"/>
                              <w:marRight w:val="0"/>
                              <w:marTop w:val="0"/>
                              <w:marBottom w:val="0"/>
                              <w:divBdr>
                                <w:top w:val="none" w:sz="0" w:space="0" w:color="auto"/>
                                <w:left w:val="none" w:sz="0" w:space="0" w:color="auto"/>
                                <w:bottom w:val="none" w:sz="0" w:space="0" w:color="auto"/>
                                <w:right w:val="none" w:sz="0" w:space="0" w:color="auto"/>
                              </w:divBdr>
                            </w:div>
                          </w:divsChild>
                        </w:div>
                        <w:div w:id="579680251">
                          <w:marLeft w:val="0"/>
                          <w:marRight w:val="0"/>
                          <w:marTop w:val="120"/>
                          <w:marBottom w:val="120"/>
                          <w:divBdr>
                            <w:top w:val="none" w:sz="0" w:space="0" w:color="auto"/>
                            <w:left w:val="none" w:sz="0" w:space="0" w:color="auto"/>
                            <w:bottom w:val="none" w:sz="0" w:space="0" w:color="auto"/>
                            <w:right w:val="none" w:sz="0" w:space="0" w:color="auto"/>
                          </w:divBdr>
                          <w:divsChild>
                            <w:div w:id="1935893915">
                              <w:marLeft w:val="288"/>
                              <w:marRight w:val="0"/>
                              <w:marTop w:val="0"/>
                              <w:marBottom w:val="0"/>
                              <w:divBdr>
                                <w:top w:val="none" w:sz="0" w:space="0" w:color="auto"/>
                                <w:left w:val="none" w:sz="0" w:space="0" w:color="auto"/>
                                <w:bottom w:val="none" w:sz="0" w:space="0" w:color="auto"/>
                                <w:right w:val="none" w:sz="0" w:space="0" w:color="auto"/>
                              </w:divBdr>
                            </w:div>
                          </w:divsChild>
                        </w:div>
                        <w:div w:id="1839730743">
                          <w:marLeft w:val="0"/>
                          <w:marRight w:val="0"/>
                          <w:marTop w:val="120"/>
                          <w:marBottom w:val="120"/>
                          <w:divBdr>
                            <w:top w:val="none" w:sz="0" w:space="0" w:color="auto"/>
                            <w:left w:val="none" w:sz="0" w:space="0" w:color="auto"/>
                            <w:bottom w:val="none" w:sz="0" w:space="0" w:color="auto"/>
                            <w:right w:val="none" w:sz="0" w:space="0" w:color="auto"/>
                          </w:divBdr>
                          <w:divsChild>
                            <w:div w:id="916284769">
                              <w:marLeft w:val="0"/>
                              <w:marRight w:val="0"/>
                              <w:marTop w:val="0"/>
                              <w:marBottom w:val="0"/>
                              <w:divBdr>
                                <w:top w:val="none" w:sz="0" w:space="0" w:color="auto"/>
                                <w:left w:val="none" w:sz="0" w:space="0" w:color="auto"/>
                                <w:bottom w:val="none" w:sz="0" w:space="0" w:color="auto"/>
                                <w:right w:val="none" w:sz="0" w:space="0" w:color="auto"/>
                              </w:divBdr>
                            </w:div>
                            <w:div w:id="1558973881">
                              <w:marLeft w:val="0"/>
                              <w:marRight w:val="0"/>
                              <w:marTop w:val="0"/>
                              <w:marBottom w:val="0"/>
                              <w:divBdr>
                                <w:top w:val="none" w:sz="0" w:space="0" w:color="auto"/>
                                <w:left w:val="none" w:sz="0" w:space="0" w:color="auto"/>
                                <w:bottom w:val="none" w:sz="0" w:space="0" w:color="auto"/>
                                <w:right w:val="none" w:sz="0" w:space="0" w:color="auto"/>
                              </w:divBdr>
                            </w:div>
                          </w:divsChild>
                        </w:div>
                        <w:div w:id="643387790">
                          <w:marLeft w:val="0"/>
                          <w:marRight w:val="0"/>
                          <w:marTop w:val="120"/>
                          <w:marBottom w:val="120"/>
                          <w:divBdr>
                            <w:top w:val="none" w:sz="0" w:space="0" w:color="auto"/>
                            <w:left w:val="none" w:sz="0" w:space="0" w:color="auto"/>
                            <w:bottom w:val="none" w:sz="0" w:space="0" w:color="auto"/>
                            <w:right w:val="none" w:sz="0" w:space="0" w:color="auto"/>
                          </w:divBdr>
                          <w:divsChild>
                            <w:div w:id="395206840">
                              <w:marLeft w:val="288"/>
                              <w:marRight w:val="0"/>
                              <w:marTop w:val="0"/>
                              <w:marBottom w:val="0"/>
                              <w:divBdr>
                                <w:top w:val="none" w:sz="0" w:space="0" w:color="auto"/>
                                <w:left w:val="none" w:sz="0" w:space="0" w:color="auto"/>
                                <w:bottom w:val="none" w:sz="0" w:space="0" w:color="auto"/>
                                <w:right w:val="none" w:sz="0" w:space="0" w:color="auto"/>
                              </w:divBdr>
                            </w:div>
                          </w:divsChild>
                        </w:div>
                        <w:div w:id="1367947469">
                          <w:marLeft w:val="0"/>
                          <w:marRight w:val="0"/>
                          <w:marTop w:val="120"/>
                          <w:marBottom w:val="120"/>
                          <w:divBdr>
                            <w:top w:val="none" w:sz="0" w:space="0" w:color="auto"/>
                            <w:left w:val="none" w:sz="0" w:space="0" w:color="auto"/>
                            <w:bottom w:val="none" w:sz="0" w:space="0" w:color="auto"/>
                            <w:right w:val="none" w:sz="0" w:space="0" w:color="auto"/>
                          </w:divBdr>
                          <w:divsChild>
                            <w:div w:id="1538472710">
                              <w:marLeft w:val="0"/>
                              <w:marRight w:val="0"/>
                              <w:marTop w:val="0"/>
                              <w:marBottom w:val="0"/>
                              <w:divBdr>
                                <w:top w:val="none" w:sz="0" w:space="0" w:color="auto"/>
                                <w:left w:val="none" w:sz="0" w:space="0" w:color="auto"/>
                                <w:bottom w:val="none" w:sz="0" w:space="0" w:color="auto"/>
                                <w:right w:val="none" w:sz="0" w:space="0" w:color="auto"/>
                              </w:divBdr>
                            </w:div>
                            <w:div w:id="1852183329">
                              <w:marLeft w:val="0"/>
                              <w:marRight w:val="0"/>
                              <w:marTop w:val="0"/>
                              <w:marBottom w:val="0"/>
                              <w:divBdr>
                                <w:top w:val="none" w:sz="0" w:space="0" w:color="auto"/>
                                <w:left w:val="none" w:sz="0" w:space="0" w:color="auto"/>
                                <w:bottom w:val="none" w:sz="0" w:space="0" w:color="auto"/>
                                <w:right w:val="none" w:sz="0" w:space="0" w:color="auto"/>
                              </w:divBdr>
                            </w:div>
                            <w:div w:id="1489323048">
                              <w:marLeft w:val="0"/>
                              <w:marRight w:val="0"/>
                              <w:marTop w:val="0"/>
                              <w:marBottom w:val="0"/>
                              <w:divBdr>
                                <w:top w:val="none" w:sz="0" w:space="0" w:color="auto"/>
                                <w:left w:val="none" w:sz="0" w:space="0" w:color="auto"/>
                                <w:bottom w:val="none" w:sz="0" w:space="0" w:color="auto"/>
                                <w:right w:val="none" w:sz="0" w:space="0" w:color="auto"/>
                              </w:divBdr>
                            </w:div>
                            <w:div w:id="1512182927">
                              <w:marLeft w:val="0"/>
                              <w:marRight w:val="0"/>
                              <w:marTop w:val="0"/>
                              <w:marBottom w:val="0"/>
                              <w:divBdr>
                                <w:top w:val="none" w:sz="0" w:space="0" w:color="auto"/>
                                <w:left w:val="none" w:sz="0" w:space="0" w:color="auto"/>
                                <w:bottom w:val="none" w:sz="0" w:space="0" w:color="auto"/>
                                <w:right w:val="none" w:sz="0" w:space="0" w:color="auto"/>
                              </w:divBdr>
                            </w:div>
                          </w:divsChild>
                        </w:div>
                        <w:div w:id="174616841">
                          <w:marLeft w:val="0"/>
                          <w:marRight w:val="0"/>
                          <w:marTop w:val="120"/>
                          <w:marBottom w:val="120"/>
                          <w:divBdr>
                            <w:top w:val="none" w:sz="0" w:space="0" w:color="auto"/>
                            <w:left w:val="none" w:sz="0" w:space="0" w:color="auto"/>
                            <w:bottom w:val="none" w:sz="0" w:space="0" w:color="auto"/>
                            <w:right w:val="none" w:sz="0" w:space="0" w:color="auto"/>
                          </w:divBdr>
                          <w:divsChild>
                            <w:div w:id="658464207">
                              <w:marLeft w:val="288"/>
                              <w:marRight w:val="0"/>
                              <w:marTop w:val="0"/>
                              <w:marBottom w:val="0"/>
                              <w:divBdr>
                                <w:top w:val="none" w:sz="0" w:space="0" w:color="auto"/>
                                <w:left w:val="none" w:sz="0" w:space="0" w:color="auto"/>
                                <w:bottom w:val="none" w:sz="0" w:space="0" w:color="auto"/>
                                <w:right w:val="none" w:sz="0" w:space="0" w:color="auto"/>
                              </w:divBdr>
                            </w:div>
                            <w:div w:id="2138257299">
                              <w:marLeft w:val="288"/>
                              <w:marRight w:val="0"/>
                              <w:marTop w:val="0"/>
                              <w:marBottom w:val="0"/>
                              <w:divBdr>
                                <w:top w:val="none" w:sz="0" w:space="0" w:color="auto"/>
                                <w:left w:val="none" w:sz="0" w:space="0" w:color="auto"/>
                                <w:bottom w:val="none" w:sz="0" w:space="0" w:color="auto"/>
                                <w:right w:val="none" w:sz="0" w:space="0" w:color="auto"/>
                              </w:divBdr>
                            </w:div>
                          </w:divsChild>
                        </w:div>
                        <w:div w:id="793984771">
                          <w:marLeft w:val="0"/>
                          <w:marRight w:val="0"/>
                          <w:marTop w:val="120"/>
                          <w:marBottom w:val="120"/>
                          <w:divBdr>
                            <w:top w:val="none" w:sz="0" w:space="0" w:color="auto"/>
                            <w:left w:val="none" w:sz="0" w:space="0" w:color="auto"/>
                            <w:bottom w:val="none" w:sz="0" w:space="0" w:color="auto"/>
                            <w:right w:val="none" w:sz="0" w:space="0" w:color="auto"/>
                          </w:divBdr>
                          <w:divsChild>
                            <w:div w:id="155460440">
                              <w:marLeft w:val="0"/>
                              <w:marRight w:val="0"/>
                              <w:marTop w:val="0"/>
                              <w:marBottom w:val="0"/>
                              <w:divBdr>
                                <w:top w:val="none" w:sz="0" w:space="0" w:color="auto"/>
                                <w:left w:val="none" w:sz="0" w:space="0" w:color="auto"/>
                                <w:bottom w:val="none" w:sz="0" w:space="0" w:color="auto"/>
                                <w:right w:val="none" w:sz="0" w:space="0" w:color="auto"/>
                              </w:divBdr>
                            </w:div>
                            <w:div w:id="2086293037">
                              <w:marLeft w:val="0"/>
                              <w:marRight w:val="0"/>
                              <w:marTop w:val="0"/>
                              <w:marBottom w:val="0"/>
                              <w:divBdr>
                                <w:top w:val="none" w:sz="0" w:space="0" w:color="auto"/>
                                <w:left w:val="none" w:sz="0" w:space="0" w:color="auto"/>
                                <w:bottom w:val="none" w:sz="0" w:space="0" w:color="auto"/>
                                <w:right w:val="none" w:sz="0" w:space="0" w:color="auto"/>
                              </w:divBdr>
                            </w:div>
                          </w:divsChild>
                        </w:div>
                        <w:div w:id="770859381">
                          <w:marLeft w:val="0"/>
                          <w:marRight w:val="0"/>
                          <w:marTop w:val="120"/>
                          <w:marBottom w:val="120"/>
                          <w:divBdr>
                            <w:top w:val="none" w:sz="0" w:space="0" w:color="auto"/>
                            <w:left w:val="none" w:sz="0" w:space="0" w:color="auto"/>
                            <w:bottom w:val="none" w:sz="0" w:space="0" w:color="auto"/>
                            <w:right w:val="none" w:sz="0" w:space="0" w:color="auto"/>
                          </w:divBdr>
                          <w:divsChild>
                            <w:div w:id="27875649">
                              <w:marLeft w:val="288"/>
                              <w:marRight w:val="0"/>
                              <w:marTop w:val="0"/>
                              <w:marBottom w:val="0"/>
                              <w:divBdr>
                                <w:top w:val="none" w:sz="0" w:space="0" w:color="auto"/>
                                <w:left w:val="none" w:sz="0" w:space="0" w:color="auto"/>
                                <w:bottom w:val="none" w:sz="0" w:space="0" w:color="auto"/>
                                <w:right w:val="none" w:sz="0" w:space="0" w:color="auto"/>
                              </w:divBdr>
                            </w:div>
                          </w:divsChild>
                        </w:div>
                        <w:div w:id="1459032225">
                          <w:marLeft w:val="0"/>
                          <w:marRight w:val="0"/>
                          <w:marTop w:val="120"/>
                          <w:marBottom w:val="120"/>
                          <w:divBdr>
                            <w:top w:val="none" w:sz="0" w:space="0" w:color="auto"/>
                            <w:left w:val="none" w:sz="0" w:space="0" w:color="auto"/>
                            <w:bottom w:val="none" w:sz="0" w:space="0" w:color="auto"/>
                            <w:right w:val="none" w:sz="0" w:space="0" w:color="auto"/>
                          </w:divBdr>
                          <w:divsChild>
                            <w:div w:id="1953977674">
                              <w:marLeft w:val="0"/>
                              <w:marRight w:val="0"/>
                              <w:marTop w:val="0"/>
                              <w:marBottom w:val="0"/>
                              <w:divBdr>
                                <w:top w:val="none" w:sz="0" w:space="0" w:color="auto"/>
                                <w:left w:val="none" w:sz="0" w:space="0" w:color="auto"/>
                                <w:bottom w:val="none" w:sz="0" w:space="0" w:color="auto"/>
                                <w:right w:val="none" w:sz="0" w:space="0" w:color="auto"/>
                              </w:divBdr>
                            </w:div>
                            <w:div w:id="584656217">
                              <w:marLeft w:val="0"/>
                              <w:marRight w:val="0"/>
                              <w:marTop w:val="0"/>
                              <w:marBottom w:val="0"/>
                              <w:divBdr>
                                <w:top w:val="none" w:sz="0" w:space="0" w:color="auto"/>
                                <w:left w:val="none" w:sz="0" w:space="0" w:color="auto"/>
                                <w:bottom w:val="none" w:sz="0" w:space="0" w:color="auto"/>
                                <w:right w:val="none" w:sz="0" w:space="0" w:color="auto"/>
                              </w:divBdr>
                            </w:div>
                          </w:divsChild>
                        </w:div>
                        <w:div w:id="864253075">
                          <w:marLeft w:val="0"/>
                          <w:marRight w:val="0"/>
                          <w:marTop w:val="120"/>
                          <w:marBottom w:val="120"/>
                          <w:divBdr>
                            <w:top w:val="none" w:sz="0" w:space="0" w:color="auto"/>
                            <w:left w:val="none" w:sz="0" w:space="0" w:color="auto"/>
                            <w:bottom w:val="none" w:sz="0" w:space="0" w:color="auto"/>
                            <w:right w:val="none" w:sz="0" w:space="0" w:color="auto"/>
                          </w:divBdr>
                          <w:divsChild>
                            <w:div w:id="106394296">
                              <w:marLeft w:val="288"/>
                              <w:marRight w:val="0"/>
                              <w:marTop w:val="0"/>
                              <w:marBottom w:val="0"/>
                              <w:divBdr>
                                <w:top w:val="none" w:sz="0" w:space="0" w:color="auto"/>
                                <w:left w:val="none" w:sz="0" w:space="0" w:color="auto"/>
                                <w:bottom w:val="none" w:sz="0" w:space="0" w:color="auto"/>
                                <w:right w:val="none" w:sz="0" w:space="0" w:color="auto"/>
                              </w:divBdr>
                            </w:div>
                          </w:divsChild>
                        </w:div>
                        <w:div w:id="249243005">
                          <w:marLeft w:val="0"/>
                          <w:marRight w:val="0"/>
                          <w:marTop w:val="120"/>
                          <w:marBottom w:val="120"/>
                          <w:divBdr>
                            <w:top w:val="none" w:sz="0" w:space="0" w:color="auto"/>
                            <w:left w:val="none" w:sz="0" w:space="0" w:color="auto"/>
                            <w:bottom w:val="none" w:sz="0" w:space="0" w:color="auto"/>
                            <w:right w:val="none" w:sz="0" w:space="0" w:color="auto"/>
                          </w:divBdr>
                          <w:divsChild>
                            <w:div w:id="1583953514">
                              <w:marLeft w:val="0"/>
                              <w:marRight w:val="0"/>
                              <w:marTop w:val="0"/>
                              <w:marBottom w:val="0"/>
                              <w:divBdr>
                                <w:top w:val="none" w:sz="0" w:space="0" w:color="auto"/>
                                <w:left w:val="none" w:sz="0" w:space="0" w:color="auto"/>
                                <w:bottom w:val="none" w:sz="0" w:space="0" w:color="auto"/>
                                <w:right w:val="none" w:sz="0" w:space="0" w:color="auto"/>
                              </w:divBdr>
                            </w:div>
                            <w:div w:id="227350119">
                              <w:marLeft w:val="0"/>
                              <w:marRight w:val="0"/>
                              <w:marTop w:val="0"/>
                              <w:marBottom w:val="0"/>
                              <w:divBdr>
                                <w:top w:val="none" w:sz="0" w:space="0" w:color="auto"/>
                                <w:left w:val="none" w:sz="0" w:space="0" w:color="auto"/>
                                <w:bottom w:val="none" w:sz="0" w:space="0" w:color="auto"/>
                                <w:right w:val="none" w:sz="0" w:space="0" w:color="auto"/>
                              </w:divBdr>
                            </w:div>
                          </w:divsChild>
                        </w:div>
                        <w:div w:id="516240096">
                          <w:marLeft w:val="0"/>
                          <w:marRight w:val="0"/>
                          <w:marTop w:val="120"/>
                          <w:marBottom w:val="120"/>
                          <w:divBdr>
                            <w:top w:val="none" w:sz="0" w:space="0" w:color="auto"/>
                            <w:left w:val="none" w:sz="0" w:space="0" w:color="auto"/>
                            <w:bottom w:val="none" w:sz="0" w:space="0" w:color="auto"/>
                            <w:right w:val="none" w:sz="0" w:space="0" w:color="auto"/>
                          </w:divBdr>
                          <w:divsChild>
                            <w:div w:id="823276992">
                              <w:marLeft w:val="288"/>
                              <w:marRight w:val="0"/>
                              <w:marTop w:val="0"/>
                              <w:marBottom w:val="0"/>
                              <w:divBdr>
                                <w:top w:val="none" w:sz="0" w:space="0" w:color="auto"/>
                                <w:left w:val="none" w:sz="0" w:space="0" w:color="auto"/>
                                <w:bottom w:val="none" w:sz="0" w:space="0" w:color="auto"/>
                                <w:right w:val="none" w:sz="0" w:space="0" w:color="auto"/>
                              </w:divBdr>
                            </w:div>
                          </w:divsChild>
                        </w:div>
                        <w:div w:id="1167525590">
                          <w:marLeft w:val="0"/>
                          <w:marRight w:val="0"/>
                          <w:marTop w:val="120"/>
                          <w:marBottom w:val="120"/>
                          <w:divBdr>
                            <w:top w:val="none" w:sz="0" w:space="0" w:color="auto"/>
                            <w:left w:val="none" w:sz="0" w:space="0" w:color="auto"/>
                            <w:bottom w:val="none" w:sz="0" w:space="0" w:color="auto"/>
                            <w:right w:val="none" w:sz="0" w:space="0" w:color="auto"/>
                          </w:divBdr>
                          <w:divsChild>
                            <w:div w:id="1365640048">
                              <w:marLeft w:val="0"/>
                              <w:marRight w:val="0"/>
                              <w:marTop w:val="0"/>
                              <w:marBottom w:val="0"/>
                              <w:divBdr>
                                <w:top w:val="none" w:sz="0" w:space="0" w:color="auto"/>
                                <w:left w:val="none" w:sz="0" w:space="0" w:color="auto"/>
                                <w:bottom w:val="none" w:sz="0" w:space="0" w:color="auto"/>
                                <w:right w:val="none" w:sz="0" w:space="0" w:color="auto"/>
                              </w:divBdr>
                            </w:div>
                            <w:div w:id="1627616309">
                              <w:marLeft w:val="0"/>
                              <w:marRight w:val="0"/>
                              <w:marTop w:val="0"/>
                              <w:marBottom w:val="0"/>
                              <w:divBdr>
                                <w:top w:val="none" w:sz="0" w:space="0" w:color="auto"/>
                                <w:left w:val="none" w:sz="0" w:space="0" w:color="auto"/>
                                <w:bottom w:val="none" w:sz="0" w:space="0" w:color="auto"/>
                                <w:right w:val="none" w:sz="0" w:space="0" w:color="auto"/>
                              </w:divBdr>
                            </w:div>
                            <w:div w:id="1161385163">
                              <w:marLeft w:val="0"/>
                              <w:marRight w:val="0"/>
                              <w:marTop w:val="0"/>
                              <w:marBottom w:val="0"/>
                              <w:divBdr>
                                <w:top w:val="none" w:sz="0" w:space="0" w:color="auto"/>
                                <w:left w:val="none" w:sz="0" w:space="0" w:color="auto"/>
                                <w:bottom w:val="none" w:sz="0" w:space="0" w:color="auto"/>
                                <w:right w:val="none" w:sz="0" w:space="0" w:color="auto"/>
                              </w:divBdr>
                            </w:div>
                            <w:div w:id="2124038420">
                              <w:marLeft w:val="0"/>
                              <w:marRight w:val="0"/>
                              <w:marTop w:val="0"/>
                              <w:marBottom w:val="0"/>
                              <w:divBdr>
                                <w:top w:val="none" w:sz="0" w:space="0" w:color="auto"/>
                                <w:left w:val="none" w:sz="0" w:space="0" w:color="auto"/>
                                <w:bottom w:val="none" w:sz="0" w:space="0" w:color="auto"/>
                                <w:right w:val="none" w:sz="0" w:space="0" w:color="auto"/>
                              </w:divBdr>
                            </w:div>
                          </w:divsChild>
                        </w:div>
                        <w:div w:id="317073096">
                          <w:marLeft w:val="0"/>
                          <w:marRight w:val="0"/>
                          <w:marTop w:val="120"/>
                          <w:marBottom w:val="120"/>
                          <w:divBdr>
                            <w:top w:val="none" w:sz="0" w:space="0" w:color="auto"/>
                            <w:left w:val="none" w:sz="0" w:space="0" w:color="auto"/>
                            <w:bottom w:val="none" w:sz="0" w:space="0" w:color="auto"/>
                            <w:right w:val="none" w:sz="0" w:space="0" w:color="auto"/>
                          </w:divBdr>
                          <w:divsChild>
                            <w:div w:id="1181968145">
                              <w:marLeft w:val="288"/>
                              <w:marRight w:val="0"/>
                              <w:marTop w:val="0"/>
                              <w:marBottom w:val="0"/>
                              <w:divBdr>
                                <w:top w:val="none" w:sz="0" w:space="0" w:color="auto"/>
                                <w:left w:val="none" w:sz="0" w:space="0" w:color="auto"/>
                                <w:bottom w:val="none" w:sz="0" w:space="0" w:color="auto"/>
                                <w:right w:val="none" w:sz="0" w:space="0" w:color="auto"/>
                              </w:divBdr>
                            </w:div>
                            <w:div w:id="341860432">
                              <w:marLeft w:val="2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77750">
      <w:bodyDiv w:val="1"/>
      <w:marLeft w:val="0"/>
      <w:marRight w:val="0"/>
      <w:marTop w:val="0"/>
      <w:marBottom w:val="0"/>
      <w:divBdr>
        <w:top w:val="none" w:sz="0" w:space="0" w:color="auto"/>
        <w:left w:val="none" w:sz="0" w:space="0" w:color="auto"/>
        <w:bottom w:val="none" w:sz="0" w:space="0" w:color="auto"/>
        <w:right w:val="none" w:sz="0" w:space="0" w:color="auto"/>
      </w:divBdr>
    </w:div>
    <w:div w:id="915363959">
      <w:bodyDiv w:val="1"/>
      <w:marLeft w:val="0"/>
      <w:marRight w:val="0"/>
      <w:marTop w:val="0"/>
      <w:marBottom w:val="0"/>
      <w:divBdr>
        <w:top w:val="none" w:sz="0" w:space="0" w:color="auto"/>
        <w:left w:val="none" w:sz="0" w:space="0" w:color="auto"/>
        <w:bottom w:val="none" w:sz="0" w:space="0" w:color="auto"/>
        <w:right w:val="none" w:sz="0" w:space="0" w:color="auto"/>
      </w:divBdr>
      <w:divsChild>
        <w:div w:id="1927567202">
          <w:marLeft w:val="1166"/>
          <w:marRight w:val="0"/>
          <w:marTop w:val="91"/>
          <w:marBottom w:val="0"/>
          <w:divBdr>
            <w:top w:val="none" w:sz="0" w:space="0" w:color="auto"/>
            <w:left w:val="none" w:sz="0" w:space="0" w:color="auto"/>
            <w:bottom w:val="none" w:sz="0" w:space="0" w:color="auto"/>
            <w:right w:val="none" w:sz="0" w:space="0" w:color="auto"/>
          </w:divBdr>
        </w:div>
        <w:div w:id="1660768553">
          <w:marLeft w:val="1166"/>
          <w:marRight w:val="0"/>
          <w:marTop w:val="91"/>
          <w:marBottom w:val="0"/>
          <w:divBdr>
            <w:top w:val="none" w:sz="0" w:space="0" w:color="auto"/>
            <w:left w:val="none" w:sz="0" w:space="0" w:color="auto"/>
            <w:bottom w:val="none" w:sz="0" w:space="0" w:color="auto"/>
            <w:right w:val="none" w:sz="0" w:space="0" w:color="auto"/>
          </w:divBdr>
        </w:div>
      </w:divsChild>
    </w:div>
    <w:div w:id="945693396">
      <w:bodyDiv w:val="1"/>
      <w:marLeft w:val="0"/>
      <w:marRight w:val="0"/>
      <w:marTop w:val="0"/>
      <w:marBottom w:val="0"/>
      <w:divBdr>
        <w:top w:val="none" w:sz="0" w:space="0" w:color="auto"/>
        <w:left w:val="none" w:sz="0" w:space="0" w:color="auto"/>
        <w:bottom w:val="none" w:sz="0" w:space="0" w:color="auto"/>
        <w:right w:val="none" w:sz="0" w:space="0" w:color="auto"/>
      </w:divBdr>
    </w:div>
    <w:div w:id="947662548">
      <w:bodyDiv w:val="1"/>
      <w:marLeft w:val="0"/>
      <w:marRight w:val="0"/>
      <w:marTop w:val="0"/>
      <w:marBottom w:val="0"/>
      <w:divBdr>
        <w:top w:val="none" w:sz="0" w:space="0" w:color="auto"/>
        <w:left w:val="none" w:sz="0" w:space="0" w:color="auto"/>
        <w:bottom w:val="none" w:sz="0" w:space="0" w:color="auto"/>
        <w:right w:val="none" w:sz="0" w:space="0" w:color="auto"/>
      </w:divBdr>
      <w:divsChild>
        <w:div w:id="1636793373">
          <w:marLeft w:val="1166"/>
          <w:marRight w:val="0"/>
          <w:marTop w:val="96"/>
          <w:marBottom w:val="0"/>
          <w:divBdr>
            <w:top w:val="none" w:sz="0" w:space="0" w:color="auto"/>
            <w:left w:val="none" w:sz="0" w:space="0" w:color="auto"/>
            <w:bottom w:val="none" w:sz="0" w:space="0" w:color="auto"/>
            <w:right w:val="none" w:sz="0" w:space="0" w:color="auto"/>
          </w:divBdr>
        </w:div>
        <w:div w:id="34233899">
          <w:marLeft w:val="1166"/>
          <w:marRight w:val="0"/>
          <w:marTop w:val="96"/>
          <w:marBottom w:val="0"/>
          <w:divBdr>
            <w:top w:val="none" w:sz="0" w:space="0" w:color="auto"/>
            <w:left w:val="none" w:sz="0" w:space="0" w:color="auto"/>
            <w:bottom w:val="none" w:sz="0" w:space="0" w:color="auto"/>
            <w:right w:val="none" w:sz="0" w:space="0" w:color="auto"/>
          </w:divBdr>
        </w:div>
      </w:divsChild>
    </w:div>
    <w:div w:id="953826485">
      <w:bodyDiv w:val="1"/>
      <w:marLeft w:val="0"/>
      <w:marRight w:val="0"/>
      <w:marTop w:val="0"/>
      <w:marBottom w:val="0"/>
      <w:divBdr>
        <w:top w:val="none" w:sz="0" w:space="0" w:color="auto"/>
        <w:left w:val="none" w:sz="0" w:space="0" w:color="auto"/>
        <w:bottom w:val="none" w:sz="0" w:space="0" w:color="auto"/>
        <w:right w:val="none" w:sz="0" w:space="0" w:color="auto"/>
      </w:divBdr>
    </w:div>
    <w:div w:id="954412528">
      <w:bodyDiv w:val="1"/>
      <w:marLeft w:val="0"/>
      <w:marRight w:val="0"/>
      <w:marTop w:val="0"/>
      <w:marBottom w:val="0"/>
      <w:divBdr>
        <w:top w:val="none" w:sz="0" w:space="0" w:color="auto"/>
        <w:left w:val="none" w:sz="0" w:space="0" w:color="auto"/>
        <w:bottom w:val="none" w:sz="0" w:space="0" w:color="auto"/>
        <w:right w:val="none" w:sz="0" w:space="0" w:color="auto"/>
      </w:divBdr>
      <w:divsChild>
        <w:div w:id="1536889996">
          <w:marLeft w:val="547"/>
          <w:marRight w:val="0"/>
          <w:marTop w:val="96"/>
          <w:marBottom w:val="0"/>
          <w:divBdr>
            <w:top w:val="none" w:sz="0" w:space="0" w:color="auto"/>
            <w:left w:val="none" w:sz="0" w:space="0" w:color="auto"/>
            <w:bottom w:val="none" w:sz="0" w:space="0" w:color="auto"/>
            <w:right w:val="none" w:sz="0" w:space="0" w:color="auto"/>
          </w:divBdr>
        </w:div>
        <w:div w:id="1484587234">
          <w:marLeft w:val="1166"/>
          <w:marRight w:val="0"/>
          <w:marTop w:val="72"/>
          <w:marBottom w:val="0"/>
          <w:divBdr>
            <w:top w:val="none" w:sz="0" w:space="0" w:color="auto"/>
            <w:left w:val="none" w:sz="0" w:space="0" w:color="auto"/>
            <w:bottom w:val="none" w:sz="0" w:space="0" w:color="auto"/>
            <w:right w:val="none" w:sz="0" w:space="0" w:color="auto"/>
          </w:divBdr>
        </w:div>
        <w:div w:id="803304823">
          <w:marLeft w:val="547"/>
          <w:marRight w:val="0"/>
          <w:marTop w:val="96"/>
          <w:marBottom w:val="0"/>
          <w:divBdr>
            <w:top w:val="none" w:sz="0" w:space="0" w:color="auto"/>
            <w:left w:val="none" w:sz="0" w:space="0" w:color="auto"/>
            <w:bottom w:val="none" w:sz="0" w:space="0" w:color="auto"/>
            <w:right w:val="none" w:sz="0" w:space="0" w:color="auto"/>
          </w:divBdr>
        </w:div>
        <w:div w:id="2019964076">
          <w:marLeft w:val="547"/>
          <w:marRight w:val="0"/>
          <w:marTop w:val="96"/>
          <w:marBottom w:val="0"/>
          <w:divBdr>
            <w:top w:val="none" w:sz="0" w:space="0" w:color="auto"/>
            <w:left w:val="none" w:sz="0" w:space="0" w:color="auto"/>
            <w:bottom w:val="none" w:sz="0" w:space="0" w:color="auto"/>
            <w:right w:val="none" w:sz="0" w:space="0" w:color="auto"/>
          </w:divBdr>
        </w:div>
      </w:divsChild>
    </w:div>
    <w:div w:id="989672147">
      <w:bodyDiv w:val="1"/>
      <w:marLeft w:val="0"/>
      <w:marRight w:val="0"/>
      <w:marTop w:val="0"/>
      <w:marBottom w:val="0"/>
      <w:divBdr>
        <w:top w:val="none" w:sz="0" w:space="0" w:color="auto"/>
        <w:left w:val="none" w:sz="0" w:space="0" w:color="auto"/>
        <w:bottom w:val="none" w:sz="0" w:space="0" w:color="auto"/>
        <w:right w:val="none" w:sz="0" w:space="0" w:color="auto"/>
      </w:divBdr>
    </w:div>
    <w:div w:id="994995668">
      <w:bodyDiv w:val="1"/>
      <w:marLeft w:val="0"/>
      <w:marRight w:val="0"/>
      <w:marTop w:val="0"/>
      <w:marBottom w:val="0"/>
      <w:divBdr>
        <w:top w:val="none" w:sz="0" w:space="0" w:color="auto"/>
        <w:left w:val="none" w:sz="0" w:space="0" w:color="auto"/>
        <w:bottom w:val="none" w:sz="0" w:space="0" w:color="auto"/>
        <w:right w:val="none" w:sz="0" w:space="0" w:color="auto"/>
      </w:divBdr>
    </w:div>
    <w:div w:id="1005591227">
      <w:bodyDiv w:val="1"/>
      <w:marLeft w:val="0"/>
      <w:marRight w:val="0"/>
      <w:marTop w:val="0"/>
      <w:marBottom w:val="0"/>
      <w:divBdr>
        <w:top w:val="none" w:sz="0" w:space="0" w:color="auto"/>
        <w:left w:val="none" w:sz="0" w:space="0" w:color="auto"/>
        <w:bottom w:val="none" w:sz="0" w:space="0" w:color="auto"/>
        <w:right w:val="none" w:sz="0" w:space="0" w:color="auto"/>
      </w:divBdr>
    </w:div>
    <w:div w:id="1012681524">
      <w:bodyDiv w:val="1"/>
      <w:marLeft w:val="0"/>
      <w:marRight w:val="0"/>
      <w:marTop w:val="0"/>
      <w:marBottom w:val="0"/>
      <w:divBdr>
        <w:top w:val="none" w:sz="0" w:space="0" w:color="auto"/>
        <w:left w:val="none" w:sz="0" w:space="0" w:color="auto"/>
        <w:bottom w:val="none" w:sz="0" w:space="0" w:color="auto"/>
        <w:right w:val="none" w:sz="0" w:space="0" w:color="auto"/>
      </w:divBdr>
    </w:div>
    <w:div w:id="1039668098">
      <w:bodyDiv w:val="1"/>
      <w:marLeft w:val="0"/>
      <w:marRight w:val="0"/>
      <w:marTop w:val="0"/>
      <w:marBottom w:val="0"/>
      <w:divBdr>
        <w:top w:val="none" w:sz="0" w:space="0" w:color="auto"/>
        <w:left w:val="none" w:sz="0" w:space="0" w:color="auto"/>
        <w:bottom w:val="none" w:sz="0" w:space="0" w:color="auto"/>
        <w:right w:val="none" w:sz="0" w:space="0" w:color="auto"/>
      </w:divBdr>
    </w:div>
    <w:div w:id="1063213606">
      <w:bodyDiv w:val="1"/>
      <w:marLeft w:val="0"/>
      <w:marRight w:val="0"/>
      <w:marTop w:val="0"/>
      <w:marBottom w:val="0"/>
      <w:divBdr>
        <w:top w:val="none" w:sz="0" w:space="0" w:color="auto"/>
        <w:left w:val="none" w:sz="0" w:space="0" w:color="auto"/>
        <w:bottom w:val="none" w:sz="0" w:space="0" w:color="auto"/>
        <w:right w:val="none" w:sz="0" w:space="0" w:color="auto"/>
      </w:divBdr>
    </w:div>
    <w:div w:id="1102840780">
      <w:bodyDiv w:val="1"/>
      <w:marLeft w:val="0"/>
      <w:marRight w:val="0"/>
      <w:marTop w:val="0"/>
      <w:marBottom w:val="0"/>
      <w:divBdr>
        <w:top w:val="none" w:sz="0" w:space="0" w:color="auto"/>
        <w:left w:val="none" w:sz="0" w:space="0" w:color="auto"/>
        <w:bottom w:val="none" w:sz="0" w:space="0" w:color="auto"/>
        <w:right w:val="none" w:sz="0" w:space="0" w:color="auto"/>
      </w:divBdr>
    </w:div>
    <w:div w:id="1103839819">
      <w:bodyDiv w:val="1"/>
      <w:marLeft w:val="0"/>
      <w:marRight w:val="0"/>
      <w:marTop w:val="0"/>
      <w:marBottom w:val="0"/>
      <w:divBdr>
        <w:top w:val="none" w:sz="0" w:space="0" w:color="auto"/>
        <w:left w:val="none" w:sz="0" w:space="0" w:color="auto"/>
        <w:bottom w:val="none" w:sz="0" w:space="0" w:color="auto"/>
        <w:right w:val="none" w:sz="0" w:space="0" w:color="auto"/>
      </w:divBdr>
    </w:div>
    <w:div w:id="1118765835">
      <w:bodyDiv w:val="1"/>
      <w:marLeft w:val="0"/>
      <w:marRight w:val="0"/>
      <w:marTop w:val="0"/>
      <w:marBottom w:val="0"/>
      <w:divBdr>
        <w:top w:val="none" w:sz="0" w:space="0" w:color="auto"/>
        <w:left w:val="none" w:sz="0" w:space="0" w:color="auto"/>
        <w:bottom w:val="none" w:sz="0" w:space="0" w:color="auto"/>
        <w:right w:val="none" w:sz="0" w:space="0" w:color="auto"/>
      </w:divBdr>
    </w:div>
    <w:div w:id="1131365967">
      <w:bodyDiv w:val="1"/>
      <w:marLeft w:val="0"/>
      <w:marRight w:val="0"/>
      <w:marTop w:val="0"/>
      <w:marBottom w:val="0"/>
      <w:divBdr>
        <w:top w:val="none" w:sz="0" w:space="0" w:color="auto"/>
        <w:left w:val="none" w:sz="0" w:space="0" w:color="auto"/>
        <w:bottom w:val="none" w:sz="0" w:space="0" w:color="auto"/>
        <w:right w:val="none" w:sz="0" w:space="0" w:color="auto"/>
      </w:divBdr>
    </w:div>
    <w:div w:id="1148202288">
      <w:bodyDiv w:val="1"/>
      <w:marLeft w:val="0"/>
      <w:marRight w:val="0"/>
      <w:marTop w:val="0"/>
      <w:marBottom w:val="0"/>
      <w:divBdr>
        <w:top w:val="none" w:sz="0" w:space="0" w:color="auto"/>
        <w:left w:val="none" w:sz="0" w:space="0" w:color="auto"/>
        <w:bottom w:val="none" w:sz="0" w:space="0" w:color="auto"/>
        <w:right w:val="none" w:sz="0" w:space="0" w:color="auto"/>
      </w:divBdr>
      <w:divsChild>
        <w:div w:id="2010938186">
          <w:marLeft w:val="446"/>
          <w:marRight w:val="0"/>
          <w:marTop w:val="0"/>
          <w:marBottom w:val="0"/>
          <w:divBdr>
            <w:top w:val="none" w:sz="0" w:space="0" w:color="auto"/>
            <w:left w:val="none" w:sz="0" w:space="0" w:color="auto"/>
            <w:bottom w:val="none" w:sz="0" w:space="0" w:color="auto"/>
            <w:right w:val="none" w:sz="0" w:space="0" w:color="auto"/>
          </w:divBdr>
        </w:div>
        <w:div w:id="1201625927">
          <w:marLeft w:val="446"/>
          <w:marRight w:val="0"/>
          <w:marTop w:val="0"/>
          <w:marBottom w:val="0"/>
          <w:divBdr>
            <w:top w:val="none" w:sz="0" w:space="0" w:color="auto"/>
            <w:left w:val="none" w:sz="0" w:space="0" w:color="auto"/>
            <w:bottom w:val="none" w:sz="0" w:space="0" w:color="auto"/>
            <w:right w:val="none" w:sz="0" w:space="0" w:color="auto"/>
          </w:divBdr>
        </w:div>
      </w:divsChild>
    </w:div>
    <w:div w:id="1225994659">
      <w:bodyDiv w:val="1"/>
      <w:marLeft w:val="0"/>
      <w:marRight w:val="0"/>
      <w:marTop w:val="0"/>
      <w:marBottom w:val="0"/>
      <w:divBdr>
        <w:top w:val="none" w:sz="0" w:space="0" w:color="auto"/>
        <w:left w:val="none" w:sz="0" w:space="0" w:color="auto"/>
        <w:bottom w:val="none" w:sz="0" w:space="0" w:color="auto"/>
        <w:right w:val="none" w:sz="0" w:space="0" w:color="auto"/>
      </w:divBdr>
    </w:div>
    <w:div w:id="1248729183">
      <w:bodyDiv w:val="1"/>
      <w:marLeft w:val="0"/>
      <w:marRight w:val="0"/>
      <w:marTop w:val="0"/>
      <w:marBottom w:val="0"/>
      <w:divBdr>
        <w:top w:val="none" w:sz="0" w:space="0" w:color="auto"/>
        <w:left w:val="none" w:sz="0" w:space="0" w:color="auto"/>
        <w:bottom w:val="none" w:sz="0" w:space="0" w:color="auto"/>
        <w:right w:val="none" w:sz="0" w:space="0" w:color="auto"/>
      </w:divBdr>
    </w:div>
    <w:div w:id="1265383401">
      <w:bodyDiv w:val="1"/>
      <w:marLeft w:val="0"/>
      <w:marRight w:val="0"/>
      <w:marTop w:val="0"/>
      <w:marBottom w:val="0"/>
      <w:divBdr>
        <w:top w:val="none" w:sz="0" w:space="0" w:color="auto"/>
        <w:left w:val="none" w:sz="0" w:space="0" w:color="auto"/>
        <w:bottom w:val="none" w:sz="0" w:space="0" w:color="auto"/>
        <w:right w:val="none" w:sz="0" w:space="0" w:color="auto"/>
      </w:divBdr>
    </w:div>
    <w:div w:id="1271357180">
      <w:bodyDiv w:val="1"/>
      <w:marLeft w:val="0"/>
      <w:marRight w:val="0"/>
      <w:marTop w:val="0"/>
      <w:marBottom w:val="0"/>
      <w:divBdr>
        <w:top w:val="none" w:sz="0" w:space="0" w:color="auto"/>
        <w:left w:val="none" w:sz="0" w:space="0" w:color="auto"/>
        <w:bottom w:val="none" w:sz="0" w:space="0" w:color="auto"/>
        <w:right w:val="none" w:sz="0" w:space="0" w:color="auto"/>
      </w:divBdr>
    </w:div>
    <w:div w:id="1282954312">
      <w:bodyDiv w:val="1"/>
      <w:marLeft w:val="0"/>
      <w:marRight w:val="0"/>
      <w:marTop w:val="0"/>
      <w:marBottom w:val="0"/>
      <w:divBdr>
        <w:top w:val="none" w:sz="0" w:space="0" w:color="auto"/>
        <w:left w:val="none" w:sz="0" w:space="0" w:color="auto"/>
        <w:bottom w:val="none" w:sz="0" w:space="0" w:color="auto"/>
        <w:right w:val="none" w:sz="0" w:space="0" w:color="auto"/>
      </w:divBdr>
      <w:divsChild>
        <w:div w:id="1881939571">
          <w:marLeft w:val="446"/>
          <w:marRight w:val="0"/>
          <w:marTop w:val="0"/>
          <w:marBottom w:val="0"/>
          <w:divBdr>
            <w:top w:val="none" w:sz="0" w:space="0" w:color="auto"/>
            <w:left w:val="none" w:sz="0" w:space="0" w:color="auto"/>
            <w:bottom w:val="none" w:sz="0" w:space="0" w:color="auto"/>
            <w:right w:val="none" w:sz="0" w:space="0" w:color="auto"/>
          </w:divBdr>
        </w:div>
        <w:div w:id="1530603071">
          <w:marLeft w:val="446"/>
          <w:marRight w:val="0"/>
          <w:marTop w:val="0"/>
          <w:marBottom w:val="0"/>
          <w:divBdr>
            <w:top w:val="none" w:sz="0" w:space="0" w:color="auto"/>
            <w:left w:val="none" w:sz="0" w:space="0" w:color="auto"/>
            <w:bottom w:val="none" w:sz="0" w:space="0" w:color="auto"/>
            <w:right w:val="none" w:sz="0" w:space="0" w:color="auto"/>
          </w:divBdr>
        </w:div>
      </w:divsChild>
    </w:div>
    <w:div w:id="1304896335">
      <w:bodyDiv w:val="1"/>
      <w:marLeft w:val="0"/>
      <w:marRight w:val="0"/>
      <w:marTop w:val="0"/>
      <w:marBottom w:val="0"/>
      <w:divBdr>
        <w:top w:val="none" w:sz="0" w:space="0" w:color="auto"/>
        <w:left w:val="none" w:sz="0" w:space="0" w:color="auto"/>
        <w:bottom w:val="none" w:sz="0" w:space="0" w:color="auto"/>
        <w:right w:val="none" w:sz="0" w:space="0" w:color="auto"/>
      </w:divBdr>
    </w:div>
    <w:div w:id="1318219732">
      <w:bodyDiv w:val="1"/>
      <w:marLeft w:val="0"/>
      <w:marRight w:val="0"/>
      <w:marTop w:val="0"/>
      <w:marBottom w:val="0"/>
      <w:divBdr>
        <w:top w:val="none" w:sz="0" w:space="0" w:color="auto"/>
        <w:left w:val="none" w:sz="0" w:space="0" w:color="auto"/>
        <w:bottom w:val="none" w:sz="0" w:space="0" w:color="auto"/>
        <w:right w:val="none" w:sz="0" w:space="0" w:color="auto"/>
      </w:divBdr>
    </w:div>
    <w:div w:id="1336419133">
      <w:bodyDiv w:val="1"/>
      <w:marLeft w:val="0"/>
      <w:marRight w:val="0"/>
      <w:marTop w:val="0"/>
      <w:marBottom w:val="0"/>
      <w:divBdr>
        <w:top w:val="none" w:sz="0" w:space="0" w:color="auto"/>
        <w:left w:val="none" w:sz="0" w:space="0" w:color="auto"/>
        <w:bottom w:val="none" w:sz="0" w:space="0" w:color="auto"/>
        <w:right w:val="none" w:sz="0" w:space="0" w:color="auto"/>
      </w:divBdr>
    </w:div>
    <w:div w:id="1435438204">
      <w:bodyDiv w:val="1"/>
      <w:marLeft w:val="0"/>
      <w:marRight w:val="0"/>
      <w:marTop w:val="0"/>
      <w:marBottom w:val="0"/>
      <w:divBdr>
        <w:top w:val="none" w:sz="0" w:space="0" w:color="auto"/>
        <w:left w:val="none" w:sz="0" w:space="0" w:color="auto"/>
        <w:bottom w:val="none" w:sz="0" w:space="0" w:color="auto"/>
        <w:right w:val="none" w:sz="0" w:space="0" w:color="auto"/>
      </w:divBdr>
    </w:div>
    <w:div w:id="1435973964">
      <w:bodyDiv w:val="1"/>
      <w:marLeft w:val="0"/>
      <w:marRight w:val="0"/>
      <w:marTop w:val="0"/>
      <w:marBottom w:val="0"/>
      <w:divBdr>
        <w:top w:val="none" w:sz="0" w:space="0" w:color="auto"/>
        <w:left w:val="none" w:sz="0" w:space="0" w:color="auto"/>
        <w:bottom w:val="none" w:sz="0" w:space="0" w:color="auto"/>
        <w:right w:val="none" w:sz="0" w:space="0" w:color="auto"/>
      </w:divBdr>
    </w:div>
    <w:div w:id="1456371451">
      <w:bodyDiv w:val="1"/>
      <w:marLeft w:val="0"/>
      <w:marRight w:val="0"/>
      <w:marTop w:val="0"/>
      <w:marBottom w:val="0"/>
      <w:divBdr>
        <w:top w:val="none" w:sz="0" w:space="0" w:color="auto"/>
        <w:left w:val="none" w:sz="0" w:space="0" w:color="auto"/>
        <w:bottom w:val="none" w:sz="0" w:space="0" w:color="auto"/>
        <w:right w:val="none" w:sz="0" w:space="0" w:color="auto"/>
      </w:divBdr>
    </w:div>
    <w:div w:id="1478497414">
      <w:bodyDiv w:val="1"/>
      <w:marLeft w:val="0"/>
      <w:marRight w:val="0"/>
      <w:marTop w:val="0"/>
      <w:marBottom w:val="0"/>
      <w:divBdr>
        <w:top w:val="none" w:sz="0" w:space="0" w:color="auto"/>
        <w:left w:val="none" w:sz="0" w:space="0" w:color="auto"/>
        <w:bottom w:val="none" w:sz="0" w:space="0" w:color="auto"/>
        <w:right w:val="none" w:sz="0" w:space="0" w:color="auto"/>
      </w:divBdr>
    </w:div>
    <w:div w:id="1485510156">
      <w:bodyDiv w:val="1"/>
      <w:marLeft w:val="0"/>
      <w:marRight w:val="0"/>
      <w:marTop w:val="0"/>
      <w:marBottom w:val="0"/>
      <w:divBdr>
        <w:top w:val="none" w:sz="0" w:space="0" w:color="auto"/>
        <w:left w:val="none" w:sz="0" w:space="0" w:color="auto"/>
        <w:bottom w:val="none" w:sz="0" w:space="0" w:color="auto"/>
        <w:right w:val="none" w:sz="0" w:space="0" w:color="auto"/>
      </w:divBdr>
    </w:div>
    <w:div w:id="1515801699">
      <w:bodyDiv w:val="1"/>
      <w:marLeft w:val="0"/>
      <w:marRight w:val="0"/>
      <w:marTop w:val="0"/>
      <w:marBottom w:val="0"/>
      <w:divBdr>
        <w:top w:val="none" w:sz="0" w:space="0" w:color="auto"/>
        <w:left w:val="none" w:sz="0" w:space="0" w:color="auto"/>
        <w:bottom w:val="none" w:sz="0" w:space="0" w:color="auto"/>
        <w:right w:val="none" w:sz="0" w:space="0" w:color="auto"/>
      </w:divBdr>
    </w:div>
    <w:div w:id="1522428284">
      <w:bodyDiv w:val="1"/>
      <w:marLeft w:val="0"/>
      <w:marRight w:val="0"/>
      <w:marTop w:val="0"/>
      <w:marBottom w:val="0"/>
      <w:divBdr>
        <w:top w:val="none" w:sz="0" w:space="0" w:color="auto"/>
        <w:left w:val="none" w:sz="0" w:space="0" w:color="auto"/>
        <w:bottom w:val="none" w:sz="0" w:space="0" w:color="auto"/>
        <w:right w:val="none" w:sz="0" w:space="0" w:color="auto"/>
      </w:divBdr>
    </w:div>
    <w:div w:id="1523473059">
      <w:bodyDiv w:val="1"/>
      <w:marLeft w:val="0"/>
      <w:marRight w:val="0"/>
      <w:marTop w:val="0"/>
      <w:marBottom w:val="0"/>
      <w:divBdr>
        <w:top w:val="none" w:sz="0" w:space="0" w:color="auto"/>
        <w:left w:val="none" w:sz="0" w:space="0" w:color="auto"/>
        <w:bottom w:val="none" w:sz="0" w:space="0" w:color="auto"/>
        <w:right w:val="none" w:sz="0" w:space="0" w:color="auto"/>
      </w:divBdr>
    </w:div>
    <w:div w:id="1524972827">
      <w:bodyDiv w:val="1"/>
      <w:marLeft w:val="0"/>
      <w:marRight w:val="0"/>
      <w:marTop w:val="0"/>
      <w:marBottom w:val="0"/>
      <w:divBdr>
        <w:top w:val="none" w:sz="0" w:space="0" w:color="auto"/>
        <w:left w:val="none" w:sz="0" w:space="0" w:color="auto"/>
        <w:bottom w:val="none" w:sz="0" w:space="0" w:color="auto"/>
        <w:right w:val="none" w:sz="0" w:space="0" w:color="auto"/>
      </w:divBdr>
    </w:div>
    <w:div w:id="1569998444">
      <w:bodyDiv w:val="1"/>
      <w:marLeft w:val="0"/>
      <w:marRight w:val="0"/>
      <w:marTop w:val="0"/>
      <w:marBottom w:val="0"/>
      <w:divBdr>
        <w:top w:val="none" w:sz="0" w:space="0" w:color="auto"/>
        <w:left w:val="none" w:sz="0" w:space="0" w:color="auto"/>
        <w:bottom w:val="none" w:sz="0" w:space="0" w:color="auto"/>
        <w:right w:val="none" w:sz="0" w:space="0" w:color="auto"/>
      </w:divBdr>
    </w:div>
    <w:div w:id="1575121422">
      <w:bodyDiv w:val="1"/>
      <w:marLeft w:val="0"/>
      <w:marRight w:val="0"/>
      <w:marTop w:val="0"/>
      <w:marBottom w:val="0"/>
      <w:divBdr>
        <w:top w:val="none" w:sz="0" w:space="0" w:color="auto"/>
        <w:left w:val="none" w:sz="0" w:space="0" w:color="auto"/>
        <w:bottom w:val="none" w:sz="0" w:space="0" w:color="auto"/>
        <w:right w:val="none" w:sz="0" w:space="0" w:color="auto"/>
      </w:divBdr>
    </w:div>
    <w:div w:id="1576090840">
      <w:bodyDiv w:val="1"/>
      <w:marLeft w:val="0"/>
      <w:marRight w:val="0"/>
      <w:marTop w:val="0"/>
      <w:marBottom w:val="0"/>
      <w:divBdr>
        <w:top w:val="none" w:sz="0" w:space="0" w:color="auto"/>
        <w:left w:val="none" w:sz="0" w:space="0" w:color="auto"/>
        <w:bottom w:val="none" w:sz="0" w:space="0" w:color="auto"/>
        <w:right w:val="none" w:sz="0" w:space="0" w:color="auto"/>
      </w:divBdr>
    </w:div>
    <w:div w:id="1577665929">
      <w:bodyDiv w:val="1"/>
      <w:marLeft w:val="0"/>
      <w:marRight w:val="0"/>
      <w:marTop w:val="0"/>
      <w:marBottom w:val="0"/>
      <w:divBdr>
        <w:top w:val="none" w:sz="0" w:space="0" w:color="auto"/>
        <w:left w:val="none" w:sz="0" w:space="0" w:color="auto"/>
        <w:bottom w:val="none" w:sz="0" w:space="0" w:color="auto"/>
        <w:right w:val="none" w:sz="0" w:space="0" w:color="auto"/>
      </w:divBdr>
    </w:div>
    <w:div w:id="1586257276">
      <w:bodyDiv w:val="1"/>
      <w:marLeft w:val="0"/>
      <w:marRight w:val="0"/>
      <w:marTop w:val="0"/>
      <w:marBottom w:val="0"/>
      <w:divBdr>
        <w:top w:val="none" w:sz="0" w:space="0" w:color="auto"/>
        <w:left w:val="none" w:sz="0" w:space="0" w:color="auto"/>
        <w:bottom w:val="none" w:sz="0" w:space="0" w:color="auto"/>
        <w:right w:val="none" w:sz="0" w:space="0" w:color="auto"/>
      </w:divBdr>
    </w:div>
    <w:div w:id="1588224977">
      <w:bodyDiv w:val="1"/>
      <w:marLeft w:val="0"/>
      <w:marRight w:val="0"/>
      <w:marTop w:val="0"/>
      <w:marBottom w:val="0"/>
      <w:divBdr>
        <w:top w:val="none" w:sz="0" w:space="0" w:color="auto"/>
        <w:left w:val="none" w:sz="0" w:space="0" w:color="auto"/>
        <w:bottom w:val="none" w:sz="0" w:space="0" w:color="auto"/>
        <w:right w:val="none" w:sz="0" w:space="0" w:color="auto"/>
      </w:divBdr>
      <w:divsChild>
        <w:div w:id="2045326287">
          <w:marLeft w:val="1166"/>
          <w:marRight w:val="0"/>
          <w:marTop w:val="110"/>
          <w:marBottom w:val="0"/>
          <w:divBdr>
            <w:top w:val="none" w:sz="0" w:space="0" w:color="auto"/>
            <w:left w:val="none" w:sz="0" w:space="0" w:color="auto"/>
            <w:bottom w:val="none" w:sz="0" w:space="0" w:color="auto"/>
            <w:right w:val="none" w:sz="0" w:space="0" w:color="auto"/>
          </w:divBdr>
        </w:div>
        <w:div w:id="1840534012">
          <w:marLeft w:val="1166"/>
          <w:marRight w:val="0"/>
          <w:marTop w:val="110"/>
          <w:marBottom w:val="0"/>
          <w:divBdr>
            <w:top w:val="none" w:sz="0" w:space="0" w:color="auto"/>
            <w:left w:val="none" w:sz="0" w:space="0" w:color="auto"/>
            <w:bottom w:val="none" w:sz="0" w:space="0" w:color="auto"/>
            <w:right w:val="none" w:sz="0" w:space="0" w:color="auto"/>
          </w:divBdr>
        </w:div>
      </w:divsChild>
    </w:div>
    <w:div w:id="1596087933">
      <w:bodyDiv w:val="1"/>
      <w:marLeft w:val="0"/>
      <w:marRight w:val="0"/>
      <w:marTop w:val="0"/>
      <w:marBottom w:val="0"/>
      <w:divBdr>
        <w:top w:val="none" w:sz="0" w:space="0" w:color="auto"/>
        <w:left w:val="none" w:sz="0" w:space="0" w:color="auto"/>
        <w:bottom w:val="none" w:sz="0" w:space="0" w:color="auto"/>
        <w:right w:val="none" w:sz="0" w:space="0" w:color="auto"/>
      </w:divBdr>
      <w:divsChild>
        <w:div w:id="1488861634">
          <w:marLeft w:val="446"/>
          <w:marRight w:val="0"/>
          <w:marTop w:val="0"/>
          <w:marBottom w:val="0"/>
          <w:divBdr>
            <w:top w:val="none" w:sz="0" w:space="0" w:color="auto"/>
            <w:left w:val="none" w:sz="0" w:space="0" w:color="auto"/>
            <w:bottom w:val="none" w:sz="0" w:space="0" w:color="auto"/>
            <w:right w:val="none" w:sz="0" w:space="0" w:color="auto"/>
          </w:divBdr>
        </w:div>
        <w:div w:id="1824932839">
          <w:marLeft w:val="446"/>
          <w:marRight w:val="0"/>
          <w:marTop w:val="0"/>
          <w:marBottom w:val="0"/>
          <w:divBdr>
            <w:top w:val="none" w:sz="0" w:space="0" w:color="auto"/>
            <w:left w:val="none" w:sz="0" w:space="0" w:color="auto"/>
            <w:bottom w:val="none" w:sz="0" w:space="0" w:color="auto"/>
            <w:right w:val="none" w:sz="0" w:space="0" w:color="auto"/>
          </w:divBdr>
        </w:div>
        <w:div w:id="1467240706">
          <w:marLeft w:val="446"/>
          <w:marRight w:val="0"/>
          <w:marTop w:val="0"/>
          <w:marBottom w:val="0"/>
          <w:divBdr>
            <w:top w:val="none" w:sz="0" w:space="0" w:color="auto"/>
            <w:left w:val="none" w:sz="0" w:space="0" w:color="auto"/>
            <w:bottom w:val="none" w:sz="0" w:space="0" w:color="auto"/>
            <w:right w:val="none" w:sz="0" w:space="0" w:color="auto"/>
          </w:divBdr>
        </w:div>
      </w:divsChild>
    </w:div>
    <w:div w:id="1602181597">
      <w:bodyDiv w:val="1"/>
      <w:marLeft w:val="0"/>
      <w:marRight w:val="0"/>
      <w:marTop w:val="0"/>
      <w:marBottom w:val="0"/>
      <w:divBdr>
        <w:top w:val="none" w:sz="0" w:space="0" w:color="auto"/>
        <w:left w:val="none" w:sz="0" w:space="0" w:color="auto"/>
        <w:bottom w:val="none" w:sz="0" w:space="0" w:color="auto"/>
        <w:right w:val="none" w:sz="0" w:space="0" w:color="auto"/>
      </w:divBdr>
    </w:div>
    <w:div w:id="1634747150">
      <w:bodyDiv w:val="1"/>
      <w:marLeft w:val="0"/>
      <w:marRight w:val="0"/>
      <w:marTop w:val="0"/>
      <w:marBottom w:val="0"/>
      <w:divBdr>
        <w:top w:val="none" w:sz="0" w:space="0" w:color="auto"/>
        <w:left w:val="none" w:sz="0" w:space="0" w:color="auto"/>
        <w:bottom w:val="none" w:sz="0" w:space="0" w:color="auto"/>
        <w:right w:val="none" w:sz="0" w:space="0" w:color="auto"/>
      </w:divBdr>
      <w:divsChild>
        <w:div w:id="2125808789">
          <w:marLeft w:val="446"/>
          <w:marRight w:val="0"/>
          <w:marTop w:val="0"/>
          <w:marBottom w:val="0"/>
          <w:divBdr>
            <w:top w:val="none" w:sz="0" w:space="0" w:color="auto"/>
            <w:left w:val="none" w:sz="0" w:space="0" w:color="auto"/>
            <w:bottom w:val="none" w:sz="0" w:space="0" w:color="auto"/>
            <w:right w:val="none" w:sz="0" w:space="0" w:color="auto"/>
          </w:divBdr>
        </w:div>
        <w:div w:id="965549754">
          <w:marLeft w:val="446"/>
          <w:marRight w:val="0"/>
          <w:marTop w:val="0"/>
          <w:marBottom w:val="0"/>
          <w:divBdr>
            <w:top w:val="none" w:sz="0" w:space="0" w:color="auto"/>
            <w:left w:val="none" w:sz="0" w:space="0" w:color="auto"/>
            <w:bottom w:val="none" w:sz="0" w:space="0" w:color="auto"/>
            <w:right w:val="none" w:sz="0" w:space="0" w:color="auto"/>
          </w:divBdr>
        </w:div>
      </w:divsChild>
    </w:div>
    <w:div w:id="1643264463">
      <w:bodyDiv w:val="1"/>
      <w:marLeft w:val="0"/>
      <w:marRight w:val="0"/>
      <w:marTop w:val="0"/>
      <w:marBottom w:val="0"/>
      <w:divBdr>
        <w:top w:val="none" w:sz="0" w:space="0" w:color="auto"/>
        <w:left w:val="none" w:sz="0" w:space="0" w:color="auto"/>
        <w:bottom w:val="none" w:sz="0" w:space="0" w:color="auto"/>
        <w:right w:val="none" w:sz="0" w:space="0" w:color="auto"/>
      </w:divBdr>
    </w:div>
    <w:div w:id="1677614454">
      <w:bodyDiv w:val="1"/>
      <w:marLeft w:val="0"/>
      <w:marRight w:val="0"/>
      <w:marTop w:val="0"/>
      <w:marBottom w:val="0"/>
      <w:divBdr>
        <w:top w:val="none" w:sz="0" w:space="0" w:color="auto"/>
        <w:left w:val="none" w:sz="0" w:space="0" w:color="auto"/>
        <w:bottom w:val="none" w:sz="0" w:space="0" w:color="auto"/>
        <w:right w:val="none" w:sz="0" w:space="0" w:color="auto"/>
      </w:divBdr>
    </w:div>
    <w:div w:id="1690065194">
      <w:bodyDiv w:val="1"/>
      <w:marLeft w:val="0"/>
      <w:marRight w:val="0"/>
      <w:marTop w:val="0"/>
      <w:marBottom w:val="0"/>
      <w:divBdr>
        <w:top w:val="none" w:sz="0" w:space="0" w:color="auto"/>
        <w:left w:val="none" w:sz="0" w:space="0" w:color="auto"/>
        <w:bottom w:val="none" w:sz="0" w:space="0" w:color="auto"/>
        <w:right w:val="none" w:sz="0" w:space="0" w:color="auto"/>
      </w:divBdr>
    </w:div>
    <w:div w:id="1696804217">
      <w:bodyDiv w:val="1"/>
      <w:marLeft w:val="0"/>
      <w:marRight w:val="0"/>
      <w:marTop w:val="0"/>
      <w:marBottom w:val="0"/>
      <w:divBdr>
        <w:top w:val="none" w:sz="0" w:space="0" w:color="auto"/>
        <w:left w:val="none" w:sz="0" w:space="0" w:color="auto"/>
        <w:bottom w:val="none" w:sz="0" w:space="0" w:color="auto"/>
        <w:right w:val="none" w:sz="0" w:space="0" w:color="auto"/>
      </w:divBdr>
    </w:div>
    <w:div w:id="1708406077">
      <w:bodyDiv w:val="1"/>
      <w:marLeft w:val="0"/>
      <w:marRight w:val="0"/>
      <w:marTop w:val="0"/>
      <w:marBottom w:val="0"/>
      <w:divBdr>
        <w:top w:val="none" w:sz="0" w:space="0" w:color="auto"/>
        <w:left w:val="none" w:sz="0" w:space="0" w:color="auto"/>
        <w:bottom w:val="none" w:sz="0" w:space="0" w:color="auto"/>
        <w:right w:val="none" w:sz="0" w:space="0" w:color="auto"/>
      </w:divBdr>
    </w:div>
    <w:div w:id="1713070781">
      <w:bodyDiv w:val="1"/>
      <w:marLeft w:val="0"/>
      <w:marRight w:val="0"/>
      <w:marTop w:val="0"/>
      <w:marBottom w:val="0"/>
      <w:divBdr>
        <w:top w:val="none" w:sz="0" w:space="0" w:color="auto"/>
        <w:left w:val="none" w:sz="0" w:space="0" w:color="auto"/>
        <w:bottom w:val="none" w:sz="0" w:space="0" w:color="auto"/>
        <w:right w:val="none" w:sz="0" w:space="0" w:color="auto"/>
      </w:divBdr>
    </w:div>
    <w:div w:id="1721241432">
      <w:bodyDiv w:val="1"/>
      <w:marLeft w:val="0"/>
      <w:marRight w:val="0"/>
      <w:marTop w:val="0"/>
      <w:marBottom w:val="0"/>
      <w:divBdr>
        <w:top w:val="none" w:sz="0" w:space="0" w:color="auto"/>
        <w:left w:val="none" w:sz="0" w:space="0" w:color="auto"/>
        <w:bottom w:val="none" w:sz="0" w:space="0" w:color="auto"/>
        <w:right w:val="none" w:sz="0" w:space="0" w:color="auto"/>
      </w:divBdr>
    </w:div>
    <w:div w:id="1747460191">
      <w:bodyDiv w:val="1"/>
      <w:marLeft w:val="0"/>
      <w:marRight w:val="0"/>
      <w:marTop w:val="0"/>
      <w:marBottom w:val="0"/>
      <w:divBdr>
        <w:top w:val="none" w:sz="0" w:space="0" w:color="auto"/>
        <w:left w:val="none" w:sz="0" w:space="0" w:color="auto"/>
        <w:bottom w:val="none" w:sz="0" w:space="0" w:color="auto"/>
        <w:right w:val="none" w:sz="0" w:space="0" w:color="auto"/>
      </w:divBdr>
    </w:div>
    <w:div w:id="1758554690">
      <w:bodyDiv w:val="1"/>
      <w:marLeft w:val="0"/>
      <w:marRight w:val="0"/>
      <w:marTop w:val="0"/>
      <w:marBottom w:val="0"/>
      <w:divBdr>
        <w:top w:val="none" w:sz="0" w:space="0" w:color="auto"/>
        <w:left w:val="none" w:sz="0" w:space="0" w:color="auto"/>
        <w:bottom w:val="none" w:sz="0" w:space="0" w:color="auto"/>
        <w:right w:val="none" w:sz="0" w:space="0" w:color="auto"/>
      </w:divBdr>
    </w:div>
    <w:div w:id="1770154334">
      <w:bodyDiv w:val="1"/>
      <w:marLeft w:val="0"/>
      <w:marRight w:val="0"/>
      <w:marTop w:val="0"/>
      <w:marBottom w:val="0"/>
      <w:divBdr>
        <w:top w:val="none" w:sz="0" w:space="0" w:color="auto"/>
        <w:left w:val="none" w:sz="0" w:space="0" w:color="auto"/>
        <w:bottom w:val="none" w:sz="0" w:space="0" w:color="auto"/>
        <w:right w:val="none" w:sz="0" w:space="0" w:color="auto"/>
      </w:divBdr>
    </w:div>
    <w:div w:id="1839881389">
      <w:bodyDiv w:val="1"/>
      <w:marLeft w:val="0"/>
      <w:marRight w:val="0"/>
      <w:marTop w:val="0"/>
      <w:marBottom w:val="0"/>
      <w:divBdr>
        <w:top w:val="none" w:sz="0" w:space="0" w:color="auto"/>
        <w:left w:val="none" w:sz="0" w:space="0" w:color="auto"/>
        <w:bottom w:val="none" w:sz="0" w:space="0" w:color="auto"/>
        <w:right w:val="none" w:sz="0" w:space="0" w:color="auto"/>
      </w:divBdr>
    </w:div>
    <w:div w:id="1872259655">
      <w:bodyDiv w:val="1"/>
      <w:marLeft w:val="0"/>
      <w:marRight w:val="0"/>
      <w:marTop w:val="0"/>
      <w:marBottom w:val="0"/>
      <w:divBdr>
        <w:top w:val="none" w:sz="0" w:space="0" w:color="auto"/>
        <w:left w:val="none" w:sz="0" w:space="0" w:color="auto"/>
        <w:bottom w:val="none" w:sz="0" w:space="0" w:color="auto"/>
        <w:right w:val="none" w:sz="0" w:space="0" w:color="auto"/>
      </w:divBdr>
    </w:div>
    <w:div w:id="1873150297">
      <w:bodyDiv w:val="1"/>
      <w:marLeft w:val="0"/>
      <w:marRight w:val="0"/>
      <w:marTop w:val="0"/>
      <w:marBottom w:val="0"/>
      <w:divBdr>
        <w:top w:val="none" w:sz="0" w:space="0" w:color="auto"/>
        <w:left w:val="none" w:sz="0" w:space="0" w:color="auto"/>
        <w:bottom w:val="none" w:sz="0" w:space="0" w:color="auto"/>
        <w:right w:val="none" w:sz="0" w:space="0" w:color="auto"/>
      </w:divBdr>
    </w:div>
    <w:div w:id="1944604524">
      <w:bodyDiv w:val="1"/>
      <w:marLeft w:val="0"/>
      <w:marRight w:val="0"/>
      <w:marTop w:val="0"/>
      <w:marBottom w:val="0"/>
      <w:divBdr>
        <w:top w:val="none" w:sz="0" w:space="0" w:color="auto"/>
        <w:left w:val="none" w:sz="0" w:space="0" w:color="auto"/>
        <w:bottom w:val="none" w:sz="0" w:space="0" w:color="auto"/>
        <w:right w:val="none" w:sz="0" w:space="0" w:color="auto"/>
      </w:divBdr>
    </w:div>
    <w:div w:id="1946229477">
      <w:bodyDiv w:val="1"/>
      <w:marLeft w:val="0"/>
      <w:marRight w:val="0"/>
      <w:marTop w:val="0"/>
      <w:marBottom w:val="0"/>
      <w:divBdr>
        <w:top w:val="none" w:sz="0" w:space="0" w:color="auto"/>
        <w:left w:val="none" w:sz="0" w:space="0" w:color="auto"/>
        <w:bottom w:val="none" w:sz="0" w:space="0" w:color="auto"/>
        <w:right w:val="none" w:sz="0" w:space="0" w:color="auto"/>
      </w:divBdr>
    </w:div>
    <w:div w:id="1952278677">
      <w:bodyDiv w:val="1"/>
      <w:marLeft w:val="0"/>
      <w:marRight w:val="0"/>
      <w:marTop w:val="0"/>
      <w:marBottom w:val="0"/>
      <w:divBdr>
        <w:top w:val="none" w:sz="0" w:space="0" w:color="auto"/>
        <w:left w:val="none" w:sz="0" w:space="0" w:color="auto"/>
        <w:bottom w:val="none" w:sz="0" w:space="0" w:color="auto"/>
        <w:right w:val="none" w:sz="0" w:space="0" w:color="auto"/>
      </w:divBdr>
    </w:div>
    <w:div w:id="1959215570">
      <w:bodyDiv w:val="1"/>
      <w:marLeft w:val="0"/>
      <w:marRight w:val="0"/>
      <w:marTop w:val="0"/>
      <w:marBottom w:val="0"/>
      <w:divBdr>
        <w:top w:val="none" w:sz="0" w:space="0" w:color="auto"/>
        <w:left w:val="none" w:sz="0" w:space="0" w:color="auto"/>
        <w:bottom w:val="none" w:sz="0" w:space="0" w:color="auto"/>
        <w:right w:val="none" w:sz="0" w:space="0" w:color="auto"/>
      </w:divBdr>
    </w:div>
    <w:div w:id="1959412991">
      <w:bodyDiv w:val="1"/>
      <w:marLeft w:val="0"/>
      <w:marRight w:val="0"/>
      <w:marTop w:val="0"/>
      <w:marBottom w:val="0"/>
      <w:divBdr>
        <w:top w:val="none" w:sz="0" w:space="0" w:color="auto"/>
        <w:left w:val="none" w:sz="0" w:space="0" w:color="auto"/>
        <w:bottom w:val="none" w:sz="0" w:space="0" w:color="auto"/>
        <w:right w:val="none" w:sz="0" w:space="0" w:color="auto"/>
      </w:divBdr>
    </w:div>
    <w:div w:id="1970474764">
      <w:bodyDiv w:val="1"/>
      <w:marLeft w:val="0"/>
      <w:marRight w:val="0"/>
      <w:marTop w:val="0"/>
      <w:marBottom w:val="0"/>
      <w:divBdr>
        <w:top w:val="none" w:sz="0" w:space="0" w:color="auto"/>
        <w:left w:val="none" w:sz="0" w:space="0" w:color="auto"/>
        <w:bottom w:val="none" w:sz="0" w:space="0" w:color="auto"/>
        <w:right w:val="none" w:sz="0" w:space="0" w:color="auto"/>
      </w:divBdr>
    </w:div>
    <w:div w:id="1983735226">
      <w:bodyDiv w:val="1"/>
      <w:marLeft w:val="0"/>
      <w:marRight w:val="0"/>
      <w:marTop w:val="0"/>
      <w:marBottom w:val="0"/>
      <w:divBdr>
        <w:top w:val="none" w:sz="0" w:space="0" w:color="auto"/>
        <w:left w:val="none" w:sz="0" w:space="0" w:color="auto"/>
        <w:bottom w:val="none" w:sz="0" w:space="0" w:color="auto"/>
        <w:right w:val="none" w:sz="0" w:space="0" w:color="auto"/>
      </w:divBdr>
      <w:divsChild>
        <w:div w:id="245574855">
          <w:marLeft w:val="547"/>
          <w:marRight w:val="0"/>
          <w:marTop w:val="86"/>
          <w:marBottom w:val="0"/>
          <w:divBdr>
            <w:top w:val="none" w:sz="0" w:space="0" w:color="auto"/>
            <w:left w:val="none" w:sz="0" w:space="0" w:color="auto"/>
            <w:bottom w:val="none" w:sz="0" w:space="0" w:color="auto"/>
            <w:right w:val="none" w:sz="0" w:space="0" w:color="auto"/>
          </w:divBdr>
        </w:div>
        <w:div w:id="240481854">
          <w:marLeft w:val="547"/>
          <w:marRight w:val="0"/>
          <w:marTop w:val="86"/>
          <w:marBottom w:val="0"/>
          <w:divBdr>
            <w:top w:val="none" w:sz="0" w:space="0" w:color="auto"/>
            <w:left w:val="none" w:sz="0" w:space="0" w:color="auto"/>
            <w:bottom w:val="none" w:sz="0" w:space="0" w:color="auto"/>
            <w:right w:val="none" w:sz="0" w:space="0" w:color="auto"/>
          </w:divBdr>
        </w:div>
        <w:div w:id="1879466396">
          <w:marLeft w:val="1166"/>
          <w:marRight w:val="0"/>
          <w:marTop w:val="62"/>
          <w:marBottom w:val="0"/>
          <w:divBdr>
            <w:top w:val="none" w:sz="0" w:space="0" w:color="auto"/>
            <w:left w:val="none" w:sz="0" w:space="0" w:color="auto"/>
            <w:bottom w:val="none" w:sz="0" w:space="0" w:color="auto"/>
            <w:right w:val="none" w:sz="0" w:space="0" w:color="auto"/>
          </w:divBdr>
        </w:div>
        <w:div w:id="1546065702">
          <w:marLeft w:val="1166"/>
          <w:marRight w:val="0"/>
          <w:marTop w:val="62"/>
          <w:marBottom w:val="0"/>
          <w:divBdr>
            <w:top w:val="none" w:sz="0" w:space="0" w:color="auto"/>
            <w:left w:val="none" w:sz="0" w:space="0" w:color="auto"/>
            <w:bottom w:val="none" w:sz="0" w:space="0" w:color="auto"/>
            <w:right w:val="none" w:sz="0" w:space="0" w:color="auto"/>
          </w:divBdr>
        </w:div>
        <w:div w:id="1634864138">
          <w:marLeft w:val="547"/>
          <w:marRight w:val="0"/>
          <w:marTop w:val="86"/>
          <w:marBottom w:val="0"/>
          <w:divBdr>
            <w:top w:val="none" w:sz="0" w:space="0" w:color="auto"/>
            <w:left w:val="none" w:sz="0" w:space="0" w:color="auto"/>
            <w:bottom w:val="none" w:sz="0" w:space="0" w:color="auto"/>
            <w:right w:val="none" w:sz="0" w:space="0" w:color="auto"/>
          </w:divBdr>
        </w:div>
        <w:div w:id="2017689254">
          <w:marLeft w:val="547"/>
          <w:marRight w:val="0"/>
          <w:marTop w:val="86"/>
          <w:marBottom w:val="0"/>
          <w:divBdr>
            <w:top w:val="none" w:sz="0" w:space="0" w:color="auto"/>
            <w:left w:val="none" w:sz="0" w:space="0" w:color="auto"/>
            <w:bottom w:val="none" w:sz="0" w:space="0" w:color="auto"/>
            <w:right w:val="none" w:sz="0" w:space="0" w:color="auto"/>
          </w:divBdr>
        </w:div>
        <w:div w:id="484709434">
          <w:marLeft w:val="547"/>
          <w:marRight w:val="0"/>
          <w:marTop w:val="86"/>
          <w:marBottom w:val="0"/>
          <w:divBdr>
            <w:top w:val="none" w:sz="0" w:space="0" w:color="auto"/>
            <w:left w:val="none" w:sz="0" w:space="0" w:color="auto"/>
            <w:bottom w:val="none" w:sz="0" w:space="0" w:color="auto"/>
            <w:right w:val="none" w:sz="0" w:space="0" w:color="auto"/>
          </w:divBdr>
        </w:div>
        <w:div w:id="568224616">
          <w:marLeft w:val="547"/>
          <w:marRight w:val="0"/>
          <w:marTop w:val="86"/>
          <w:marBottom w:val="0"/>
          <w:divBdr>
            <w:top w:val="none" w:sz="0" w:space="0" w:color="auto"/>
            <w:left w:val="none" w:sz="0" w:space="0" w:color="auto"/>
            <w:bottom w:val="none" w:sz="0" w:space="0" w:color="auto"/>
            <w:right w:val="none" w:sz="0" w:space="0" w:color="auto"/>
          </w:divBdr>
        </w:div>
        <w:div w:id="1376586592">
          <w:marLeft w:val="547"/>
          <w:marRight w:val="0"/>
          <w:marTop w:val="86"/>
          <w:marBottom w:val="0"/>
          <w:divBdr>
            <w:top w:val="none" w:sz="0" w:space="0" w:color="auto"/>
            <w:left w:val="none" w:sz="0" w:space="0" w:color="auto"/>
            <w:bottom w:val="none" w:sz="0" w:space="0" w:color="auto"/>
            <w:right w:val="none" w:sz="0" w:space="0" w:color="auto"/>
          </w:divBdr>
        </w:div>
      </w:divsChild>
    </w:div>
    <w:div w:id="2010324166">
      <w:bodyDiv w:val="1"/>
      <w:marLeft w:val="0"/>
      <w:marRight w:val="0"/>
      <w:marTop w:val="0"/>
      <w:marBottom w:val="0"/>
      <w:divBdr>
        <w:top w:val="none" w:sz="0" w:space="0" w:color="auto"/>
        <w:left w:val="none" w:sz="0" w:space="0" w:color="auto"/>
        <w:bottom w:val="none" w:sz="0" w:space="0" w:color="auto"/>
        <w:right w:val="none" w:sz="0" w:space="0" w:color="auto"/>
      </w:divBdr>
      <w:divsChild>
        <w:div w:id="825514911">
          <w:marLeft w:val="1166"/>
          <w:marRight w:val="0"/>
          <w:marTop w:val="77"/>
          <w:marBottom w:val="0"/>
          <w:divBdr>
            <w:top w:val="none" w:sz="0" w:space="0" w:color="auto"/>
            <w:left w:val="none" w:sz="0" w:space="0" w:color="auto"/>
            <w:bottom w:val="none" w:sz="0" w:space="0" w:color="auto"/>
            <w:right w:val="none" w:sz="0" w:space="0" w:color="auto"/>
          </w:divBdr>
        </w:div>
        <w:div w:id="1663585232">
          <w:marLeft w:val="1166"/>
          <w:marRight w:val="0"/>
          <w:marTop w:val="77"/>
          <w:marBottom w:val="0"/>
          <w:divBdr>
            <w:top w:val="none" w:sz="0" w:space="0" w:color="auto"/>
            <w:left w:val="none" w:sz="0" w:space="0" w:color="auto"/>
            <w:bottom w:val="none" w:sz="0" w:space="0" w:color="auto"/>
            <w:right w:val="none" w:sz="0" w:space="0" w:color="auto"/>
          </w:divBdr>
        </w:div>
        <w:div w:id="503714033">
          <w:marLeft w:val="1166"/>
          <w:marRight w:val="0"/>
          <w:marTop w:val="77"/>
          <w:marBottom w:val="0"/>
          <w:divBdr>
            <w:top w:val="none" w:sz="0" w:space="0" w:color="auto"/>
            <w:left w:val="none" w:sz="0" w:space="0" w:color="auto"/>
            <w:bottom w:val="none" w:sz="0" w:space="0" w:color="auto"/>
            <w:right w:val="none" w:sz="0" w:space="0" w:color="auto"/>
          </w:divBdr>
        </w:div>
        <w:div w:id="1779132579">
          <w:marLeft w:val="1166"/>
          <w:marRight w:val="0"/>
          <w:marTop w:val="77"/>
          <w:marBottom w:val="0"/>
          <w:divBdr>
            <w:top w:val="none" w:sz="0" w:space="0" w:color="auto"/>
            <w:left w:val="none" w:sz="0" w:space="0" w:color="auto"/>
            <w:bottom w:val="none" w:sz="0" w:space="0" w:color="auto"/>
            <w:right w:val="none" w:sz="0" w:space="0" w:color="auto"/>
          </w:divBdr>
        </w:div>
        <w:div w:id="1657293896">
          <w:marLeft w:val="1166"/>
          <w:marRight w:val="0"/>
          <w:marTop w:val="77"/>
          <w:marBottom w:val="0"/>
          <w:divBdr>
            <w:top w:val="none" w:sz="0" w:space="0" w:color="auto"/>
            <w:left w:val="none" w:sz="0" w:space="0" w:color="auto"/>
            <w:bottom w:val="none" w:sz="0" w:space="0" w:color="auto"/>
            <w:right w:val="none" w:sz="0" w:space="0" w:color="auto"/>
          </w:divBdr>
        </w:div>
      </w:divsChild>
    </w:div>
    <w:div w:id="2015641183">
      <w:bodyDiv w:val="1"/>
      <w:marLeft w:val="0"/>
      <w:marRight w:val="0"/>
      <w:marTop w:val="0"/>
      <w:marBottom w:val="0"/>
      <w:divBdr>
        <w:top w:val="none" w:sz="0" w:space="0" w:color="auto"/>
        <w:left w:val="none" w:sz="0" w:space="0" w:color="auto"/>
        <w:bottom w:val="none" w:sz="0" w:space="0" w:color="auto"/>
        <w:right w:val="none" w:sz="0" w:space="0" w:color="auto"/>
      </w:divBdr>
    </w:div>
    <w:div w:id="2046099702">
      <w:bodyDiv w:val="1"/>
      <w:marLeft w:val="0"/>
      <w:marRight w:val="0"/>
      <w:marTop w:val="0"/>
      <w:marBottom w:val="0"/>
      <w:divBdr>
        <w:top w:val="none" w:sz="0" w:space="0" w:color="auto"/>
        <w:left w:val="none" w:sz="0" w:space="0" w:color="auto"/>
        <w:bottom w:val="none" w:sz="0" w:space="0" w:color="auto"/>
        <w:right w:val="none" w:sz="0" w:space="0" w:color="auto"/>
      </w:divBdr>
    </w:div>
    <w:div w:id="2077126851">
      <w:bodyDiv w:val="1"/>
      <w:marLeft w:val="0"/>
      <w:marRight w:val="0"/>
      <w:marTop w:val="0"/>
      <w:marBottom w:val="0"/>
      <w:divBdr>
        <w:top w:val="none" w:sz="0" w:space="0" w:color="auto"/>
        <w:left w:val="none" w:sz="0" w:space="0" w:color="auto"/>
        <w:bottom w:val="none" w:sz="0" w:space="0" w:color="auto"/>
        <w:right w:val="none" w:sz="0" w:space="0" w:color="auto"/>
      </w:divBdr>
    </w:div>
    <w:div w:id="2077971563">
      <w:bodyDiv w:val="1"/>
      <w:marLeft w:val="0"/>
      <w:marRight w:val="0"/>
      <w:marTop w:val="0"/>
      <w:marBottom w:val="0"/>
      <w:divBdr>
        <w:top w:val="none" w:sz="0" w:space="0" w:color="auto"/>
        <w:left w:val="none" w:sz="0" w:space="0" w:color="auto"/>
        <w:bottom w:val="none" w:sz="0" w:space="0" w:color="auto"/>
        <w:right w:val="none" w:sz="0" w:space="0" w:color="auto"/>
      </w:divBdr>
    </w:div>
    <w:div w:id="2106610950">
      <w:bodyDiv w:val="1"/>
      <w:marLeft w:val="0"/>
      <w:marRight w:val="0"/>
      <w:marTop w:val="0"/>
      <w:marBottom w:val="0"/>
      <w:divBdr>
        <w:top w:val="none" w:sz="0" w:space="0" w:color="auto"/>
        <w:left w:val="none" w:sz="0" w:space="0" w:color="auto"/>
        <w:bottom w:val="none" w:sz="0" w:space="0" w:color="auto"/>
        <w:right w:val="none" w:sz="0" w:space="0" w:color="auto"/>
      </w:divBdr>
    </w:div>
    <w:div w:id="2137526140">
      <w:bodyDiv w:val="1"/>
      <w:marLeft w:val="0"/>
      <w:marRight w:val="0"/>
      <w:marTop w:val="0"/>
      <w:marBottom w:val="0"/>
      <w:divBdr>
        <w:top w:val="none" w:sz="0" w:space="0" w:color="auto"/>
        <w:left w:val="none" w:sz="0" w:space="0" w:color="auto"/>
        <w:bottom w:val="none" w:sz="0" w:space="0" w:color="auto"/>
        <w:right w:val="none" w:sz="0" w:space="0" w:color="auto"/>
      </w:divBdr>
    </w:div>
    <w:div w:id="2139640320">
      <w:bodyDiv w:val="1"/>
      <w:marLeft w:val="0"/>
      <w:marRight w:val="0"/>
      <w:marTop w:val="0"/>
      <w:marBottom w:val="0"/>
      <w:divBdr>
        <w:top w:val="none" w:sz="0" w:space="0" w:color="auto"/>
        <w:left w:val="none" w:sz="0" w:space="0" w:color="auto"/>
        <w:bottom w:val="none" w:sz="0" w:space="0" w:color="auto"/>
        <w:right w:val="none" w:sz="0" w:space="0" w:color="auto"/>
      </w:divBdr>
    </w:div>
    <w:div w:id="2145924093">
      <w:bodyDiv w:val="1"/>
      <w:marLeft w:val="0"/>
      <w:marRight w:val="0"/>
      <w:marTop w:val="0"/>
      <w:marBottom w:val="0"/>
      <w:divBdr>
        <w:top w:val="none" w:sz="0" w:space="0" w:color="auto"/>
        <w:left w:val="none" w:sz="0" w:space="0" w:color="auto"/>
        <w:bottom w:val="none" w:sz="0" w:space="0" w:color="auto"/>
        <w:right w:val="none" w:sz="0" w:space="0" w:color="auto"/>
      </w:divBdr>
      <w:divsChild>
        <w:div w:id="149745906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hyperlink" Target="https://www.nyiso.com/documents/20142/11350020/07%202020RNA_MARS-ExternalAreasSimplification.pdf" TargetMode="External"/><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1.emf"/><Relationship Id="rId16"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image" Target="media/image49.emf"/><Relationship Id="rId74" Type="http://schemas.openxmlformats.org/officeDocument/2006/relationships/hyperlink" Target="https://www.npcc.org/Standards/Directories/Forms/Public%20List.aspx" TargetMode="Externa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hyperlink" Target="https://www.nyiso.com/documents/20142/2924447/rpp_mnl.pdf"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hyperlink" Target="https://www.nyiso.com/documents/20142/2226108/2019-CARIS-Phase1-Report-Final.pdf/bcf0ab1a-eac2-0cc3-a2d6-6f374309e961"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0.emf"/><Relationship Id="rId20" Type="http://schemas.openxmlformats.org/officeDocument/2006/relationships/image" Target="media/image6.emf"/><Relationship Id="rId41" Type="http://schemas.openxmlformats.org/officeDocument/2006/relationships/hyperlink" Target="http://www.nysrc.org/NYSRCReliabilityRulesComplianceMonitoring.html" TargetMode="External"/><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3.emf"/><Relationship Id="rId75" Type="http://schemas.openxmlformats.org/officeDocument/2006/relationships/hyperlink" Target="http://www.nysrc.org/NYSRCReliabilityRulesComplianceMonitoring.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hyperlink" Target="https://www.nyiso.com/documents/20142/10773574/NYISO-Climate-Impact-Study-Phase1-Report.pdf" TargetMode="External"/><Relationship Id="rId73" Type="http://schemas.openxmlformats.org/officeDocument/2006/relationships/image" Target="media/image55.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nyiso.com/public/webdocs/documents/tariffs/oatt/att_y.pdf" TargetMode="Externa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4.emf"/><Relationship Id="rId55" Type="http://schemas.openxmlformats.org/officeDocument/2006/relationships/image" Target="media/image39.png"/><Relationship Id="rId76" Type="http://schemas.openxmlformats.org/officeDocument/2006/relationships/hyperlink" Target="https://www.nyiso.com/documents/20142/2224547/Reliability-and-Market-Considerations-for-a-Grid-in-Transition-20191220%20Final.pdf/61a69b2e-0ca3-f18c-cc39-88a793469d50" TargetMode="External"/><Relationship Id="rId7" Type="http://schemas.openxmlformats.org/officeDocument/2006/relationships/settings" Target="settings.xml"/><Relationship Id="rId71" Type="http://schemas.openxmlformats.org/officeDocument/2006/relationships/image" Target="media/image54.emf"/><Relationship Id="rId2" Type="http://schemas.openxmlformats.org/officeDocument/2006/relationships/customXml" Target="../customXml/item2.xml"/><Relationship Id="rId29" Type="http://schemas.openxmlformats.org/officeDocument/2006/relationships/image" Target="media/image15.emf"/></Relationships>
</file>

<file path=word/_rels/footnotes.xml.rels><?xml version="1.0" encoding="UTF-8" standalone="yes"?>
<Relationships xmlns="http://schemas.openxmlformats.org/package/2006/relationships"><Relationship Id="rId8" Type="http://schemas.openxmlformats.org/officeDocument/2006/relationships/hyperlink" Target="http://documents.dps.ny.gov/public/Common/ViewDoc.aspx?DocRefId=%7bC36465AD-E0AE-4823-86B4-183810F247B2%7d" TargetMode="External"/><Relationship Id="rId3" Type="http://schemas.openxmlformats.org/officeDocument/2006/relationships/hyperlink" Target="https://www.nyiso.com/documents/20142/1396324/Cayuga1and2-Generation-Deactivation-Assessment-vFinal.pdf/9328ed90-41aa-da58-354f-d02fa755f260" TargetMode="External"/><Relationship Id="rId7" Type="http://schemas.openxmlformats.org/officeDocument/2006/relationships/hyperlink" Target="http://documents.dps.ny.gov/public/Common/ViewDoc.aspx?DocRefId=%7bDEEEB5EF-4676-49AD-B8E7-C72681D99C49%7d" TargetMode="External"/><Relationship Id="rId2" Type="http://schemas.openxmlformats.org/officeDocument/2006/relationships/hyperlink" Target="https://www.nyiso.com/cspp" TargetMode="External"/><Relationship Id="rId1" Type="http://schemas.openxmlformats.org/officeDocument/2006/relationships/hyperlink" Target="https://www.dec.ny.gov/regulations/116131.html" TargetMode="External"/><Relationship Id="rId6" Type="http://schemas.openxmlformats.org/officeDocument/2006/relationships/hyperlink" Target="http://documents.dps.ny.gov/public/MatterManagement/CaseMaster.aspx?MatterCaseNo=20-E-0197&amp;submit=Search" TargetMode="External"/><Relationship Id="rId11" Type="http://schemas.openxmlformats.org/officeDocument/2006/relationships/hyperlink" Target="https://www.nyiso.com/documents/20142/2924447/rel-anl-data-mnl.pdf/2d42445e-317d-b7e9-24b8-c983ae6518ec" TargetMode="External"/><Relationship Id="rId5" Type="http://schemas.openxmlformats.org/officeDocument/2006/relationships/hyperlink" Target="https://www.nyiso.com/documents/20142/1396324/Cayuga1-Mothball.pdf/3cb586c3-4cb1-7fde-1a8e-f9a0a0e12d38" TargetMode="External"/><Relationship Id="rId10" Type="http://schemas.openxmlformats.org/officeDocument/2006/relationships/hyperlink" Target="https://www.nerc.com/comm/PC_Reliability_Guidelines_DL/Reliability%20Guideline%20-%20Reactive%20Power%20Planning.pdf" TargetMode="External"/><Relationship Id="rId4" Type="http://schemas.openxmlformats.org/officeDocument/2006/relationships/hyperlink" Target="https://www.nyiso.com/documents/20142/1396324/Somerset-Generator-Deactivation-Assessment-vFinal.pdf/f1fcf261-3d85-9f96-ef8f-70bdd1586505" TargetMode="External"/><Relationship Id="rId9" Type="http://schemas.openxmlformats.org/officeDocument/2006/relationships/hyperlink" Target="https://www.nerc.com/docs/pc/tis/FIDVR_Tech_Ref%20V1-2_PC_Approv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ec\Desktop\Word_Template_Reports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B5F1DC652FC34983F7BD69212C7224" ma:contentTypeVersion="1" ma:contentTypeDescription="Create a new document." ma:contentTypeScope="" ma:versionID="9dab43056dbde125381f6b4e85d9e120">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5D59-8896-4072-90B1-BB798FCB2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B83C7A-45C4-4136-925C-61FEB86C8B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2A1481C-E547-4557-81D6-137C00FCE10D}">
  <ds:schemaRefs>
    <ds:schemaRef ds:uri="http://schemas.microsoft.com/sharepoint/v3/contenttype/forms"/>
  </ds:schemaRefs>
</ds:datastoreItem>
</file>

<file path=customXml/itemProps4.xml><?xml version="1.0" encoding="utf-8"?>
<ds:datastoreItem xmlns:ds="http://schemas.openxmlformats.org/officeDocument/2006/customXml" ds:itemID="{FC4FE221-0714-4014-8974-E66FAF4A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Word_Template_Reports_v2.dotx</Template>
  <TotalTime>51</TotalTime>
  <Pages>82</Pages>
  <Words>18167</Words>
  <Characters>103554</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2018 RNA Report</vt:lpstr>
    </vt:vector>
  </TitlesOfParts>
  <Company>NYISO</Company>
  <LinksUpToDate>false</LinksUpToDate>
  <CharactersWithSpaces>121479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RNA Report</dc:title>
  <dc:creator>Draft For August 22, 2018 ESPWG/TPAS</dc:creator>
  <cp:lastModifiedBy>Popa, Laura</cp:lastModifiedBy>
  <cp:revision>8</cp:revision>
  <cp:lastPrinted>2018-08-08T20:34:00Z</cp:lastPrinted>
  <dcterms:created xsi:type="dcterms:W3CDTF">2020-08-14T02:14:00Z</dcterms:created>
  <dcterms:modified xsi:type="dcterms:W3CDTF">2020-08-14T12:32:00Z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0x01010099B5F1DC652FC34983F7BD69212C7224</vt:lpwstr>
  </property>
  <property fmtid="{D5CDD505-2E9C-101B-9397-08002B2CF9AE}" pid="3" name="_AdHocReviewCycleID">
    <vt:i4>-799070201</vt:i4>
  </property>
  <property fmtid="{D5CDD505-2E9C-101B-9397-08002B2CF9AE}" pid="4" name="_NewReviewCycle">
    <vt:lpwstr/>
  </property>
  <property fmtid="{D5CDD505-2E9C-101B-9397-08002B2CF9AE}" pid="5" name="_EmailSubject">
    <vt:lpwstr>Aug 20 ESPWG / 3 (of 3) RNA files for posting </vt:lpwstr>
  </property>
  <property fmtid="{D5CDD505-2E9C-101B-9397-08002B2CF9AE}" pid="6" name="_AuthorEmail">
    <vt:lpwstr>LPopa@nyiso.com</vt:lpwstr>
  </property>
  <property fmtid="{D5CDD505-2E9C-101B-9397-08002B2CF9AE}" pid="7" name="_AuthorEmailDisplayName">
    <vt:lpwstr>Popa, Laura</vt:lpwstr>
  </property>
  <property fmtid="{D5CDD505-2E9C-101B-9397-08002B2CF9AE}" pid="8" name="_PreviousAdHocReviewCycleID">
    <vt:i4>639169788</vt:i4>
  </property>
</Properties>
</file>