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1.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2.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3.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81134402" w:displacedByCustomXml="next"/>
    <w:bookmarkEnd w:id="0" w:displacedByCustomXml="next"/>
    <w:bookmarkStart w:id="1" w:name="_Toc478382239" w:displacedByCustomXml="next"/>
    <w:sdt>
      <w:sdtPr>
        <w:id w:val="405652835"/>
        <w:docPartObj>
          <w:docPartGallery w:val="Cover Pages"/>
          <w:docPartUnique/>
        </w:docPartObj>
      </w:sdtPr>
      <w:sdtEndPr>
        <w:rPr>
          <w:rFonts w:ascii="Franklin Gothic Medium" w:hAnsi="Franklin Gothic Medium"/>
          <w:color w:val="005F86"/>
          <w:sz w:val="32"/>
          <w:szCs w:val="32"/>
        </w:rPr>
      </w:sdtEndPr>
      <w:sdtContent>
        <w:p w14:paraId="670E17B4" w14:textId="7C05A14D" w:rsidR="00440DCA" w:rsidRDefault="00200CA4" w:rsidP="00571CB8">
          <w:pPr>
            <w:pStyle w:val="BodyText"/>
            <w:ind w:left="-360" w:firstLine="0"/>
            <w:jc w:val="left"/>
            <w:rPr>
              <w:color w:val="FF0000"/>
            </w:rPr>
          </w:pPr>
          <w:r>
            <w:rPr>
              <w:noProof/>
            </w:rPr>
            <mc:AlternateContent>
              <mc:Choice Requires="wpg">
                <w:drawing>
                  <wp:anchor distT="0" distB="0" distL="114300" distR="114300" simplePos="0" relativeHeight="251663360" behindDoc="1" locked="0" layoutInCell="1" allowOverlap="1" wp14:anchorId="29DAF323" wp14:editId="15224962">
                    <wp:simplePos x="0" y="0"/>
                    <wp:positionH relativeFrom="margin">
                      <wp:posOffset>-275935</wp:posOffset>
                    </wp:positionH>
                    <wp:positionV relativeFrom="margin">
                      <wp:posOffset>-161746</wp:posOffset>
                    </wp:positionV>
                    <wp:extent cx="6568459" cy="8829598"/>
                    <wp:effectExtent l="0" t="0" r="80010" b="0"/>
                    <wp:wrapNone/>
                    <wp:docPr id="50"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8459" cy="8829598"/>
                              <a:chOff x="0" y="849"/>
                              <a:chExt cx="11212" cy="14993"/>
                            </a:xfrm>
                          </wpg:grpSpPr>
                          <wps:wsp>
                            <wps:cNvPr id="51" name="Freeform 12"/>
                            <wps:cNvSpPr>
                              <a:spLocks/>
                            </wps:cNvSpPr>
                            <wps:spPr bwMode="auto">
                              <a:xfrm>
                                <a:off x="264" y="849"/>
                                <a:ext cx="10948" cy="12358"/>
                              </a:xfrm>
                              <a:custGeom>
                                <a:avLst/>
                                <a:gdLst>
                                  <a:gd name="T0" fmla="+- 0 720 720"/>
                                  <a:gd name="T1" fmla="*/ T0 w 10719"/>
                                  <a:gd name="T2" fmla="+- 0 1127 1127"/>
                                  <a:gd name="T3" fmla="*/ 1127 h 11935"/>
                                  <a:gd name="T4" fmla="+- 0 720 720"/>
                                  <a:gd name="T5" fmla="*/ T4 w 10719"/>
                                  <a:gd name="T6" fmla="+- 0 13061 1127"/>
                                  <a:gd name="T7" fmla="*/ 13061 h 11935"/>
                                  <a:gd name="T8" fmla="+- 0 11438 720"/>
                                  <a:gd name="T9" fmla="*/ T8 w 10719"/>
                                  <a:gd name="T10" fmla="+- 0 6481 1127"/>
                                  <a:gd name="T11" fmla="*/ 6481 h 11935"/>
                                  <a:gd name="T12" fmla="+- 0 720 720"/>
                                  <a:gd name="T13" fmla="*/ T12 w 10719"/>
                                  <a:gd name="T14" fmla="+- 0 1127 1127"/>
                                  <a:gd name="T15" fmla="*/ 1127 h 11935"/>
                                </a:gdLst>
                                <a:ahLst/>
                                <a:cxnLst>
                                  <a:cxn ang="0">
                                    <a:pos x="T1" y="T3"/>
                                  </a:cxn>
                                  <a:cxn ang="0">
                                    <a:pos x="T5" y="T7"/>
                                  </a:cxn>
                                  <a:cxn ang="0">
                                    <a:pos x="T9" y="T11"/>
                                  </a:cxn>
                                  <a:cxn ang="0">
                                    <a:pos x="T13" y="T15"/>
                                  </a:cxn>
                                </a:cxnLst>
                                <a:rect l="0" t="0" r="r" b="b"/>
                                <a:pathLst>
                                  <a:path w="10719" h="11935">
                                    <a:moveTo>
                                      <a:pt x="0" y="0"/>
                                    </a:moveTo>
                                    <a:lnTo>
                                      <a:pt x="0" y="11934"/>
                                    </a:lnTo>
                                    <a:lnTo>
                                      <a:pt x="10718" y="5354"/>
                                    </a:lnTo>
                                    <a:lnTo>
                                      <a:pt x="0" y="0"/>
                                    </a:lnTo>
                                    <a:close/>
                                  </a:path>
                                </a:pathLst>
                              </a:custGeom>
                              <a:solidFill>
                                <a:srgbClr val="6DD2F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16D52C1" w14:textId="77777777" w:rsidR="00933FB9" w:rsidRDefault="00933FB9" w:rsidP="00B446AE">
                                  <w:pPr>
                                    <w:ind w:left="-540" w:firstLine="0"/>
                                    <w:jc w:val="center"/>
                                  </w:pPr>
                                </w:p>
                              </w:txbxContent>
                            </wps:txbx>
                            <wps:bodyPr rot="0" vert="horz" wrap="square" lIns="91440" tIns="45720" rIns="91440" bIns="45720" anchor="t" anchorCtr="0" upright="1">
                              <a:noAutofit/>
                            </wps:bodyPr>
                          </wps:wsp>
                          <wps:wsp>
                            <wps:cNvPr id="52" name="Freeform 11"/>
                            <wps:cNvSpPr>
                              <a:spLocks/>
                            </wps:cNvSpPr>
                            <wps:spPr bwMode="auto">
                              <a:xfrm>
                                <a:off x="264" y="7822"/>
                                <a:ext cx="6757" cy="7238"/>
                              </a:xfrm>
                              <a:custGeom>
                                <a:avLst/>
                                <a:gdLst>
                                  <a:gd name="T0" fmla="+- 0 720 720"/>
                                  <a:gd name="T1" fmla="*/ T0 w 6302"/>
                                  <a:gd name="T2" fmla="+- 0 7823 7823"/>
                                  <a:gd name="T3" fmla="*/ 7823 h 6926"/>
                                  <a:gd name="T4" fmla="+- 0 720 720"/>
                                  <a:gd name="T5" fmla="*/ T4 w 6302"/>
                                  <a:gd name="T6" fmla="+- 0 14749 7823"/>
                                  <a:gd name="T7" fmla="*/ 14749 h 6926"/>
                                  <a:gd name="T8" fmla="+- 0 7022 720"/>
                                  <a:gd name="T9" fmla="*/ T8 w 6302"/>
                                  <a:gd name="T10" fmla="+- 0 10823 7823"/>
                                  <a:gd name="T11" fmla="*/ 10823 h 6926"/>
                                  <a:gd name="T12" fmla="+- 0 720 720"/>
                                  <a:gd name="T13" fmla="*/ T12 w 6302"/>
                                  <a:gd name="T14" fmla="+- 0 7823 7823"/>
                                  <a:gd name="T15" fmla="*/ 7823 h 6926"/>
                                </a:gdLst>
                                <a:ahLst/>
                                <a:cxnLst>
                                  <a:cxn ang="0">
                                    <a:pos x="T1" y="T3"/>
                                  </a:cxn>
                                  <a:cxn ang="0">
                                    <a:pos x="T5" y="T7"/>
                                  </a:cxn>
                                  <a:cxn ang="0">
                                    <a:pos x="T9" y="T11"/>
                                  </a:cxn>
                                  <a:cxn ang="0">
                                    <a:pos x="T13" y="T15"/>
                                  </a:cxn>
                                </a:cxnLst>
                                <a:rect l="0" t="0" r="r" b="b"/>
                                <a:pathLst>
                                  <a:path w="6302" h="6926">
                                    <a:moveTo>
                                      <a:pt x="0" y="0"/>
                                    </a:moveTo>
                                    <a:lnTo>
                                      <a:pt x="0" y="6926"/>
                                    </a:lnTo>
                                    <a:lnTo>
                                      <a:pt x="6302" y="3000"/>
                                    </a:lnTo>
                                    <a:lnTo>
                                      <a:pt x="0" y="0"/>
                                    </a:lnTo>
                                    <a:close/>
                                  </a:path>
                                </a:pathLst>
                              </a:custGeom>
                              <a:solidFill>
                                <a:srgbClr val="CEDEEF">
                                  <a:alpha val="6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Line 8"/>
                            <wps:cNvCnPr>
                              <a:cxnSpLocks noChangeShapeType="1"/>
                            </wps:cNvCnPr>
                            <wps:spPr bwMode="auto">
                              <a:xfrm>
                                <a:off x="8623" y="13290"/>
                                <a:ext cx="2555" cy="0"/>
                              </a:xfrm>
                              <a:prstGeom prst="line">
                                <a:avLst/>
                              </a:prstGeom>
                              <a:noFill/>
                              <a:ln w="50800">
                                <a:solidFill>
                                  <a:srgbClr val="7FD8F2"/>
                                </a:solidFill>
                                <a:prstDash val="dot"/>
                                <a:round/>
                                <a:headEnd/>
                                <a:tailEnd/>
                              </a:ln>
                              <a:extLst>
                                <a:ext uri="{909E8E84-426E-40DD-AFC4-6F175D3DCCD1}">
                                  <a14:hiddenFill xmlns:a14="http://schemas.microsoft.com/office/drawing/2010/main">
                                    <a:noFill/>
                                  </a14:hiddenFill>
                                </a:ext>
                              </a:extLst>
                            </wps:spPr>
                            <wps:bodyPr/>
                          </wps:wsp>
                          <wps:wsp>
                            <wps:cNvPr id="56" name="AutoShape 7"/>
                            <wps:cNvSpPr>
                              <a:spLocks/>
                            </wps:cNvSpPr>
                            <wps:spPr bwMode="auto">
                              <a:xfrm>
                                <a:off x="0" y="15840"/>
                                <a:ext cx="2920" cy="2"/>
                              </a:xfrm>
                              <a:custGeom>
                                <a:avLst/>
                                <a:gdLst>
                                  <a:gd name="T0" fmla="*/ 8380 w 2920"/>
                                  <a:gd name="T1" fmla="*/ 8380 w 2920"/>
                                  <a:gd name="T2" fmla="*/ 11300 w 2920"/>
                                  <a:gd name="T3" fmla="*/ 11300 w 2920"/>
                                </a:gdLst>
                                <a:ahLst/>
                                <a:cxnLst>
                                  <a:cxn ang="0">
                                    <a:pos x="T0" y="0"/>
                                  </a:cxn>
                                  <a:cxn ang="0">
                                    <a:pos x="T1" y="0"/>
                                  </a:cxn>
                                  <a:cxn ang="0">
                                    <a:pos x="T2" y="0"/>
                                  </a:cxn>
                                  <a:cxn ang="0">
                                    <a:pos x="T3" y="0"/>
                                  </a:cxn>
                                </a:cxnLst>
                                <a:rect l="0" t="0" r="r" b="b"/>
                                <a:pathLst>
                                  <a:path w="2920">
                                    <a:moveTo>
                                      <a:pt x="8380" y="-2550"/>
                                    </a:moveTo>
                                    <a:lnTo>
                                      <a:pt x="8380" y="-2550"/>
                                    </a:lnTo>
                                    <a:moveTo>
                                      <a:pt x="11300" y="-2550"/>
                                    </a:moveTo>
                                    <a:lnTo>
                                      <a:pt x="11300" y="-2550"/>
                                    </a:lnTo>
                                  </a:path>
                                </a:pathLst>
                              </a:custGeom>
                              <a:noFill/>
                              <a:ln w="50800">
                                <a:solidFill>
                                  <a:srgbClr val="7FD8F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 name="Line 6"/>
                            <wps:cNvCnPr>
                              <a:cxnSpLocks noChangeShapeType="1"/>
                            </wps:cNvCnPr>
                            <wps:spPr bwMode="auto">
                              <a:xfrm>
                                <a:off x="8623" y="11270"/>
                                <a:ext cx="2555" cy="0"/>
                              </a:xfrm>
                              <a:prstGeom prst="line">
                                <a:avLst/>
                              </a:prstGeom>
                              <a:noFill/>
                              <a:ln w="50800">
                                <a:solidFill>
                                  <a:srgbClr val="7FD8F2"/>
                                </a:solidFill>
                                <a:prstDash val="dot"/>
                                <a:round/>
                                <a:headEnd/>
                                <a:tailEnd/>
                              </a:ln>
                              <a:extLst>
                                <a:ext uri="{909E8E84-426E-40DD-AFC4-6F175D3DCCD1}">
                                  <a14:hiddenFill xmlns:a14="http://schemas.microsoft.com/office/drawing/2010/main">
                                    <a:noFill/>
                                  </a14:hiddenFill>
                                </a:ext>
                              </a:extLst>
                            </wps:spPr>
                            <wps:bodyPr/>
                          </wps:wsp>
                          <wps:wsp>
                            <wps:cNvPr id="58" name="AutoShape 5"/>
                            <wps:cNvSpPr>
                              <a:spLocks/>
                            </wps:cNvSpPr>
                            <wps:spPr bwMode="auto">
                              <a:xfrm>
                                <a:off x="0" y="15840"/>
                                <a:ext cx="2920" cy="2"/>
                              </a:xfrm>
                              <a:custGeom>
                                <a:avLst/>
                                <a:gdLst>
                                  <a:gd name="T0" fmla="*/ 8380 w 2920"/>
                                  <a:gd name="T1" fmla="*/ 8380 w 2920"/>
                                  <a:gd name="T2" fmla="*/ 11300 w 2920"/>
                                  <a:gd name="T3" fmla="*/ 11300 w 2920"/>
                                </a:gdLst>
                                <a:ahLst/>
                                <a:cxnLst>
                                  <a:cxn ang="0">
                                    <a:pos x="T0" y="0"/>
                                  </a:cxn>
                                  <a:cxn ang="0">
                                    <a:pos x="T1" y="0"/>
                                  </a:cxn>
                                  <a:cxn ang="0">
                                    <a:pos x="T2" y="0"/>
                                  </a:cxn>
                                  <a:cxn ang="0">
                                    <a:pos x="T3" y="0"/>
                                  </a:cxn>
                                </a:cxnLst>
                                <a:rect l="0" t="0" r="r" b="b"/>
                                <a:pathLst>
                                  <a:path w="2920">
                                    <a:moveTo>
                                      <a:pt x="8380" y="-4570"/>
                                    </a:moveTo>
                                    <a:lnTo>
                                      <a:pt x="8380" y="-4570"/>
                                    </a:lnTo>
                                    <a:moveTo>
                                      <a:pt x="11300" y="-4570"/>
                                    </a:moveTo>
                                    <a:lnTo>
                                      <a:pt x="11300" y="-4570"/>
                                    </a:lnTo>
                                  </a:path>
                                </a:pathLst>
                              </a:custGeom>
                              <a:noFill/>
                              <a:ln w="50800">
                                <a:solidFill>
                                  <a:srgbClr val="7FD8F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DAF323" id="Group 4" o:spid="_x0000_s1026" style="position:absolute;left:0;text-align:left;margin-left:-21.75pt;margin-top:-12.75pt;width:517.2pt;height:695.25pt;z-index:-251653120;mso-position-horizontal-relative:margin;mso-position-vertical-relative:margin" coordorigin=",849" coordsize="11212,14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">
                    <v:shape id="Freeform 12" o:spid="_x0000_s1027" style="position:absolute;left:264;top:849;width:10948;height:12358;visibility:visible;mso-wrap-style:square;v-text-anchor:top" coordsize="10719,119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" adj="-11796480,,5400" path="m,l,11934,10718,5354,,xe" fillcolor="#6dd2f0" stroked="f">
                      <v:stroke joinstyle="round"/>
                      <v:formulas/>
                      <v:path arrowok="t" o:connecttype="custom" o:connectlocs="0,1167;0,13524;10947,6711;0,1167" o:connectangles="0,0,0,0" textboxrect="0,0,10719,11935"/>
                      <v:textbox>
                        <w:txbxContent>
                          <w:p w14:paraId="416D52C1" w14:textId="77777777" w:rsidR="00933FB9" w:rsidRDefault="00933FB9" w:rsidP="00B446AE">
                            <w:pPr>
                              <w:ind w:left="-540" w:firstLine="0"/>
                              <w:jc w:val="center"/>
                            </w:pPr>
                          </w:p>
                        </w:txbxContent>
                      </v:textbox>
                    </v:shape>
                    <v:shape id="Freeform 11" o:spid="_x0000_s1028" style="position:absolute;left:264;top:7822;width:6757;height:7238;visibility:visible;mso-wrap-style:square;v-text-anchor:top" coordsize="6302,6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" path="m,l,6926,6302,3000,,xe" fillcolor="#cedeef" stroked="f">
                      <v:fill opacity="41377f"/>
                      <v:path arrowok="t" o:connecttype="custom" o:connectlocs="0,8175;0,15413;6757,11311;0,8175" o:connectangles="0,0,0,0"/>
                    </v:shape>
                    <v:line id="Line 8" o:spid="_x0000_s1029" style="position:absolute;visibility:visible;mso-wrap-style:square" from="8623,13290" to="11178,13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" strokecolor="#7fd8f2" strokeweight="4pt">
                      <v:stroke dashstyle="dot"/>
                    </v:line>
                    <v:shape id="AutoShape 7" o:spid="_x0000_s1030" style="position:absolute;top:15840;width:2920;height:2;visibility:visible;mso-wrap-style:square;v-text-anchor:top" coordsize="29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" path="m8380,-2550r,m11300,-2550r,e" filled="f" strokecolor="#7fd8f2" strokeweight="4pt">
                      <v:path arrowok="t" o:connecttype="custom" o:connectlocs="8380,0;8380,0;11300,0;11300,0" o:connectangles="0,0,0,0"/>
                    </v:shape>
                    <v:line id="Line 6" o:spid="_x0000_s1031" style="position:absolute;visibility:visible;mso-wrap-style:square" from="8623,11270" to="11178,11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" strokecolor="#7fd8f2" strokeweight="4pt">
                      <v:stroke dashstyle="dot"/>
                    </v:line>
                    <v:shape id="AutoShape 5" o:spid="_x0000_s1032" style="position:absolute;top:15840;width:2920;height:2;visibility:visible;mso-wrap-style:square;v-text-anchor:top" coordsize="29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" path="m8380,-4570r,m11300,-4570r,e" filled="f" strokecolor="#7fd8f2" strokeweight="4pt">
                      <v:path arrowok="t" o:connecttype="custom" o:connectlocs="8380,0;8380,0;11300,0;11300,0" o:connectangles="0,0,0,0"/>
                    </v:shape>
                    <w10:wrap anchorx="margin" anchory="margin"/>
                  </v:group>
                </w:pict>
              </mc:Fallback>
            </mc:AlternateContent>
          </w:r>
        </w:p>
        <w:p w14:paraId="22B038DF" w14:textId="7F0A08AC" w:rsidR="00BF2A03" w:rsidRDefault="00200CA4" w:rsidP="00571CB8">
          <w:pPr>
            <w:pStyle w:val="BodyText"/>
            <w:ind w:left="-360" w:firstLine="0"/>
            <w:jc w:val="left"/>
            <w:rPr>
              <w:rFonts w:ascii="Franklin Gothic Medium" w:hAnsi="Franklin Gothic Medium"/>
              <w:color w:val="005F86"/>
              <w:sz w:val="32"/>
              <w:szCs w:val="32"/>
            </w:rPr>
          </w:pPr>
          <w:r>
            <w:rPr>
              <w:noProof/>
            </w:rPr>
            <w:drawing>
              <wp:anchor distT="0" distB="0" distL="114300" distR="114300" simplePos="0" relativeHeight="251687936" behindDoc="0" locked="0" layoutInCell="1" allowOverlap="1" wp14:anchorId="6CA864FF" wp14:editId="19605EB0">
                <wp:simplePos x="0" y="0"/>
                <wp:positionH relativeFrom="margin">
                  <wp:posOffset>3400425</wp:posOffset>
                </wp:positionH>
                <wp:positionV relativeFrom="paragraph">
                  <wp:posOffset>11430</wp:posOffset>
                </wp:positionV>
                <wp:extent cx="2819400" cy="55245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19400" cy="552450"/>
                        </a:xfrm>
                        <a:prstGeom prst="rect">
                          <a:avLst/>
                        </a:prstGeom>
                        <a:noFill/>
                        <a:ln>
                          <a:noFill/>
                        </a:ln>
                      </pic:spPr>
                    </pic:pic>
                  </a:graphicData>
                </a:graphic>
              </wp:anchor>
            </w:drawing>
          </w:r>
        </w:p>
      </w:sdtContent>
    </w:sdt>
    <w:p w14:paraId="5D828CBD" w14:textId="1ABBBFA5" w:rsidR="00BF2A03" w:rsidRDefault="00BF2A03" w:rsidP="00571CB8">
      <w:pPr>
        <w:pStyle w:val="BodyText"/>
        <w:ind w:left="-360" w:firstLine="0"/>
        <w:jc w:val="left"/>
        <w:rPr>
          <w:rFonts w:ascii="Franklin Gothic Medium" w:hAnsi="Franklin Gothic Medium"/>
          <w:color w:val="005F86"/>
          <w:sz w:val="32"/>
          <w:szCs w:val="32"/>
        </w:rPr>
      </w:pPr>
    </w:p>
    <w:p w14:paraId="745E24AB" w14:textId="47111D27" w:rsidR="00BF2A03" w:rsidRDefault="008F3FB7" w:rsidP="00571CB8">
      <w:pPr>
        <w:ind w:left="-360" w:firstLine="0"/>
        <w:rPr>
          <w:rFonts w:ascii="Franklin Gothic Medium" w:eastAsia="Arial Narrow" w:hAnsi="Franklin Gothic Medium"/>
          <w:bCs/>
          <w:color w:val="005F86"/>
          <w:sz w:val="32"/>
          <w:szCs w:val="32"/>
          <w:lang w:bidi="ar-SA"/>
        </w:rPr>
      </w:pPr>
      <w:r>
        <w:rPr>
          <w:noProof/>
          <w:lang w:bidi="ar-SA"/>
        </w:rPr>
        <mc:AlternateContent>
          <mc:Choice Requires="wps">
            <w:drawing>
              <wp:anchor distT="0" distB="0" distL="114300" distR="114300" simplePos="0" relativeHeight="251669504" behindDoc="0" locked="0" layoutInCell="1" allowOverlap="1" wp14:anchorId="5691797E" wp14:editId="0BD68186">
                <wp:simplePos x="0" y="0"/>
                <wp:positionH relativeFrom="margin">
                  <wp:posOffset>2506436</wp:posOffset>
                </wp:positionH>
                <wp:positionV relativeFrom="paragraph">
                  <wp:posOffset>6324146</wp:posOffset>
                </wp:positionV>
                <wp:extent cx="3771265" cy="927373"/>
                <wp:effectExtent l="0" t="0" r="0" b="6350"/>
                <wp:wrapNone/>
                <wp:docPr id="62" name="Text Box 62"/>
                <wp:cNvGraphicFramePr/>
                <a:graphic xmlns:a="http://schemas.openxmlformats.org/drawingml/2006/main">
                  <a:graphicData uri="http://schemas.microsoft.com/office/word/2010/wordprocessingShape">
                    <wps:wsp>
                      <wps:cNvSpPr txBox="1"/>
                      <wps:spPr>
                        <a:xfrm>
                          <a:off x="0" y="0"/>
                          <a:ext cx="3771265" cy="927373"/>
                        </a:xfrm>
                        <a:prstGeom prst="rect">
                          <a:avLst/>
                        </a:prstGeom>
                        <a:noFill/>
                        <a:ln w="6350">
                          <a:noFill/>
                        </a:ln>
                      </wps:spPr>
                      <wps:txbx>
                        <w:txbxContent>
                          <w:p w14:paraId="186B5A93" w14:textId="1B18CFB5" w:rsidR="00933FB9" w:rsidRDefault="00933FB9" w:rsidP="008077DC">
                            <w:pPr>
                              <w:widowControl w:val="0"/>
                              <w:autoSpaceDE w:val="0"/>
                              <w:autoSpaceDN w:val="0"/>
                              <w:spacing w:after="0"/>
                              <w:ind w:left="0" w:right="105" w:firstLine="0"/>
                              <w:jc w:val="right"/>
                              <w:rPr>
                                <w:rFonts w:ascii="Franklin Gothic Demi Cond" w:eastAsia="Franklin Gothic Demi Cond" w:hAnsi="Franklin Gothic Demi Cond" w:cs="Franklin Gothic Demi Cond"/>
                                <w:bCs/>
                                <w:color w:val="4F81BD" w:themeColor="accent1"/>
                                <w:w w:val="110"/>
                                <w:sz w:val="22"/>
                              </w:rPr>
                            </w:pPr>
                            <w:r>
                              <w:rPr>
                                <w:rFonts w:ascii="Franklin Gothic Demi Cond" w:eastAsia="Franklin Gothic Demi Cond" w:hAnsi="Franklin Gothic Demi Cond" w:cs="Franklin Gothic Demi Cond"/>
                                <w:bCs/>
                                <w:color w:val="4F81BD" w:themeColor="accent1"/>
                                <w:w w:val="110"/>
                                <w:sz w:val="22"/>
                              </w:rPr>
                              <w:t>Draft Report</w:t>
                            </w:r>
                          </w:p>
                          <w:p w14:paraId="21E51AC3" w14:textId="19218BCE" w:rsidR="00933FB9" w:rsidRDefault="00933FB9" w:rsidP="008077DC">
                            <w:pPr>
                              <w:widowControl w:val="0"/>
                              <w:autoSpaceDE w:val="0"/>
                              <w:autoSpaceDN w:val="0"/>
                              <w:spacing w:after="0"/>
                              <w:ind w:left="0" w:right="105" w:firstLine="0"/>
                              <w:jc w:val="right"/>
                              <w:rPr>
                                <w:rFonts w:ascii="Franklin Gothic Demi Cond" w:eastAsia="Franklin Gothic Demi Cond" w:hAnsi="Franklin Gothic Demi Cond" w:cs="Franklin Gothic Demi Cond"/>
                                <w:bCs/>
                                <w:color w:val="4F81BD" w:themeColor="accent1"/>
                                <w:w w:val="110"/>
                                <w:sz w:val="22"/>
                              </w:rPr>
                            </w:pPr>
                            <w:r>
                              <w:rPr>
                                <w:rFonts w:ascii="Franklin Gothic Demi Cond" w:eastAsia="Franklin Gothic Demi Cond" w:hAnsi="Franklin Gothic Demi Cond" w:cs="Franklin Gothic Demi Cond"/>
                                <w:bCs/>
                                <w:color w:val="4F81BD" w:themeColor="accent1"/>
                                <w:w w:val="110"/>
                                <w:sz w:val="22"/>
                              </w:rPr>
                              <w:t>For September 2, 2021 ESPWG/TPAS</w:t>
                            </w:r>
                          </w:p>
                          <w:p w14:paraId="2DFCE722" w14:textId="77777777" w:rsidR="00933FB9" w:rsidRDefault="00933FB9" w:rsidP="008077DC">
                            <w:pPr>
                              <w:widowControl w:val="0"/>
                              <w:autoSpaceDE w:val="0"/>
                              <w:autoSpaceDN w:val="0"/>
                              <w:spacing w:after="0"/>
                              <w:ind w:left="0" w:right="105" w:firstLine="0"/>
                              <w:jc w:val="right"/>
                              <w:rPr>
                                <w:rFonts w:ascii="Franklin Gothic Demi Cond" w:eastAsia="Franklin Gothic Demi Cond" w:hAnsi="Franklin Gothic Demi Cond" w:cs="Franklin Gothic Demi Cond"/>
                                <w:bCs/>
                                <w:color w:val="4F81BD" w:themeColor="accent1"/>
                                <w:w w:val="110"/>
                                <w:sz w:val="22"/>
                              </w:rPr>
                            </w:pPr>
                          </w:p>
                          <w:p w14:paraId="5A3BD240" w14:textId="77777777" w:rsidR="00933FB9" w:rsidRPr="00424949" w:rsidRDefault="00933FB9" w:rsidP="008077DC">
                            <w:pPr>
                              <w:widowControl w:val="0"/>
                              <w:autoSpaceDE w:val="0"/>
                              <w:autoSpaceDN w:val="0"/>
                              <w:spacing w:after="0"/>
                              <w:ind w:left="0" w:right="105" w:firstLine="0"/>
                              <w:jc w:val="right"/>
                              <w:rPr>
                                <w:rFonts w:ascii="Franklin Gothic Demi Cond" w:eastAsia="Franklin Gothic Demi Cond" w:hAnsi="Franklin Gothic Demi Cond" w:cs="Franklin Gothic Demi Cond"/>
                                <w:bCs/>
                                <w:color w:val="4F81BD" w:themeColor="accent1"/>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91797E" id="_x0000_t202" coordsize="21600,21600" o:spt="202" path="m,l,21600r21600,l21600,xe">
                <v:stroke joinstyle="miter"/>
                <v:path gradientshapeok="t" o:connecttype="rect"/>
              </v:shapetype>
              <v:shape id="Text Box 62" o:spid="_x0000_s1033" type="#_x0000_t202" style="position:absolute;left:0;text-align:left;margin-left:197.35pt;margin-top:497.95pt;width:296.95pt;height:73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" filled="f" stroked="f" strokeweight=".5pt">
                <v:textbox>
                  <w:txbxContent>
                    <w:p w14:paraId="186B5A93" w14:textId="1B18CFB5" w:rsidR="00933FB9" w:rsidRDefault="00933FB9" w:rsidP="008077DC">
                      <w:pPr>
                        <w:widowControl w:val="0"/>
                        <w:autoSpaceDE w:val="0"/>
                        <w:autoSpaceDN w:val="0"/>
                        <w:spacing w:after="0"/>
                        <w:ind w:left="0" w:right="105" w:firstLine="0"/>
                        <w:jc w:val="right"/>
                        <w:rPr>
                          <w:rFonts w:ascii="Franklin Gothic Demi Cond" w:eastAsia="Franklin Gothic Demi Cond" w:hAnsi="Franklin Gothic Demi Cond" w:cs="Franklin Gothic Demi Cond"/>
                          <w:bCs/>
                          <w:color w:val="4F81BD" w:themeColor="accent1"/>
                          <w:w w:val="110"/>
                          <w:sz w:val="22"/>
                        </w:rPr>
                      </w:pPr>
                      <w:r>
                        <w:rPr>
                          <w:rFonts w:ascii="Franklin Gothic Demi Cond" w:eastAsia="Franklin Gothic Demi Cond" w:hAnsi="Franklin Gothic Demi Cond" w:cs="Franklin Gothic Demi Cond"/>
                          <w:bCs/>
                          <w:color w:val="4F81BD" w:themeColor="accent1"/>
                          <w:w w:val="110"/>
                          <w:sz w:val="22"/>
                        </w:rPr>
                        <w:t>Draft Report</w:t>
                      </w:r>
                    </w:p>
                    <w:p w14:paraId="21E51AC3" w14:textId="19218BCE" w:rsidR="00933FB9" w:rsidRDefault="00933FB9" w:rsidP="008077DC">
                      <w:pPr>
                        <w:widowControl w:val="0"/>
                        <w:autoSpaceDE w:val="0"/>
                        <w:autoSpaceDN w:val="0"/>
                        <w:spacing w:after="0"/>
                        <w:ind w:left="0" w:right="105" w:firstLine="0"/>
                        <w:jc w:val="right"/>
                        <w:rPr>
                          <w:rFonts w:ascii="Franklin Gothic Demi Cond" w:eastAsia="Franklin Gothic Demi Cond" w:hAnsi="Franklin Gothic Demi Cond" w:cs="Franklin Gothic Demi Cond"/>
                          <w:bCs/>
                          <w:color w:val="4F81BD" w:themeColor="accent1"/>
                          <w:w w:val="110"/>
                          <w:sz w:val="22"/>
                        </w:rPr>
                      </w:pPr>
                      <w:r>
                        <w:rPr>
                          <w:rFonts w:ascii="Franklin Gothic Demi Cond" w:eastAsia="Franklin Gothic Demi Cond" w:hAnsi="Franklin Gothic Demi Cond" w:cs="Franklin Gothic Demi Cond"/>
                          <w:bCs/>
                          <w:color w:val="4F81BD" w:themeColor="accent1"/>
                          <w:w w:val="110"/>
                          <w:sz w:val="22"/>
                        </w:rPr>
                        <w:t>For September 2, 2021 ESPWG/TPAS</w:t>
                      </w:r>
                    </w:p>
                    <w:p w14:paraId="2DFCE722" w14:textId="77777777" w:rsidR="00933FB9" w:rsidRDefault="00933FB9" w:rsidP="008077DC">
                      <w:pPr>
                        <w:widowControl w:val="0"/>
                        <w:autoSpaceDE w:val="0"/>
                        <w:autoSpaceDN w:val="0"/>
                        <w:spacing w:after="0"/>
                        <w:ind w:left="0" w:right="105" w:firstLine="0"/>
                        <w:jc w:val="right"/>
                        <w:rPr>
                          <w:rFonts w:ascii="Franklin Gothic Demi Cond" w:eastAsia="Franklin Gothic Demi Cond" w:hAnsi="Franklin Gothic Demi Cond" w:cs="Franklin Gothic Demi Cond"/>
                          <w:bCs/>
                          <w:color w:val="4F81BD" w:themeColor="accent1"/>
                          <w:w w:val="110"/>
                          <w:sz w:val="22"/>
                        </w:rPr>
                      </w:pPr>
                    </w:p>
                    <w:p w14:paraId="5A3BD240" w14:textId="77777777" w:rsidR="00933FB9" w:rsidRPr="00424949" w:rsidRDefault="00933FB9" w:rsidP="008077DC">
                      <w:pPr>
                        <w:widowControl w:val="0"/>
                        <w:autoSpaceDE w:val="0"/>
                        <w:autoSpaceDN w:val="0"/>
                        <w:spacing w:after="0"/>
                        <w:ind w:left="0" w:right="105" w:firstLine="0"/>
                        <w:jc w:val="right"/>
                        <w:rPr>
                          <w:rFonts w:ascii="Franklin Gothic Demi Cond" w:eastAsia="Franklin Gothic Demi Cond" w:hAnsi="Franklin Gothic Demi Cond" w:cs="Franklin Gothic Demi Cond"/>
                          <w:bCs/>
                          <w:color w:val="4F81BD" w:themeColor="accent1"/>
                          <w:sz w:val="22"/>
                        </w:rPr>
                      </w:pPr>
                    </w:p>
                  </w:txbxContent>
                </v:textbox>
                <w10:wrap anchorx="margin"/>
              </v:shape>
            </w:pict>
          </mc:Fallback>
        </mc:AlternateContent>
      </w:r>
      <w:r w:rsidR="0088502B">
        <w:rPr>
          <w:noProof/>
          <w:lang w:bidi="ar-SA"/>
        </w:rPr>
        <mc:AlternateContent>
          <mc:Choice Requires="wps">
            <w:drawing>
              <wp:anchor distT="0" distB="0" distL="114300" distR="114300" simplePos="0" relativeHeight="251661312" behindDoc="0" locked="0" layoutInCell="1" allowOverlap="1" wp14:anchorId="2394CAF6" wp14:editId="33B0F665">
                <wp:simplePos x="0" y="0"/>
                <wp:positionH relativeFrom="page">
                  <wp:posOffset>-27940</wp:posOffset>
                </wp:positionH>
                <wp:positionV relativeFrom="margin">
                  <wp:align>center</wp:align>
                </wp:positionV>
                <wp:extent cx="6841490" cy="127635"/>
                <wp:effectExtent l="0" t="10020300" r="568960" b="0"/>
                <wp:wrapNone/>
                <wp:docPr id="4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41490" cy="127635"/>
                        </a:xfrm>
                        <a:custGeom>
                          <a:avLst/>
                          <a:gdLst>
                            <a:gd name="T0" fmla="+- 0 972 -201"/>
                            <a:gd name="T1" fmla="*/ T0 w 10774"/>
                            <a:gd name="T2" fmla="+- 0 743 15840"/>
                            <a:gd name="T3" fmla="*/ 743 h 201"/>
                            <a:gd name="T4" fmla="+- 0 888 -201"/>
                            <a:gd name="T5" fmla="*/ T4 w 10774"/>
                            <a:gd name="T6" fmla="+- 0 944 15840"/>
                            <a:gd name="T7" fmla="*/ 944 h 201"/>
                            <a:gd name="T8" fmla="+- 0 1321 -201"/>
                            <a:gd name="T9" fmla="*/ T8 w 10774"/>
                            <a:gd name="T10" fmla="+- 0 743 15840"/>
                            <a:gd name="T11" fmla="*/ 743 h 201"/>
                            <a:gd name="T12" fmla="+- 0 1236 -201"/>
                            <a:gd name="T13" fmla="*/ T12 w 10774"/>
                            <a:gd name="T14" fmla="+- 0 944 15840"/>
                            <a:gd name="T15" fmla="*/ 944 h 201"/>
                            <a:gd name="T16" fmla="+- 0 1669 -201"/>
                            <a:gd name="T17" fmla="*/ T16 w 10774"/>
                            <a:gd name="T18" fmla="+- 0 743 15840"/>
                            <a:gd name="T19" fmla="*/ 743 h 201"/>
                            <a:gd name="T20" fmla="+- 0 1585 -201"/>
                            <a:gd name="T21" fmla="*/ T20 w 10774"/>
                            <a:gd name="T22" fmla="+- 0 944 15840"/>
                            <a:gd name="T23" fmla="*/ 944 h 201"/>
                            <a:gd name="T24" fmla="+- 0 2018 -201"/>
                            <a:gd name="T25" fmla="*/ T24 w 10774"/>
                            <a:gd name="T26" fmla="+- 0 743 15840"/>
                            <a:gd name="T27" fmla="*/ 743 h 201"/>
                            <a:gd name="T28" fmla="+- 0 1933 -201"/>
                            <a:gd name="T29" fmla="*/ T28 w 10774"/>
                            <a:gd name="T30" fmla="+- 0 944 15840"/>
                            <a:gd name="T31" fmla="*/ 944 h 201"/>
                            <a:gd name="T32" fmla="+- 0 2367 -201"/>
                            <a:gd name="T33" fmla="*/ T32 w 10774"/>
                            <a:gd name="T34" fmla="+- 0 743 15840"/>
                            <a:gd name="T35" fmla="*/ 743 h 201"/>
                            <a:gd name="T36" fmla="+- 0 2282 -201"/>
                            <a:gd name="T37" fmla="*/ T36 w 10774"/>
                            <a:gd name="T38" fmla="+- 0 944 15840"/>
                            <a:gd name="T39" fmla="*/ 944 h 201"/>
                            <a:gd name="T40" fmla="+- 0 2715 -201"/>
                            <a:gd name="T41" fmla="*/ T40 w 10774"/>
                            <a:gd name="T42" fmla="+- 0 743 15840"/>
                            <a:gd name="T43" fmla="*/ 743 h 201"/>
                            <a:gd name="T44" fmla="+- 0 2630 -201"/>
                            <a:gd name="T45" fmla="*/ T44 w 10774"/>
                            <a:gd name="T46" fmla="+- 0 944 15840"/>
                            <a:gd name="T47" fmla="*/ 944 h 201"/>
                            <a:gd name="T48" fmla="+- 0 3064 -201"/>
                            <a:gd name="T49" fmla="*/ T48 w 10774"/>
                            <a:gd name="T50" fmla="+- 0 743 15840"/>
                            <a:gd name="T51" fmla="*/ 743 h 201"/>
                            <a:gd name="T52" fmla="+- 0 2979 -201"/>
                            <a:gd name="T53" fmla="*/ T52 w 10774"/>
                            <a:gd name="T54" fmla="+- 0 944 15840"/>
                            <a:gd name="T55" fmla="*/ 944 h 201"/>
                            <a:gd name="T56" fmla="+- 0 3412 -201"/>
                            <a:gd name="T57" fmla="*/ T56 w 10774"/>
                            <a:gd name="T58" fmla="+- 0 743 15840"/>
                            <a:gd name="T59" fmla="*/ 743 h 201"/>
                            <a:gd name="T60" fmla="+- 0 3328 -201"/>
                            <a:gd name="T61" fmla="*/ T60 w 10774"/>
                            <a:gd name="T62" fmla="+- 0 944 15840"/>
                            <a:gd name="T63" fmla="*/ 944 h 201"/>
                            <a:gd name="T64" fmla="+- 0 3761 -201"/>
                            <a:gd name="T65" fmla="*/ T64 w 10774"/>
                            <a:gd name="T66" fmla="+- 0 743 15840"/>
                            <a:gd name="T67" fmla="*/ 743 h 201"/>
                            <a:gd name="T68" fmla="+- 0 3676 -201"/>
                            <a:gd name="T69" fmla="*/ T68 w 10774"/>
                            <a:gd name="T70" fmla="+- 0 944 15840"/>
                            <a:gd name="T71" fmla="*/ 944 h 201"/>
                            <a:gd name="T72" fmla="+- 0 4109 -201"/>
                            <a:gd name="T73" fmla="*/ T72 w 10774"/>
                            <a:gd name="T74" fmla="+- 0 743 15840"/>
                            <a:gd name="T75" fmla="*/ 743 h 201"/>
                            <a:gd name="T76" fmla="+- 0 4025 -201"/>
                            <a:gd name="T77" fmla="*/ T76 w 10774"/>
                            <a:gd name="T78" fmla="+- 0 944 15840"/>
                            <a:gd name="T79" fmla="*/ 944 h 201"/>
                            <a:gd name="T80" fmla="+- 0 4458 -201"/>
                            <a:gd name="T81" fmla="*/ T80 w 10774"/>
                            <a:gd name="T82" fmla="+- 0 743 15840"/>
                            <a:gd name="T83" fmla="*/ 743 h 201"/>
                            <a:gd name="T84" fmla="+- 0 4373 -201"/>
                            <a:gd name="T85" fmla="*/ T84 w 10774"/>
                            <a:gd name="T86" fmla="+- 0 944 15840"/>
                            <a:gd name="T87" fmla="*/ 944 h 201"/>
                            <a:gd name="T88" fmla="+- 0 4806 -201"/>
                            <a:gd name="T89" fmla="*/ T88 w 10774"/>
                            <a:gd name="T90" fmla="+- 0 743 15840"/>
                            <a:gd name="T91" fmla="*/ 743 h 201"/>
                            <a:gd name="T92" fmla="+- 0 4722 -201"/>
                            <a:gd name="T93" fmla="*/ T92 w 10774"/>
                            <a:gd name="T94" fmla="+- 0 944 15840"/>
                            <a:gd name="T95" fmla="*/ 944 h 201"/>
                            <a:gd name="T96" fmla="+- 0 5155 -201"/>
                            <a:gd name="T97" fmla="*/ T96 w 10774"/>
                            <a:gd name="T98" fmla="+- 0 743 15840"/>
                            <a:gd name="T99" fmla="*/ 743 h 201"/>
                            <a:gd name="T100" fmla="+- 0 5070 -201"/>
                            <a:gd name="T101" fmla="*/ T100 w 10774"/>
                            <a:gd name="T102" fmla="+- 0 944 15840"/>
                            <a:gd name="T103" fmla="*/ 944 h 201"/>
                            <a:gd name="T104" fmla="+- 0 5504 -201"/>
                            <a:gd name="T105" fmla="*/ T104 w 10774"/>
                            <a:gd name="T106" fmla="+- 0 743 15840"/>
                            <a:gd name="T107" fmla="*/ 743 h 201"/>
                            <a:gd name="T108" fmla="+- 0 5419 -201"/>
                            <a:gd name="T109" fmla="*/ T108 w 10774"/>
                            <a:gd name="T110" fmla="+- 0 944 15840"/>
                            <a:gd name="T111" fmla="*/ 944 h 201"/>
                            <a:gd name="T112" fmla="+- 0 5852 -201"/>
                            <a:gd name="T113" fmla="*/ T112 w 10774"/>
                            <a:gd name="T114" fmla="+- 0 743 15840"/>
                            <a:gd name="T115" fmla="*/ 743 h 201"/>
                            <a:gd name="T116" fmla="+- 0 5768 -201"/>
                            <a:gd name="T117" fmla="*/ T116 w 10774"/>
                            <a:gd name="T118" fmla="+- 0 944 15840"/>
                            <a:gd name="T119" fmla="*/ 944 h 201"/>
                            <a:gd name="T120" fmla="+- 0 6201 -201"/>
                            <a:gd name="T121" fmla="*/ T120 w 10774"/>
                            <a:gd name="T122" fmla="+- 0 743 15840"/>
                            <a:gd name="T123" fmla="*/ 743 h 201"/>
                            <a:gd name="T124" fmla="+- 0 6116 -201"/>
                            <a:gd name="T125" fmla="*/ T124 w 10774"/>
                            <a:gd name="T126" fmla="+- 0 944 15840"/>
                            <a:gd name="T127" fmla="*/ 944 h 201"/>
                            <a:gd name="T128" fmla="+- 0 6549 -201"/>
                            <a:gd name="T129" fmla="*/ T128 w 10774"/>
                            <a:gd name="T130" fmla="+- 0 743 15840"/>
                            <a:gd name="T131" fmla="*/ 743 h 201"/>
                            <a:gd name="T132" fmla="+- 0 6465 -201"/>
                            <a:gd name="T133" fmla="*/ T132 w 10774"/>
                            <a:gd name="T134" fmla="+- 0 944 15840"/>
                            <a:gd name="T135" fmla="*/ 944 h 201"/>
                            <a:gd name="T136" fmla="+- 0 6898 -201"/>
                            <a:gd name="T137" fmla="*/ T136 w 10774"/>
                            <a:gd name="T138" fmla="+- 0 743 15840"/>
                            <a:gd name="T139" fmla="*/ 743 h 201"/>
                            <a:gd name="T140" fmla="+- 0 6813 -201"/>
                            <a:gd name="T141" fmla="*/ T140 w 10774"/>
                            <a:gd name="T142" fmla="+- 0 944 15840"/>
                            <a:gd name="T143" fmla="*/ 944 h 201"/>
                            <a:gd name="T144" fmla="+- 0 7246 -201"/>
                            <a:gd name="T145" fmla="*/ T144 w 10774"/>
                            <a:gd name="T146" fmla="+- 0 743 15840"/>
                            <a:gd name="T147" fmla="*/ 743 h 201"/>
                            <a:gd name="T148" fmla="+- 0 7162 -201"/>
                            <a:gd name="T149" fmla="*/ T148 w 10774"/>
                            <a:gd name="T150" fmla="+- 0 944 15840"/>
                            <a:gd name="T151" fmla="*/ 944 h 201"/>
                            <a:gd name="T152" fmla="+- 0 7595 -201"/>
                            <a:gd name="T153" fmla="*/ T152 w 10774"/>
                            <a:gd name="T154" fmla="+- 0 743 15840"/>
                            <a:gd name="T155" fmla="*/ 743 h 201"/>
                            <a:gd name="T156" fmla="+- 0 7510 -201"/>
                            <a:gd name="T157" fmla="*/ T156 w 10774"/>
                            <a:gd name="T158" fmla="+- 0 944 15840"/>
                            <a:gd name="T159" fmla="*/ 944 h 201"/>
                            <a:gd name="T160" fmla="+- 0 7943 -201"/>
                            <a:gd name="T161" fmla="*/ T160 w 10774"/>
                            <a:gd name="T162" fmla="+- 0 743 15840"/>
                            <a:gd name="T163" fmla="*/ 743 h 201"/>
                            <a:gd name="T164" fmla="+- 0 7859 -201"/>
                            <a:gd name="T165" fmla="*/ T164 w 10774"/>
                            <a:gd name="T166" fmla="+- 0 944 15840"/>
                            <a:gd name="T167" fmla="*/ 944 h 201"/>
                            <a:gd name="T168" fmla="+- 0 8292 -201"/>
                            <a:gd name="T169" fmla="*/ T168 w 10774"/>
                            <a:gd name="T170" fmla="+- 0 743 15840"/>
                            <a:gd name="T171" fmla="*/ 743 h 201"/>
                            <a:gd name="T172" fmla="+- 0 8207 -201"/>
                            <a:gd name="T173" fmla="*/ T172 w 10774"/>
                            <a:gd name="T174" fmla="+- 0 944 15840"/>
                            <a:gd name="T175" fmla="*/ 944 h 201"/>
                            <a:gd name="T176" fmla="+- 0 8641 -201"/>
                            <a:gd name="T177" fmla="*/ T176 w 10774"/>
                            <a:gd name="T178" fmla="+- 0 743 15840"/>
                            <a:gd name="T179" fmla="*/ 743 h 201"/>
                            <a:gd name="T180" fmla="+- 0 8556 -201"/>
                            <a:gd name="T181" fmla="*/ T180 w 10774"/>
                            <a:gd name="T182" fmla="+- 0 944 15840"/>
                            <a:gd name="T183" fmla="*/ 944 h 201"/>
                            <a:gd name="T184" fmla="+- 0 8989 -201"/>
                            <a:gd name="T185" fmla="*/ T184 w 10774"/>
                            <a:gd name="T186" fmla="+- 0 743 15840"/>
                            <a:gd name="T187" fmla="*/ 743 h 201"/>
                            <a:gd name="T188" fmla="+- 0 8905 -201"/>
                            <a:gd name="T189" fmla="*/ T188 w 10774"/>
                            <a:gd name="T190" fmla="+- 0 944 15840"/>
                            <a:gd name="T191" fmla="*/ 944 h 201"/>
                            <a:gd name="T192" fmla="+- 0 9338 -201"/>
                            <a:gd name="T193" fmla="*/ T192 w 10774"/>
                            <a:gd name="T194" fmla="+- 0 743 15840"/>
                            <a:gd name="T195" fmla="*/ 743 h 201"/>
                            <a:gd name="T196" fmla="+- 0 9253 -201"/>
                            <a:gd name="T197" fmla="*/ T196 w 10774"/>
                            <a:gd name="T198" fmla="+- 0 944 15840"/>
                            <a:gd name="T199" fmla="*/ 944 h 201"/>
                            <a:gd name="T200" fmla="+- 0 9686 -201"/>
                            <a:gd name="T201" fmla="*/ T200 w 10774"/>
                            <a:gd name="T202" fmla="+- 0 743 15840"/>
                            <a:gd name="T203" fmla="*/ 743 h 201"/>
                            <a:gd name="T204" fmla="+- 0 9602 -201"/>
                            <a:gd name="T205" fmla="*/ T204 w 10774"/>
                            <a:gd name="T206" fmla="+- 0 944 15840"/>
                            <a:gd name="T207" fmla="*/ 944 h 201"/>
                            <a:gd name="T208" fmla="+- 0 10035 -201"/>
                            <a:gd name="T209" fmla="*/ T208 w 10774"/>
                            <a:gd name="T210" fmla="+- 0 743 15840"/>
                            <a:gd name="T211" fmla="*/ 743 h 201"/>
                            <a:gd name="T212" fmla="+- 0 9950 -201"/>
                            <a:gd name="T213" fmla="*/ T212 w 10774"/>
                            <a:gd name="T214" fmla="+- 0 944 15840"/>
                            <a:gd name="T215" fmla="*/ 944 h 201"/>
                            <a:gd name="T216" fmla="+- 0 10383 -201"/>
                            <a:gd name="T217" fmla="*/ T216 w 10774"/>
                            <a:gd name="T218" fmla="+- 0 743 15840"/>
                            <a:gd name="T219" fmla="*/ 743 h 201"/>
                            <a:gd name="T220" fmla="+- 0 10299 -201"/>
                            <a:gd name="T221" fmla="*/ T220 w 10774"/>
                            <a:gd name="T222" fmla="+- 0 944 15840"/>
                            <a:gd name="T223" fmla="*/ 944 h 201"/>
                            <a:gd name="T224" fmla="+- 0 10732 -201"/>
                            <a:gd name="T225" fmla="*/ T224 w 10774"/>
                            <a:gd name="T226" fmla="+- 0 743 15840"/>
                            <a:gd name="T227" fmla="*/ 743 h 201"/>
                            <a:gd name="T228" fmla="+- 0 10647 -201"/>
                            <a:gd name="T229" fmla="*/ T228 w 10774"/>
                            <a:gd name="T230" fmla="+- 0 944 15840"/>
                            <a:gd name="T231" fmla="*/ 944 h 201"/>
                            <a:gd name="T232" fmla="+- 0 11081 -201"/>
                            <a:gd name="T233" fmla="*/ T232 w 10774"/>
                            <a:gd name="T234" fmla="+- 0 743 15840"/>
                            <a:gd name="T235" fmla="*/ 743 h 201"/>
                            <a:gd name="T236" fmla="+- 0 10996 -201"/>
                            <a:gd name="T237" fmla="*/ T236 w 10774"/>
                            <a:gd name="T238" fmla="+- 0 944 15840"/>
                            <a:gd name="T239" fmla="*/ 944 h 201"/>
                            <a:gd name="T240" fmla="+- 0 11429 -201"/>
                            <a:gd name="T241" fmla="*/ T240 w 10774"/>
                            <a:gd name="T242" fmla="+- 0 743 15840"/>
                            <a:gd name="T243" fmla="*/ 743 h 2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774" h="201">
                              <a:moveTo>
                                <a:pt x="1057" y="-15097"/>
                              </a:moveTo>
                              <a:lnTo>
                                <a:pt x="856" y="-14896"/>
                              </a:lnTo>
                              <a:moveTo>
                                <a:pt x="1173" y="-15097"/>
                              </a:moveTo>
                              <a:lnTo>
                                <a:pt x="972" y="-14896"/>
                              </a:lnTo>
                              <a:moveTo>
                                <a:pt x="1289" y="-15097"/>
                              </a:moveTo>
                              <a:lnTo>
                                <a:pt x="1089" y="-14896"/>
                              </a:lnTo>
                              <a:moveTo>
                                <a:pt x="1406" y="-15097"/>
                              </a:moveTo>
                              <a:lnTo>
                                <a:pt x="1205" y="-14896"/>
                              </a:lnTo>
                              <a:moveTo>
                                <a:pt x="1522" y="-15097"/>
                              </a:moveTo>
                              <a:lnTo>
                                <a:pt x="1321" y="-14896"/>
                              </a:lnTo>
                              <a:moveTo>
                                <a:pt x="1638" y="-15097"/>
                              </a:moveTo>
                              <a:lnTo>
                                <a:pt x="1437" y="-14896"/>
                              </a:lnTo>
                              <a:moveTo>
                                <a:pt x="1754" y="-15097"/>
                              </a:moveTo>
                              <a:lnTo>
                                <a:pt x="1553" y="-14896"/>
                              </a:lnTo>
                              <a:moveTo>
                                <a:pt x="1870" y="-15097"/>
                              </a:moveTo>
                              <a:lnTo>
                                <a:pt x="1670" y="-14896"/>
                              </a:lnTo>
                              <a:moveTo>
                                <a:pt x="1987" y="-15097"/>
                              </a:moveTo>
                              <a:lnTo>
                                <a:pt x="1786" y="-14896"/>
                              </a:lnTo>
                              <a:moveTo>
                                <a:pt x="2103" y="-15097"/>
                              </a:moveTo>
                              <a:lnTo>
                                <a:pt x="1902" y="-14896"/>
                              </a:lnTo>
                              <a:moveTo>
                                <a:pt x="2219" y="-15097"/>
                              </a:moveTo>
                              <a:lnTo>
                                <a:pt x="2018" y="-14896"/>
                              </a:lnTo>
                              <a:moveTo>
                                <a:pt x="2335" y="-15097"/>
                              </a:moveTo>
                              <a:lnTo>
                                <a:pt x="2134" y="-14896"/>
                              </a:lnTo>
                              <a:moveTo>
                                <a:pt x="2451" y="-15097"/>
                              </a:moveTo>
                              <a:lnTo>
                                <a:pt x="2251" y="-14896"/>
                              </a:lnTo>
                              <a:moveTo>
                                <a:pt x="2568" y="-15097"/>
                              </a:moveTo>
                              <a:lnTo>
                                <a:pt x="2367" y="-14896"/>
                              </a:lnTo>
                              <a:moveTo>
                                <a:pt x="2684" y="-15097"/>
                              </a:moveTo>
                              <a:lnTo>
                                <a:pt x="2483" y="-14896"/>
                              </a:lnTo>
                              <a:moveTo>
                                <a:pt x="2800" y="-15097"/>
                              </a:moveTo>
                              <a:lnTo>
                                <a:pt x="2599" y="-14896"/>
                              </a:lnTo>
                              <a:moveTo>
                                <a:pt x="2916" y="-15097"/>
                              </a:moveTo>
                              <a:lnTo>
                                <a:pt x="2715" y="-14896"/>
                              </a:lnTo>
                              <a:moveTo>
                                <a:pt x="3032" y="-15097"/>
                              </a:moveTo>
                              <a:lnTo>
                                <a:pt x="2831" y="-14896"/>
                              </a:lnTo>
                              <a:moveTo>
                                <a:pt x="3148" y="-15097"/>
                              </a:moveTo>
                              <a:lnTo>
                                <a:pt x="2948" y="-14896"/>
                              </a:lnTo>
                              <a:moveTo>
                                <a:pt x="3265" y="-15097"/>
                              </a:moveTo>
                              <a:lnTo>
                                <a:pt x="3064" y="-14896"/>
                              </a:lnTo>
                              <a:moveTo>
                                <a:pt x="3381" y="-15097"/>
                              </a:moveTo>
                              <a:lnTo>
                                <a:pt x="3180" y="-14896"/>
                              </a:lnTo>
                              <a:moveTo>
                                <a:pt x="3497" y="-15097"/>
                              </a:moveTo>
                              <a:lnTo>
                                <a:pt x="3296" y="-14896"/>
                              </a:lnTo>
                              <a:moveTo>
                                <a:pt x="3613" y="-15097"/>
                              </a:moveTo>
                              <a:lnTo>
                                <a:pt x="3412" y="-14896"/>
                              </a:lnTo>
                              <a:moveTo>
                                <a:pt x="3729" y="-15097"/>
                              </a:moveTo>
                              <a:lnTo>
                                <a:pt x="3529" y="-14896"/>
                              </a:lnTo>
                              <a:moveTo>
                                <a:pt x="3846" y="-15097"/>
                              </a:moveTo>
                              <a:lnTo>
                                <a:pt x="3645" y="-14896"/>
                              </a:lnTo>
                              <a:moveTo>
                                <a:pt x="3962" y="-15097"/>
                              </a:moveTo>
                              <a:lnTo>
                                <a:pt x="3761" y="-14896"/>
                              </a:lnTo>
                              <a:moveTo>
                                <a:pt x="4078" y="-15097"/>
                              </a:moveTo>
                              <a:lnTo>
                                <a:pt x="3877" y="-14896"/>
                              </a:lnTo>
                              <a:moveTo>
                                <a:pt x="4194" y="-15097"/>
                              </a:moveTo>
                              <a:lnTo>
                                <a:pt x="3993" y="-14896"/>
                              </a:lnTo>
                              <a:moveTo>
                                <a:pt x="4310" y="-15097"/>
                              </a:moveTo>
                              <a:lnTo>
                                <a:pt x="4110" y="-14896"/>
                              </a:lnTo>
                              <a:moveTo>
                                <a:pt x="4427" y="-15097"/>
                              </a:moveTo>
                              <a:lnTo>
                                <a:pt x="4226" y="-14896"/>
                              </a:lnTo>
                              <a:moveTo>
                                <a:pt x="4543" y="-15097"/>
                              </a:moveTo>
                              <a:lnTo>
                                <a:pt x="4342" y="-14896"/>
                              </a:lnTo>
                              <a:moveTo>
                                <a:pt x="4659" y="-15097"/>
                              </a:moveTo>
                              <a:lnTo>
                                <a:pt x="4458" y="-14896"/>
                              </a:lnTo>
                              <a:moveTo>
                                <a:pt x="4775" y="-15097"/>
                              </a:moveTo>
                              <a:lnTo>
                                <a:pt x="4574" y="-14896"/>
                              </a:lnTo>
                              <a:moveTo>
                                <a:pt x="4891" y="-15097"/>
                              </a:moveTo>
                              <a:lnTo>
                                <a:pt x="4690" y="-14896"/>
                              </a:lnTo>
                              <a:moveTo>
                                <a:pt x="5007" y="-15097"/>
                              </a:moveTo>
                              <a:lnTo>
                                <a:pt x="4807" y="-14896"/>
                              </a:lnTo>
                              <a:moveTo>
                                <a:pt x="5124" y="-15097"/>
                              </a:moveTo>
                              <a:lnTo>
                                <a:pt x="4923" y="-14896"/>
                              </a:lnTo>
                              <a:moveTo>
                                <a:pt x="5240" y="-15097"/>
                              </a:moveTo>
                              <a:lnTo>
                                <a:pt x="5039" y="-14896"/>
                              </a:lnTo>
                              <a:moveTo>
                                <a:pt x="5356" y="-15097"/>
                              </a:moveTo>
                              <a:lnTo>
                                <a:pt x="5155" y="-14896"/>
                              </a:lnTo>
                              <a:moveTo>
                                <a:pt x="5472" y="-15097"/>
                              </a:moveTo>
                              <a:lnTo>
                                <a:pt x="5271" y="-14896"/>
                              </a:lnTo>
                              <a:moveTo>
                                <a:pt x="5588" y="-15097"/>
                              </a:moveTo>
                              <a:lnTo>
                                <a:pt x="5388" y="-14896"/>
                              </a:lnTo>
                              <a:moveTo>
                                <a:pt x="5705" y="-15097"/>
                              </a:moveTo>
                              <a:lnTo>
                                <a:pt x="5504" y="-14896"/>
                              </a:lnTo>
                              <a:moveTo>
                                <a:pt x="5821" y="-15097"/>
                              </a:moveTo>
                              <a:lnTo>
                                <a:pt x="5620" y="-14896"/>
                              </a:lnTo>
                              <a:moveTo>
                                <a:pt x="5937" y="-15097"/>
                              </a:moveTo>
                              <a:lnTo>
                                <a:pt x="5736" y="-14896"/>
                              </a:lnTo>
                              <a:moveTo>
                                <a:pt x="6053" y="-15097"/>
                              </a:moveTo>
                              <a:lnTo>
                                <a:pt x="5852" y="-14896"/>
                              </a:lnTo>
                              <a:moveTo>
                                <a:pt x="6169" y="-15097"/>
                              </a:moveTo>
                              <a:lnTo>
                                <a:pt x="5969" y="-14896"/>
                              </a:lnTo>
                              <a:moveTo>
                                <a:pt x="6286" y="-15097"/>
                              </a:moveTo>
                              <a:lnTo>
                                <a:pt x="6085" y="-14896"/>
                              </a:lnTo>
                              <a:moveTo>
                                <a:pt x="6402" y="-15097"/>
                              </a:moveTo>
                              <a:lnTo>
                                <a:pt x="6201" y="-14896"/>
                              </a:lnTo>
                              <a:moveTo>
                                <a:pt x="6518" y="-15097"/>
                              </a:moveTo>
                              <a:lnTo>
                                <a:pt x="6317" y="-14896"/>
                              </a:lnTo>
                              <a:moveTo>
                                <a:pt x="6634" y="-15097"/>
                              </a:moveTo>
                              <a:lnTo>
                                <a:pt x="6433" y="-14896"/>
                              </a:lnTo>
                              <a:moveTo>
                                <a:pt x="6750" y="-15097"/>
                              </a:moveTo>
                              <a:lnTo>
                                <a:pt x="6549" y="-14896"/>
                              </a:lnTo>
                              <a:moveTo>
                                <a:pt x="6866" y="-15097"/>
                              </a:moveTo>
                              <a:lnTo>
                                <a:pt x="6666" y="-14896"/>
                              </a:lnTo>
                              <a:moveTo>
                                <a:pt x="6983" y="-15097"/>
                              </a:moveTo>
                              <a:lnTo>
                                <a:pt x="6782" y="-14896"/>
                              </a:lnTo>
                              <a:moveTo>
                                <a:pt x="7099" y="-15097"/>
                              </a:moveTo>
                              <a:lnTo>
                                <a:pt x="6898" y="-14896"/>
                              </a:lnTo>
                              <a:moveTo>
                                <a:pt x="7215" y="-15097"/>
                              </a:moveTo>
                              <a:lnTo>
                                <a:pt x="7014" y="-14896"/>
                              </a:lnTo>
                              <a:moveTo>
                                <a:pt x="7331" y="-15097"/>
                              </a:moveTo>
                              <a:lnTo>
                                <a:pt x="7130" y="-14896"/>
                              </a:lnTo>
                              <a:moveTo>
                                <a:pt x="7447" y="-15097"/>
                              </a:moveTo>
                              <a:lnTo>
                                <a:pt x="7247" y="-14896"/>
                              </a:lnTo>
                              <a:moveTo>
                                <a:pt x="7564" y="-15097"/>
                              </a:moveTo>
                              <a:lnTo>
                                <a:pt x="7363" y="-14896"/>
                              </a:lnTo>
                              <a:moveTo>
                                <a:pt x="7680" y="-15097"/>
                              </a:moveTo>
                              <a:lnTo>
                                <a:pt x="7479" y="-14896"/>
                              </a:lnTo>
                              <a:moveTo>
                                <a:pt x="7796" y="-15097"/>
                              </a:moveTo>
                              <a:lnTo>
                                <a:pt x="7595" y="-14896"/>
                              </a:lnTo>
                              <a:moveTo>
                                <a:pt x="7912" y="-15097"/>
                              </a:moveTo>
                              <a:lnTo>
                                <a:pt x="7711" y="-14896"/>
                              </a:lnTo>
                              <a:moveTo>
                                <a:pt x="8028" y="-15097"/>
                              </a:moveTo>
                              <a:lnTo>
                                <a:pt x="7828" y="-14896"/>
                              </a:lnTo>
                              <a:moveTo>
                                <a:pt x="8144" y="-15097"/>
                              </a:moveTo>
                              <a:lnTo>
                                <a:pt x="7944" y="-14896"/>
                              </a:lnTo>
                              <a:moveTo>
                                <a:pt x="8261" y="-15097"/>
                              </a:moveTo>
                              <a:lnTo>
                                <a:pt x="8060" y="-14896"/>
                              </a:lnTo>
                              <a:moveTo>
                                <a:pt x="8377" y="-15097"/>
                              </a:moveTo>
                              <a:lnTo>
                                <a:pt x="8176" y="-14896"/>
                              </a:lnTo>
                              <a:moveTo>
                                <a:pt x="8493" y="-15097"/>
                              </a:moveTo>
                              <a:lnTo>
                                <a:pt x="8292" y="-14896"/>
                              </a:lnTo>
                              <a:moveTo>
                                <a:pt x="8609" y="-15097"/>
                              </a:moveTo>
                              <a:lnTo>
                                <a:pt x="8408" y="-14896"/>
                              </a:lnTo>
                              <a:moveTo>
                                <a:pt x="8725" y="-15097"/>
                              </a:moveTo>
                              <a:lnTo>
                                <a:pt x="8525" y="-14896"/>
                              </a:lnTo>
                              <a:moveTo>
                                <a:pt x="8842" y="-15097"/>
                              </a:moveTo>
                              <a:lnTo>
                                <a:pt x="8641" y="-14896"/>
                              </a:lnTo>
                              <a:moveTo>
                                <a:pt x="8958" y="-15097"/>
                              </a:moveTo>
                              <a:lnTo>
                                <a:pt x="8757" y="-14896"/>
                              </a:lnTo>
                              <a:moveTo>
                                <a:pt x="9074" y="-15097"/>
                              </a:moveTo>
                              <a:lnTo>
                                <a:pt x="8873" y="-14896"/>
                              </a:lnTo>
                              <a:moveTo>
                                <a:pt x="9190" y="-15097"/>
                              </a:moveTo>
                              <a:lnTo>
                                <a:pt x="8989" y="-14896"/>
                              </a:lnTo>
                              <a:moveTo>
                                <a:pt x="9306" y="-15097"/>
                              </a:moveTo>
                              <a:lnTo>
                                <a:pt x="9106" y="-14896"/>
                              </a:lnTo>
                              <a:moveTo>
                                <a:pt x="9423" y="-15097"/>
                              </a:moveTo>
                              <a:lnTo>
                                <a:pt x="9222" y="-14896"/>
                              </a:lnTo>
                              <a:moveTo>
                                <a:pt x="9539" y="-15097"/>
                              </a:moveTo>
                              <a:lnTo>
                                <a:pt x="9338" y="-14896"/>
                              </a:lnTo>
                              <a:moveTo>
                                <a:pt x="9655" y="-15097"/>
                              </a:moveTo>
                              <a:lnTo>
                                <a:pt x="9454" y="-14896"/>
                              </a:lnTo>
                              <a:moveTo>
                                <a:pt x="9771" y="-15097"/>
                              </a:moveTo>
                              <a:lnTo>
                                <a:pt x="9570" y="-14896"/>
                              </a:lnTo>
                              <a:moveTo>
                                <a:pt x="9887" y="-15097"/>
                              </a:moveTo>
                              <a:lnTo>
                                <a:pt x="9686" y="-14896"/>
                              </a:lnTo>
                              <a:moveTo>
                                <a:pt x="10003" y="-15097"/>
                              </a:moveTo>
                              <a:lnTo>
                                <a:pt x="9803" y="-14896"/>
                              </a:lnTo>
                              <a:moveTo>
                                <a:pt x="10120" y="-15097"/>
                              </a:moveTo>
                              <a:lnTo>
                                <a:pt x="9919" y="-14896"/>
                              </a:lnTo>
                              <a:moveTo>
                                <a:pt x="10236" y="-15097"/>
                              </a:moveTo>
                              <a:lnTo>
                                <a:pt x="10035" y="-14896"/>
                              </a:lnTo>
                              <a:moveTo>
                                <a:pt x="10352" y="-15097"/>
                              </a:moveTo>
                              <a:lnTo>
                                <a:pt x="10151" y="-14896"/>
                              </a:lnTo>
                              <a:moveTo>
                                <a:pt x="10468" y="-15097"/>
                              </a:moveTo>
                              <a:lnTo>
                                <a:pt x="10267" y="-14896"/>
                              </a:lnTo>
                              <a:moveTo>
                                <a:pt x="10584" y="-15097"/>
                              </a:moveTo>
                              <a:lnTo>
                                <a:pt x="10384" y="-14896"/>
                              </a:lnTo>
                              <a:moveTo>
                                <a:pt x="10701" y="-15097"/>
                              </a:moveTo>
                              <a:lnTo>
                                <a:pt x="10500" y="-14896"/>
                              </a:lnTo>
                              <a:moveTo>
                                <a:pt x="10817" y="-15097"/>
                              </a:moveTo>
                              <a:lnTo>
                                <a:pt x="10616" y="-14896"/>
                              </a:lnTo>
                              <a:moveTo>
                                <a:pt x="10933" y="-15097"/>
                              </a:moveTo>
                              <a:lnTo>
                                <a:pt x="10732" y="-14896"/>
                              </a:lnTo>
                              <a:moveTo>
                                <a:pt x="11049" y="-15097"/>
                              </a:moveTo>
                              <a:lnTo>
                                <a:pt x="10848" y="-14896"/>
                              </a:lnTo>
                              <a:moveTo>
                                <a:pt x="11165" y="-15097"/>
                              </a:moveTo>
                              <a:lnTo>
                                <a:pt x="10965" y="-14896"/>
                              </a:lnTo>
                              <a:moveTo>
                                <a:pt x="11282" y="-15097"/>
                              </a:moveTo>
                              <a:lnTo>
                                <a:pt x="11081" y="-14896"/>
                              </a:lnTo>
                              <a:moveTo>
                                <a:pt x="11398" y="-15097"/>
                              </a:moveTo>
                              <a:lnTo>
                                <a:pt x="11197" y="-14896"/>
                              </a:lnTo>
                              <a:moveTo>
                                <a:pt x="11514" y="-15097"/>
                              </a:moveTo>
                              <a:lnTo>
                                <a:pt x="11313" y="-14896"/>
                              </a:lnTo>
                              <a:moveTo>
                                <a:pt x="11630" y="-15097"/>
                              </a:moveTo>
                              <a:lnTo>
                                <a:pt x="11429" y="-14896"/>
                              </a:lnTo>
                            </a:path>
                          </a:pathLst>
                        </a:custGeom>
                        <a:noFill/>
                        <a:ln w="27483">
                          <a:solidFill>
                            <a:srgbClr val="C9D6D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1B2509" id="AutoShape 3" o:spid="_x0000_s1026" style="position:absolute;margin-left:-2.2pt;margin-top:0;width:538.7pt;height:10.05pt;z-index:251661312;visibility:visible;mso-wrap-style:square;mso-width-percent:0;mso-height-percent:0;mso-wrap-distance-left:9pt;mso-wrap-distance-top:0;mso-wrap-distance-right:9pt;mso-wrap-distance-bottom:0;mso-position-horizontal:absolute;mso-position-horizontal-relative:page;mso-position-vertical:center;mso-position-vertical-relative:margin;mso-width-percent:0;mso-height-percent:0;mso-width-relative:page;mso-height-relative:page;v-text-anchor:top" coordsize="10774,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" path="m1057,-15097r-201,201m1173,-15097r-201,201m1289,-15097r-200,201m1406,-15097r-201,201m1522,-15097r-201,201m1638,-15097r-201,201m1754,-15097r-201,201m1870,-15097r-200,201m1987,-15097r-201,201m2103,-15097r-201,201m2219,-15097r-201,201m2335,-15097r-201,201m2451,-15097r-200,201m2568,-15097r-201,201m2684,-15097r-201,201m2800,-15097r-201,201m2916,-15097r-201,201m3032,-15097r-201,201m3148,-15097r-200,201m3265,-15097r-201,201m3381,-15097r-201,201m3497,-15097r-201,201m3613,-15097r-201,201m3729,-15097r-200,201m3846,-15097r-201,201m3962,-15097r-201,201m4078,-15097r-201,201m4194,-15097r-201,201m4310,-15097r-200,201m4427,-15097r-201,201m4543,-15097r-201,201m4659,-15097r-201,201m4775,-15097r-201,201m4891,-15097r-201,201m5007,-15097r-200,201m5124,-15097r-201,201m5240,-15097r-201,201m5356,-15097r-201,201m5472,-15097r-201,201m5588,-15097r-200,201m5705,-15097r-201,201m5821,-15097r-201,201m5937,-15097r-201,201m6053,-15097r-201,201m6169,-15097r-200,201m6286,-15097r-201,201m6402,-15097r-201,201m6518,-15097r-201,201m6634,-15097r-201,201m6750,-15097r-201,201m6866,-15097r-200,201m6983,-15097r-201,201m7099,-15097r-201,201m7215,-15097r-201,201m7331,-15097r-201,201m7447,-15097r-200,201m7564,-15097r-201,201m7680,-15097r-201,201m7796,-15097r-201,201m7912,-15097r-201,201m8028,-15097r-200,201m8144,-15097r-200,201m8261,-15097r-201,201m8377,-15097r-201,201m8493,-15097r-201,201m8609,-15097r-201,201m8725,-15097r-200,201m8842,-15097r-201,201m8958,-15097r-201,201m9074,-15097r-201,201m9190,-15097r-201,201m9306,-15097r-200,201m9423,-15097r-201,201m9539,-15097r-201,201m9655,-15097r-201,201m9771,-15097r-201,201m9887,-15097r-201,201m10003,-15097r-200,201m10120,-15097r-201,201m10236,-15097r-201,201m10352,-15097r-201,201m10468,-15097r-201,201m10584,-15097r-200,201m10701,-15097r-201,201m10817,-15097r-201,201m10933,-15097r-201,201m11049,-15097r-201,201m11165,-15097r-200,201m11282,-15097r-201,201m11398,-15097r-201,201m11514,-15097r-201,201m11630,-15097r-201,201e" filled="f" strokecolor="#c9d6db" strokeweight=".76342mm">
                <v:path arrowok="t" o:connecttype="custom" o:connectlocs="744855,471805;691515,599440;966470,471805;912495,599440;1187450,471805;1134110,599440;1409065,471805;1355090,599440;1630680,471805;1576705,599440;1851660,471805;1797685,599440;2073275,471805;2019300,599440;2294255,471805;2240915,599440;2515870,471805;2461895,599440;2736850,471805;2683510,599440;2958465,471805;2904490,599440;3179445,471805;3126105,599440;3401060,471805;3347085,599440;3622675,471805;3568700,599440;3843655,471805;3790315,599440;4065270,471805;4011295,599440;4286250,471805;4232910,599440;4507865,471805;4453890,599440;4728845,471805;4675505,599440;4950460,471805;4896485,599440;5171440,471805;5118100,599440;5393055,471805;5339080,599440;5614670,471805;5560695,599440;5835650,471805;5782310,599440;6057265,471805;6003290,599440;6278245,471805;6224905,599440;6499860,471805;6445885,599440;6720840,471805;6667500,599440;6942455,471805;6888480,599440;7164070,471805;7110095,599440;7385050,471805" o:connectangles="0,0,0,0,0,0,0,0,0,0,0,0,0,0,0,0,0,0,0,0,0,0,0,0,0,0,0,0,0,0,0,0,0,0,0,0,0,0,0,0,0,0,0,0,0,0,0,0,0,0,0,0,0,0,0,0,0,0,0,0,0"/>
                <w10:wrap anchorx="page" anchory="margin"/>
              </v:shape>
            </w:pict>
          </mc:Fallback>
        </mc:AlternateContent>
      </w:r>
      <w:r w:rsidR="00B446AE">
        <w:rPr>
          <w:noProof/>
          <w:lang w:bidi="ar-SA"/>
        </w:rPr>
        <mc:AlternateContent>
          <mc:Choice Requires="wps">
            <w:drawing>
              <wp:anchor distT="0" distB="0" distL="114300" distR="114300" simplePos="0" relativeHeight="251667456" behindDoc="0" locked="0" layoutInCell="1" allowOverlap="1" wp14:anchorId="6D9AB304" wp14:editId="62D29C9C">
                <wp:simplePos x="0" y="0"/>
                <wp:positionH relativeFrom="column">
                  <wp:posOffset>4010025</wp:posOffset>
                </wp:positionH>
                <wp:positionV relativeFrom="paragraph">
                  <wp:posOffset>4794943</wp:posOffset>
                </wp:positionV>
                <wp:extent cx="2247900" cy="1019175"/>
                <wp:effectExtent l="0" t="0" r="0" b="0"/>
                <wp:wrapNone/>
                <wp:docPr id="61" name="Text Box 61"/>
                <wp:cNvGraphicFramePr/>
                <a:graphic xmlns:a="http://schemas.openxmlformats.org/drawingml/2006/main">
                  <a:graphicData uri="http://schemas.microsoft.com/office/word/2010/wordprocessingShape">
                    <wps:wsp>
                      <wps:cNvSpPr txBox="1"/>
                      <wps:spPr>
                        <a:xfrm>
                          <a:off x="0" y="0"/>
                          <a:ext cx="2247900" cy="1019175"/>
                        </a:xfrm>
                        <a:prstGeom prst="rect">
                          <a:avLst/>
                        </a:prstGeom>
                        <a:noFill/>
                        <a:ln w="6350">
                          <a:noFill/>
                        </a:ln>
                      </wps:spPr>
                      <wps:txbx>
                        <w:txbxContent>
                          <w:p w14:paraId="6C57D3B4" w14:textId="77777777" w:rsidR="00933FB9" w:rsidRPr="00C4427C" w:rsidRDefault="00933FB9" w:rsidP="00C4427C">
                            <w:pPr>
                              <w:widowControl w:val="0"/>
                              <w:autoSpaceDE w:val="0"/>
                              <w:autoSpaceDN w:val="0"/>
                              <w:spacing w:before="244" w:after="0" w:line="242" w:lineRule="auto"/>
                              <w:ind w:left="0" w:right="100" w:firstLine="0"/>
                              <w:jc w:val="right"/>
                              <w:rPr>
                                <w:rFonts w:ascii="Franklin Gothic Medium Cond" w:eastAsia="Franklin Gothic Demi Cond" w:hAnsi="Franklin Gothic Demi Cond" w:cs="Franklin Gothic Demi Cond"/>
                                <w:sz w:val="36"/>
                              </w:rPr>
                            </w:pPr>
                            <w:r>
                              <w:rPr>
                                <w:rFonts w:ascii="Franklin Gothic Medium Cond" w:eastAsia="Franklin Gothic Demi Cond" w:hAnsi="Franklin Gothic Demi Cond" w:cs="Franklin Gothic Demi Cond"/>
                                <w:color w:val="6D6E71"/>
                                <w:sz w:val="36"/>
                              </w:rPr>
                              <w:t xml:space="preserve">A Report from the      New York </w:t>
                            </w:r>
                            <w:r w:rsidRPr="00C4427C">
                              <w:rPr>
                                <w:rFonts w:ascii="Franklin Gothic Medium Cond" w:eastAsia="Franklin Gothic Demi Cond" w:hAnsi="Franklin Gothic Demi Cond" w:cs="Franklin Gothic Demi Cond"/>
                                <w:color w:val="6D6E71"/>
                                <w:sz w:val="36"/>
                              </w:rPr>
                              <w:t xml:space="preserve">Independent </w:t>
                            </w:r>
                            <w:r w:rsidRPr="00C4427C">
                              <w:rPr>
                                <w:rFonts w:ascii="Franklin Gothic Medium Cond" w:eastAsia="Franklin Gothic Demi Cond" w:hAnsi="Franklin Gothic Demi Cond" w:cs="Franklin Gothic Demi Cond"/>
                                <w:color w:val="6D6E71"/>
                                <w:sz w:val="36"/>
                              </w:rPr>
                              <w:br/>
                              <w:t>System Operator</w:t>
                            </w:r>
                          </w:p>
                          <w:p w14:paraId="00618326" w14:textId="77777777" w:rsidR="00933FB9" w:rsidRDefault="00933FB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9AB304" id="Text Box 61" o:spid="_x0000_s1034" type="#_x0000_t202" style="position:absolute;left:0;text-align:left;margin-left:315.75pt;margin-top:377.55pt;width:177pt;height:80.2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" filled="f" stroked="f" strokeweight=".5pt">
                <v:textbox>
                  <w:txbxContent>
                    <w:p w14:paraId="6C57D3B4" w14:textId="77777777" w:rsidR="00933FB9" w:rsidRPr="00C4427C" w:rsidRDefault="00933FB9" w:rsidP="00C4427C">
                      <w:pPr>
                        <w:widowControl w:val="0"/>
                        <w:autoSpaceDE w:val="0"/>
                        <w:autoSpaceDN w:val="0"/>
                        <w:spacing w:before="244" w:after="0" w:line="242" w:lineRule="auto"/>
                        <w:ind w:left="0" w:right="100" w:firstLine="0"/>
                        <w:jc w:val="right"/>
                        <w:rPr>
                          <w:rFonts w:ascii="Franklin Gothic Medium Cond" w:eastAsia="Franklin Gothic Demi Cond" w:hAnsi="Franklin Gothic Demi Cond" w:cs="Franklin Gothic Demi Cond"/>
                          <w:sz w:val="36"/>
                        </w:rPr>
                      </w:pPr>
                      <w:r>
                        <w:rPr>
                          <w:rFonts w:ascii="Franklin Gothic Medium Cond" w:eastAsia="Franklin Gothic Demi Cond" w:hAnsi="Franklin Gothic Demi Cond" w:cs="Franklin Gothic Demi Cond"/>
                          <w:color w:val="6D6E71"/>
                          <w:sz w:val="36"/>
                        </w:rPr>
                        <w:t xml:space="preserve">A Report from the      New York </w:t>
                      </w:r>
                      <w:r w:rsidRPr="00C4427C">
                        <w:rPr>
                          <w:rFonts w:ascii="Franklin Gothic Medium Cond" w:eastAsia="Franklin Gothic Demi Cond" w:hAnsi="Franklin Gothic Demi Cond" w:cs="Franklin Gothic Demi Cond"/>
                          <w:color w:val="6D6E71"/>
                          <w:sz w:val="36"/>
                        </w:rPr>
                        <w:t xml:space="preserve">Independent </w:t>
                      </w:r>
                      <w:r w:rsidRPr="00C4427C">
                        <w:rPr>
                          <w:rFonts w:ascii="Franklin Gothic Medium Cond" w:eastAsia="Franklin Gothic Demi Cond" w:hAnsi="Franklin Gothic Demi Cond" w:cs="Franklin Gothic Demi Cond"/>
                          <w:color w:val="6D6E71"/>
                          <w:sz w:val="36"/>
                        </w:rPr>
                        <w:br/>
                        <w:t>System Operator</w:t>
                      </w:r>
                    </w:p>
                    <w:p w14:paraId="00618326" w14:textId="77777777" w:rsidR="00933FB9" w:rsidRDefault="00933FB9">
                      <w:pPr>
                        <w:ind w:left="0"/>
                      </w:pPr>
                    </w:p>
                  </w:txbxContent>
                </v:textbox>
              </v:shape>
            </w:pict>
          </mc:Fallback>
        </mc:AlternateContent>
      </w:r>
      <w:r w:rsidR="00B446AE">
        <w:rPr>
          <w:noProof/>
          <w:lang w:bidi="ar-SA"/>
        </w:rPr>
        <mc:AlternateContent>
          <mc:Choice Requires="wps">
            <w:drawing>
              <wp:anchor distT="0" distB="0" distL="114300" distR="114300" simplePos="0" relativeHeight="251666432" behindDoc="0" locked="0" layoutInCell="1" allowOverlap="1" wp14:anchorId="44CEE5C3" wp14:editId="5051428E">
                <wp:simplePos x="0" y="0"/>
                <wp:positionH relativeFrom="margin">
                  <wp:posOffset>190747</wp:posOffset>
                </wp:positionH>
                <wp:positionV relativeFrom="paragraph">
                  <wp:posOffset>719983</wp:posOffset>
                </wp:positionV>
                <wp:extent cx="5913912" cy="2055139"/>
                <wp:effectExtent l="0" t="0" r="0" b="2540"/>
                <wp:wrapNone/>
                <wp:docPr id="60" name="Text Box 60"/>
                <wp:cNvGraphicFramePr/>
                <a:graphic xmlns:a="http://schemas.openxmlformats.org/drawingml/2006/main">
                  <a:graphicData uri="http://schemas.microsoft.com/office/word/2010/wordprocessingShape">
                    <wps:wsp>
                      <wps:cNvSpPr txBox="1"/>
                      <wps:spPr>
                        <a:xfrm>
                          <a:off x="0" y="0"/>
                          <a:ext cx="5913912" cy="2055139"/>
                        </a:xfrm>
                        <a:prstGeom prst="rect">
                          <a:avLst/>
                        </a:prstGeom>
                        <a:noFill/>
                        <a:ln w="6350">
                          <a:noFill/>
                        </a:ln>
                      </wps:spPr>
                      <wps:txbx>
                        <w:txbxContent>
                          <w:p w14:paraId="35610CEE" w14:textId="627BB4EF" w:rsidR="00933FB9" w:rsidRPr="00B446AE" w:rsidRDefault="00933FB9" w:rsidP="00BF2A03">
                            <w:pPr>
                              <w:widowControl w:val="0"/>
                              <w:autoSpaceDE w:val="0"/>
                              <w:autoSpaceDN w:val="0"/>
                              <w:spacing w:after="0"/>
                              <w:ind w:left="0" w:firstLine="0"/>
                              <w:rPr>
                                <w:rFonts w:ascii="Franklin Gothic Demi" w:eastAsia="Franklin Gothic Demi Cond" w:hAnsi="Franklin Gothic Demi" w:cs="Franklin Gothic Demi Cond"/>
                                <w:bCs/>
                                <w:color w:val="005F86"/>
                                <w:sz w:val="96"/>
                              </w:rPr>
                            </w:pPr>
                            <w:r w:rsidRPr="00BF2A03">
                              <w:rPr>
                                <w:rFonts w:ascii="Franklin Gothic Demi" w:eastAsia="Franklin Gothic Demi Cond" w:hAnsi="Franklin Gothic Demi" w:cs="Franklin Gothic Demi Cond"/>
                                <w:bCs/>
                                <w:color w:val="005F86"/>
                                <w:sz w:val="56"/>
                              </w:rPr>
                              <w:t>20</w:t>
                            </w:r>
                            <w:r>
                              <w:rPr>
                                <w:rFonts w:ascii="Franklin Gothic Demi" w:eastAsia="Franklin Gothic Demi Cond" w:hAnsi="Franklin Gothic Demi" w:cs="Franklin Gothic Demi Cond"/>
                                <w:bCs/>
                                <w:color w:val="005F86"/>
                                <w:sz w:val="56"/>
                              </w:rPr>
                              <w:t>21</w:t>
                            </w:r>
                            <w:r w:rsidRPr="00BF2A03">
                              <w:rPr>
                                <w:rFonts w:ascii="Franklin Gothic Demi" w:eastAsia="Franklin Gothic Demi Cond" w:hAnsi="Franklin Gothic Demi" w:cs="Franklin Gothic Demi Cond"/>
                                <w:bCs/>
                                <w:color w:val="005F86"/>
                                <w:sz w:val="56"/>
                              </w:rPr>
                              <w:t>-20</w:t>
                            </w:r>
                            <w:r>
                              <w:rPr>
                                <w:rFonts w:ascii="Franklin Gothic Demi" w:eastAsia="Franklin Gothic Demi Cond" w:hAnsi="Franklin Gothic Demi" w:cs="Franklin Gothic Demi Cond"/>
                                <w:bCs/>
                                <w:color w:val="005F86"/>
                                <w:sz w:val="56"/>
                              </w:rPr>
                              <w:t>30</w:t>
                            </w:r>
                            <w:r w:rsidRPr="00BF2A03">
                              <w:rPr>
                                <w:rFonts w:ascii="Franklin Gothic Demi" w:eastAsia="Franklin Gothic Demi Cond" w:hAnsi="Franklin Gothic Demi" w:cs="Franklin Gothic Demi Cond"/>
                                <w:bCs/>
                                <w:color w:val="005F86"/>
                                <w:sz w:val="56"/>
                              </w:rPr>
                              <w:br/>
                            </w:r>
                            <w:r w:rsidRPr="00B446AE">
                              <w:rPr>
                                <w:rFonts w:ascii="Franklin Gothic Demi" w:eastAsia="Franklin Gothic Demi Cond" w:hAnsi="Franklin Gothic Demi" w:cs="Franklin Gothic Demi Cond"/>
                                <w:bCs/>
                                <w:color w:val="005F86"/>
                                <w:sz w:val="96"/>
                                <w:szCs w:val="96"/>
                              </w:rPr>
                              <w:t xml:space="preserve">Comprehensive </w:t>
                            </w:r>
                            <w:r w:rsidRPr="00B446AE">
                              <w:rPr>
                                <w:rFonts w:ascii="Franklin Gothic Demi" w:eastAsia="Franklin Gothic Demi Cond" w:hAnsi="Franklin Gothic Demi" w:cs="Franklin Gothic Demi Cond"/>
                                <w:bCs/>
                                <w:color w:val="005F86"/>
                                <w:sz w:val="96"/>
                                <w:szCs w:val="96"/>
                              </w:rPr>
                              <w:br/>
                              <w:t>Reliability Plan</w:t>
                            </w:r>
                          </w:p>
                          <w:p w14:paraId="6739E10C" w14:textId="77777777" w:rsidR="00933FB9" w:rsidRDefault="00933FB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EE5C3" id="Text Box 60" o:spid="_x0000_s1035" type="#_x0000_t202" style="position:absolute;left:0;text-align:left;margin-left:15pt;margin-top:56.7pt;width:465.65pt;height:161.8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" filled="f" stroked="f" strokeweight=".5pt">
                <v:textbox>
                  <w:txbxContent>
                    <w:p w14:paraId="35610CEE" w14:textId="627BB4EF" w:rsidR="00933FB9" w:rsidRPr="00B446AE" w:rsidRDefault="00933FB9" w:rsidP="00BF2A03">
                      <w:pPr>
                        <w:widowControl w:val="0"/>
                        <w:autoSpaceDE w:val="0"/>
                        <w:autoSpaceDN w:val="0"/>
                        <w:spacing w:after="0"/>
                        <w:ind w:left="0" w:firstLine="0"/>
                        <w:rPr>
                          <w:rFonts w:ascii="Franklin Gothic Demi" w:eastAsia="Franklin Gothic Demi Cond" w:hAnsi="Franklin Gothic Demi" w:cs="Franklin Gothic Demi Cond"/>
                          <w:bCs/>
                          <w:color w:val="005F86"/>
                          <w:sz w:val="96"/>
                        </w:rPr>
                      </w:pPr>
                      <w:r w:rsidRPr="00BF2A03">
                        <w:rPr>
                          <w:rFonts w:ascii="Franklin Gothic Demi" w:eastAsia="Franklin Gothic Demi Cond" w:hAnsi="Franklin Gothic Demi" w:cs="Franklin Gothic Demi Cond"/>
                          <w:bCs/>
                          <w:color w:val="005F86"/>
                          <w:sz w:val="56"/>
                        </w:rPr>
                        <w:t>20</w:t>
                      </w:r>
                      <w:r>
                        <w:rPr>
                          <w:rFonts w:ascii="Franklin Gothic Demi" w:eastAsia="Franklin Gothic Demi Cond" w:hAnsi="Franklin Gothic Demi" w:cs="Franklin Gothic Demi Cond"/>
                          <w:bCs/>
                          <w:color w:val="005F86"/>
                          <w:sz w:val="56"/>
                        </w:rPr>
                        <w:t>21</w:t>
                      </w:r>
                      <w:r w:rsidRPr="00BF2A03">
                        <w:rPr>
                          <w:rFonts w:ascii="Franklin Gothic Demi" w:eastAsia="Franklin Gothic Demi Cond" w:hAnsi="Franklin Gothic Demi" w:cs="Franklin Gothic Demi Cond"/>
                          <w:bCs/>
                          <w:color w:val="005F86"/>
                          <w:sz w:val="56"/>
                        </w:rPr>
                        <w:t>-20</w:t>
                      </w:r>
                      <w:r>
                        <w:rPr>
                          <w:rFonts w:ascii="Franklin Gothic Demi" w:eastAsia="Franklin Gothic Demi Cond" w:hAnsi="Franklin Gothic Demi" w:cs="Franklin Gothic Demi Cond"/>
                          <w:bCs/>
                          <w:color w:val="005F86"/>
                          <w:sz w:val="56"/>
                        </w:rPr>
                        <w:t>30</w:t>
                      </w:r>
                      <w:r w:rsidRPr="00BF2A03">
                        <w:rPr>
                          <w:rFonts w:ascii="Franklin Gothic Demi" w:eastAsia="Franklin Gothic Demi Cond" w:hAnsi="Franklin Gothic Demi" w:cs="Franklin Gothic Demi Cond"/>
                          <w:bCs/>
                          <w:color w:val="005F86"/>
                          <w:sz w:val="56"/>
                        </w:rPr>
                        <w:br/>
                      </w:r>
                      <w:r w:rsidRPr="00B446AE">
                        <w:rPr>
                          <w:rFonts w:ascii="Franklin Gothic Demi" w:eastAsia="Franklin Gothic Demi Cond" w:hAnsi="Franklin Gothic Demi" w:cs="Franklin Gothic Demi Cond"/>
                          <w:bCs/>
                          <w:color w:val="005F86"/>
                          <w:sz w:val="96"/>
                          <w:szCs w:val="96"/>
                        </w:rPr>
                        <w:t xml:space="preserve">Comprehensive </w:t>
                      </w:r>
                      <w:r w:rsidRPr="00B446AE">
                        <w:rPr>
                          <w:rFonts w:ascii="Franklin Gothic Demi" w:eastAsia="Franklin Gothic Demi Cond" w:hAnsi="Franklin Gothic Demi" w:cs="Franklin Gothic Demi Cond"/>
                          <w:bCs/>
                          <w:color w:val="005F86"/>
                          <w:sz w:val="96"/>
                          <w:szCs w:val="96"/>
                        </w:rPr>
                        <w:br/>
                        <w:t>Reliability Plan</w:t>
                      </w:r>
                    </w:p>
                    <w:p w14:paraId="6739E10C" w14:textId="77777777" w:rsidR="00933FB9" w:rsidRDefault="00933FB9">
                      <w:pPr>
                        <w:ind w:left="0"/>
                      </w:pPr>
                    </w:p>
                  </w:txbxContent>
                </v:textbox>
                <w10:wrap anchorx="margin"/>
              </v:shape>
            </w:pict>
          </mc:Fallback>
        </mc:AlternateContent>
      </w:r>
      <w:r w:rsidR="00B446AE">
        <w:rPr>
          <w:noProof/>
          <w:lang w:bidi="ar-SA"/>
        </w:rPr>
        <mc:AlternateContent>
          <mc:Choice Requires="wps">
            <w:drawing>
              <wp:anchor distT="0" distB="0" distL="114300" distR="114300" simplePos="0" relativeHeight="251665408" behindDoc="0" locked="0" layoutInCell="1" allowOverlap="1" wp14:anchorId="58731DD2" wp14:editId="40930352">
                <wp:simplePos x="0" y="0"/>
                <wp:positionH relativeFrom="page">
                  <wp:posOffset>-127825</wp:posOffset>
                </wp:positionH>
                <wp:positionV relativeFrom="bottomMargin">
                  <wp:posOffset>1014095</wp:posOffset>
                </wp:positionV>
                <wp:extent cx="6939280" cy="127635"/>
                <wp:effectExtent l="0" t="628650" r="566420" b="0"/>
                <wp:wrapNone/>
                <wp:docPr id="5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9280" cy="127635"/>
                        </a:xfrm>
                        <a:custGeom>
                          <a:avLst/>
                          <a:gdLst>
                            <a:gd name="T0" fmla="+- 0 973 -201"/>
                            <a:gd name="T1" fmla="*/ T0 w 10928"/>
                            <a:gd name="T2" fmla="+- 0 14904 15840"/>
                            <a:gd name="T3" fmla="*/ 14904 h 201"/>
                            <a:gd name="T4" fmla="+- 0 888 -201"/>
                            <a:gd name="T5" fmla="*/ T4 w 10928"/>
                            <a:gd name="T6" fmla="+- 0 15105 15840"/>
                            <a:gd name="T7" fmla="*/ 15105 h 201"/>
                            <a:gd name="T8" fmla="+- 0 1322 -201"/>
                            <a:gd name="T9" fmla="*/ T8 w 10928"/>
                            <a:gd name="T10" fmla="+- 0 14904 15840"/>
                            <a:gd name="T11" fmla="*/ 14904 h 201"/>
                            <a:gd name="T12" fmla="+- 0 1238 -201"/>
                            <a:gd name="T13" fmla="*/ T12 w 10928"/>
                            <a:gd name="T14" fmla="+- 0 15105 15840"/>
                            <a:gd name="T15" fmla="*/ 15105 h 201"/>
                            <a:gd name="T16" fmla="+- 0 1672 -201"/>
                            <a:gd name="T17" fmla="*/ T16 w 10928"/>
                            <a:gd name="T18" fmla="+- 0 14904 15840"/>
                            <a:gd name="T19" fmla="*/ 14904 h 201"/>
                            <a:gd name="T20" fmla="+- 0 1588 -201"/>
                            <a:gd name="T21" fmla="*/ T20 w 10928"/>
                            <a:gd name="T22" fmla="+- 0 15105 15840"/>
                            <a:gd name="T23" fmla="*/ 15105 h 201"/>
                            <a:gd name="T24" fmla="+- 0 2022 -201"/>
                            <a:gd name="T25" fmla="*/ T24 w 10928"/>
                            <a:gd name="T26" fmla="+- 0 14904 15840"/>
                            <a:gd name="T27" fmla="*/ 14904 h 201"/>
                            <a:gd name="T28" fmla="+- 0 1938 -201"/>
                            <a:gd name="T29" fmla="*/ T28 w 10928"/>
                            <a:gd name="T30" fmla="+- 0 15105 15840"/>
                            <a:gd name="T31" fmla="*/ 15105 h 201"/>
                            <a:gd name="T32" fmla="+- 0 2372 -201"/>
                            <a:gd name="T33" fmla="*/ T32 w 10928"/>
                            <a:gd name="T34" fmla="+- 0 14904 15840"/>
                            <a:gd name="T35" fmla="*/ 14904 h 201"/>
                            <a:gd name="T36" fmla="+- 0 2288 -201"/>
                            <a:gd name="T37" fmla="*/ T36 w 10928"/>
                            <a:gd name="T38" fmla="+- 0 15105 15840"/>
                            <a:gd name="T39" fmla="*/ 15105 h 201"/>
                            <a:gd name="T40" fmla="+- 0 2722 -201"/>
                            <a:gd name="T41" fmla="*/ T40 w 10928"/>
                            <a:gd name="T42" fmla="+- 0 14904 15840"/>
                            <a:gd name="T43" fmla="*/ 14904 h 201"/>
                            <a:gd name="T44" fmla="+- 0 2637 -201"/>
                            <a:gd name="T45" fmla="*/ T44 w 10928"/>
                            <a:gd name="T46" fmla="+- 0 15105 15840"/>
                            <a:gd name="T47" fmla="*/ 15105 h 201"/>
                            <a:gd name="T48" fmla="+- 0 3071 -201"/>
                            <a:gd name="T49" fmla="*/ T48 w 10928"/>
                            <a:gd name="T50" fmla="+- 0 14904 15840"/>
                            <a:gd name="T51" fmla="*/ 14904 h 201"/>
                            <a:gd name="T52" fmla="+- 0 2987 -201"/>
                            <a:gd name="T53" fmla="*/ T52 w 10928"/>
                            <a:gd name="T54" fmla="+- 0 15105 15840"/>
                            <a:gd name="T55" fmla="*/ 15105 h 201"/>
                            <a:gd name="T56" fmla="+- 0 3421 -201"/>
                            <a:gd name="T57" fmla="*/ T56 w 10928"/>
                            <a:gd name="T58" fmla="+- 0 14904 15840"/>
                            <a:gd name="T59" fmla="*/ 14904 h 201"/>
                            <a:gd name="T60" fmla="+- 0 3337 -201"/>
                            <a:gd name="T61" fmla="*/ T60 w 10928"/>
                            <a:gd name="T62" fmla="+- 0 15105 15840"/>
                            <a:gd name="T63" fmla="*/ 15105 h 201"/>
                            <a:gd name="T64" fmla="+- 0 3771 -201"/>
                            <a:gd name="T65" fmla="*/ T64 w 10928"/>
                            <a:gd name="T66" fmla="+- 0 14904 15840"/>
                            <a:gd name="T67" fmla="*/ 14904 h 201"/>
                            <a:gd name="T68" fmla="+- 0 3687 -201"/>
                            <a:gd name="T69" fmla="*/ T68 w 10928"/>
                            <a:gd name="T70" fmla="+- 0 15105 15840"/>
                            <a:gd name="T71" fmla="*/ 15105 h 201"/>
                            <a:gd name="T72" fmla="+- 0 4121 -201"/>
                            <a:gd name="T73" fmla="*/ T72 w 10928"/>
                            <a:gd name="T74" fmla="+- 0 14904 15840"/>
                            <a:gd name="T75" fmla="*/ 14904 h 201"/>
                            <a:gd name="T76" fmla="+- 0 4037 -201"/>
                            <a:gd name="T77" fmla="*/ T76 w 10928"/>
                            <a:gd name="T78" fmla="+- 0 15105 15840"/>
                            <a:gd name="T79" fmla="*/ 15105 h 201"/>
                            <a:gd name="T80" fmla="+- 0 4471 -201"/>
                            <a:gd name="T81" fmla="*/ T80 w 10928"/>
                            <a:gd name="T82" fmla="+- 0 14904 15840"/>
                            <a:gd name="T83" fmla="*/ 14904 h 201"/>
                            <a:gd name="T84" fmla="+- 0 4386 -201"/>
                            <a:gd name="T85" fmla="*/ T84 w 10928"/>
                            <a:gd name="T86" fmla="+- 0 15105 15840"/>
                            <a:gd name="T87" fmla="*/ 15105 h 201"/>
                            <a:gd name="T88" fmla="+- 0 4820 -201"/>
                            <a:gd name="T89" fmla="*/ T88 w 10928"/>
                            <a:gd name="T90" fmla="+- 0 14904 15840"/>
                            <a:gd name="T91" fmla="*/ 14904 h 201"/>
                            <a:gd name="T92" fmla="+- 0 4736 -201"/>
                            <a:gd name="T93" fmla="*/ T92 w 10928"/>
                            <a:gd name="T94" fmla="+- 0 15105 15840"/>
                            <a:gd name="T95" fmla="*/ 15105 h 201"/>
                            <a:gd name="T96" fmla="+- 0 5170 -201"/>
                            <a:gd name="T97" fmla="*/ T96 w 10928"/>
                            <a:gd name="T98" fmla="+- 0 14904 15840"/>
                            <a:gd name="T99" fmla="*/ 14904 h 201"/>
                            <a:gd name="T100" fmla="+- 0 5086 -201"/>
                            <a:gd name="T101" fmla="*/ T100 w 10928"/>
                            <a:gd name="T102" fmla="+- 0 15105 15840"/>
                            <a:gd name="T103" fmla="*/ 15105 h 201"/>
                            <a:gd name="T104" fmla="+- 0 5520 -201"/>
                            <a:gd name="T105" fmla="*/ T104 w 10928"/>
                            <a:gd name="T106" fmla="+- 0 14904 15840"/>
                            <a:gd name="T107" fmla="*/ 14904 h 201"/>
                            <a:gd name="T108" fmla="+- 0 5436 -201"/>
                            <a:gd name="T109" fmla="*/ T108 w 10928"/>
                            <a:gd name="T110" fmla="+- 0 15105 15840"/>
                            <a:gd name="T111" fmla="*/ 15105 h 201"/>
                            <a:gd name="T112" fmla="+- 0 5870 -201"/>
                            <a:gd name="T113" fmla="*/ T112 w 10928"/>
                            <a:gd name="T114" fmla="+- 0 14904 15840"/>
                            <a:gd name="T115" fmla="*/ 14904 h 201"/>
                            <a:gd name="T116" fmla="+- 0 5785 -201"/>
                            <a:gd name="T117" fmla="*/ T116 w 10928"/>
                            <a:gd name="T118" fmla="+- 0 15105 15840"/>
                            <a:gd name="T119" fmla="*/ 15105 h 201"/>
                            <a:gd name="T120" fmla="+- 0 6219 -201"/>
                            <a:gd name="T121" fmla="*/ T120 w 10928"/>
                            <a:gd name="T122" fmla="+- 0 14904 15840"/>
                            <a:gd name="T123" fmla="*/ 14904 h 201"/>
                            <a:gd name="T124" fmla="+- 0 6135 -201"/>
                            <a:gd name="T125" fmla="*/ T124 w 10928"/>
                            <a:gd name="T126" fmla="+- 0 15105 15840"/>
                            <a:gd name="T127" fmla="*/ 15105 h 201"/>
                            <a:gd name="T128" fmla="+- 0 6569 -201"/>
                            <a:gd name="T129" fmla="*/ T128 w 10928"/>
                            <a:gd name="T130" fmla="+- 0 14904 15840"/>
                            <a:gd name="T131" fmla="*/ 14904 h 201"/>
                            <a:gd name="T132" fmla="+- 0 6485 -201"/>
                            <a:gd name="T133" fmla="*/ T132 w 10928"/>
                            <a:gd name="T134" fmla="+- 0 15105 15840"/>
                            <a:gd name="T135" fmla="*/ 15105 h 201"/>
                            <a:gd name="T136" fmla="+- 0 6919 -201"/>
                            <a:gd name="T137" fmla="*/ T136 w 10928"/>
                            <a:gd name="T138" fmla="+- 0 14904 15840"/>
                            <a:gd name="T139" fmla="*/ 14904 h 201"/>
                            <a:gd name="T140" fmla="+- 0 6835 -201"/>
                            <a:gd name="T141" fmla="*/ T140 w 10928"/>
                            <a:gd name="T142" fmla="+- 0 15105 15840"/>
                            <a:gd name="T143" fmla="*/ 15105 h 201"/>
                            <a:gd name="T144" fmla="+- 0 7269 -201"/>
                            <a:gd name="T145" fmla="*/ T144 w 10928"/>
                            <a:gd name="T146" fmla="+- 0 14904 15840"/>
                            <a:gd name="T147" fmla="*/ 14904 h 201"/>
                            <a:gd name="T148" fmla="+- 0 7185 -201"/>
                            <a:gd name="T149" fmla="*/ T148 w 10928"/>
                            <a:gd name="T150" fmla="+- 0 15105 15840"/>
                            <a:gd name="T151" fmla="*/ 15105 h 201"/>
                            <a:gd name="T152" fmla="+- 0 7619 -201"/>
                            <a:gd name="T153" fmla="*/ T152 w 10928"/>
                            <a:gd name="T154" fmla="+- 0 14904 15840"/>
                            <a:gd name="T155" fmla="*/ 14904 h 201"/>
                            <a:gd name="T156" fmla="+- 0 7534 -201"/>
                            <a:gd name="T157" fmla="*/ T156 w 10928"/>
                            <a:gd name="T158" fmla="+- 0 15105 15840"/>
                            <a:gd name="T159" fmla="*/ 15105 h 201"/>
                            <a:gd name="T160" fmla="+- 0 7968 -201"/>
                            <a:gd name="T161" fmla="*/ T160 w 10928"/>
                            <a:gd name="T162" fmla="+- 0 14904 15840"/>
                            <a:gd name="T163" fmla="*/ 14904 h 201"/>
                            <a:gd name="T164" fmla="+- 0 7884 -201"/>
                            <a:gd name="T165" fmla="*/ T164 w 10928"/>
                            <a:gd name="T166" fmla="+- 0 15105 15840"/>
                            <a:gd name="T167" fmla="*/ 15105 h 201"/>
                            <a:gd name="T168" fmla="+- 0 8318 -201"/>
                            <a:gd name="T169" fmla="*/ T168 w 10928"/>
                            <a:gd name="T170" fmla="+- 0 14904 15840"/>
                            <a:gd name="T171" fmla="*/ 14904 h 201"/>
                            <a:gd name="T172" fmla="+- 0 8234 -201"/>
                            <a:gd name="T173" fmla="*/ T172 w 10928"/>
                            <a:gd name="T174" fmla="+- 0 15105 15840"/>
                            <a:gd name="T175" fmla="*/ 15105 h 201"/>
                            <a:gd name="T176" fmla="+- 0 8668 -201"/>
                            <a:gd name="T177" fmla="*/ T176 w 10928"/>
                            <a:gd name="T178" fmla="+- 0 14904 15840"/>
                            <a:gd name="T179" fmla="*/ 14904 h 201"/>
                            <a:gd name="T180" fmla="+- 0 8584 -201"/>
                            <a:gd name="T181" fmla="*/ T180 w 10928"/>
                            <a:gd name="T182" fmla="+- 0 15105 15840"/>
                            <a:gd name="T183" fmla="*/ 15105 h 201"/>
                            <a:gd name="T184" fmla="+- 0 9018 -201"/>
                            <a:gd name="T185" fmla="*/ T184 w 10928"/>
                            <a:gd name="T186" fmla="+- 0 14904 15840"/>
                            <a:gd name="T187" fmla="*/ 14904 h 201"/>
                            <a:gd name="T188" fmla="+- 0 8933 -201"/>
                            <a:gd name="T189" fmla="*/ T188 w 10928"/>
                            <a:gd name="T190" fmla="+- 0 15105 15840"/>
                            <a:gd name="T191" fmla="*/ 15105 h 201"/>
                            <a:gd name="T192" fmla="+- 0 9367 -201"/>
                            <a:gd name="T193" fmla="*/ T192 w 10928"/>
                            <a:gd name="T194" fmla="+- 0 14904 15840"/>
                            <a:gd name="T195" fmla="*/ 14904 h 201"/>
                            <a:gd name="T196" fmla="+- 0 9283 -201"/>
                            <a:gd name="T197" fmla="*/ T196 w 10928"/>
                            <a:gd name="T198" fmla="+- 0 15105 15840"/>
                            <a:gd name="T199" fmla="*/ 15105 h 201"/>
                            <a:gd name="T200" fmla="+- 0 9717 -201"/>
                            <a:gd name="T201" fmla="*/ T200 w 10928"/>
                            <a:gd name="T202" fmla="+- 0 14904 15840"/>
                            <a:gd name="T203" fmla="*/ 14904 h 201"/>
                            <a:gd name="T204" fmla="+- 0 9633 -201"/>
                            <a:gd name="T205" fmla="*/ T204 w 10928"/>
                            <a:gd name="T206" fmla="+- 0 15105 15840"/>
                            <a:gd name="T207" fmla="*/ 15105 h 201"/>
                            <a:gd name="T208" fmla="+- 0 10067 -201"/>
                            <a:gd name="T209" fmla="*/ T208 w 10928"/>
                            <a:gd name="T210" fmla="+- 0 14904 15840"/>
                            <a:gd name="T211" fmla="*/ 14904 h 201"/>
                            <a:gd name="T212" fmla="+- 0 9983 -201"/>
                            <a:gd name="T213" fmla="*/ T212 w 10928"/>
                            <a:gd name="T214" fmla="+- 0 15105 15840"/>
                            <a:gd name="T215" fmla="*/ 15105 h 201"/>
                            <a:gd name="T216" fmla="+- 0 10417 -201"/>
                            <a:gd name="T217" fmla="*/ T216 w 10928"/>
                            <a:gd name="T218" fmla="+- 0 14904 15840"/>
                            <a:gd name="T219" fmla="*/ 14904 h 201"/>
                            <a:gd name="T220" fmla="+- 0 10333 -201"/>
                            <a:gd name="T221" fmla="*/ T220 w 10928"/>
                            <a:gd name="T222" fmla="+- 0 15105 15840"/>
                            <a:gd name="T223" fmla="*/ 15105 h 201"/>
                            <a:gd name="T224" fmla="+- 0 10767 -201"/>
                            <a:gd name="T225" fmla="*/ T224 w 10928"/>
                            <a:gd name="T226" fmla="+- 0 14904 15840"/>
                            <a:gd name="T227" fmla="*/ 14904 h 201"/>
                            <a:gd name="T228" fmla="+- 0 10682 -201"/>
                            <a:gd name="T229" fmla="*/ T228 w 10928"/>
                            <a:gd name="T230" fmla="+- 0 15105 15840"/>
                            <a:gd name="T231" fmla="*/ 15105 h 201"/>
                            <a:gd name="T232" fmla="+- 0 11116 -201"/>
                            <a:gd name="T233" fmla="*/ T232 w 10928"/>
                            <a:gd name="T234" fmla="+- 0 14904 15840"/>
                            <a:gd name="T235" fmla="*/ 14904 h 201"/>
                            <a:gd name="T236" fmla="+- 0 11032 -201"/>
                            <a:gd name="T237" fmla="*/ T236 w 10928"/>
                            <a:gd name="T238" fmla="+- 0 15105 15840"/>
                            <a:gd name="T239" fmla="*/ 15105 h 201"/>
                            <a:gd name="T240" fmla="+- 0 11466 -201"/>
                            <a:gd name="T241" fmla="*/ T240 w 10928"/>
                            <a:gd name="T242" fmla="+- 0 14904 15840"/>
                            <a:gd name="T243" fmla="*/ 14904 h 201"/>
                            <a:gd name="T244" fmla="+- 0 11382 -201"/>
                            <a:gd name="T245" fmla="*/ T244 w 10928"/>
                            <a:gd name="T246" fmla="+- 0 15105 15840"/>
                            <a:gd name="T247" fmla="*/ 15105 h 2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0928" h="201">
                              <a:moveTo>
                                <a:pt x="1057" y="-936"/>
                              </a:moveTo>
                              <a:lnTo>
                                <a:pt x="856" y="-735"/>
                              </a:lnTo>
                              <a:moveTo>
                                <a:pt x="1174" y="-936"/>
                              </a:moveTo>
                              <a:lnTo>
                                <a:pt x="973" y="-735"/>
                              </a:lnTo>
                              <a:moveTo>
                                <a:pt x="1290" y="-936"/>
                              </a:moveTo>
                              <a:lnTo>
                                <a:pt x="1089" y="-735"/>
                              </a:lnTo>
                              <a:moveTo>
                                <a:pt x="1407" y="-936"/>
                              </a:moveTo>
                              <a:lnTo>
                                <a:pt x="1206" y="-735"/>
                              </a:lnTo>
                              <a:moveTo>
                                <a:pt x="1523" y="-936"/>
                              </a:moveTo>
                              <a:lnTo>
                                <a:pt x="1323" y="-735"/>
                              </a:lnTo>
                              <a:moveTo>
                                <a:pt x="1640" y="-936"/>
                              </a:moveTo>
                              <a:lnTo>
                                <a:pt x="1439" y="-735"/>
                              </a:lnTo>
                              <a:moveTo>
                                <a:pt x="1757" y="-936"/>
                              </a:moveTo>
                              <a:lnTo>
                                <a:pt x="1556" y="-735"/>
                              </a:lnTo>
                              <a:moveTo>
                                <a:pt x="1873" y="-936"/>
                              </a:moveTo>
                              <a:lnTo>
                                <a:pt x="1672" y="-735"/>
                              </a:lnTo>
                              <a:moveTo>
                                <a:pt x="1990" y="-936"/>
                              </a:moveTo>
                              <a:lnTo>
                                <a:pt x="1789" y="-735"/>
                              </a:lnTo>
                              <a:moveTo>
                                <a:pt x="2106" y="-936"/>
                              </a:moveTo>
                              <a:lnTo>
                                <a:pt x="1906" y="-735"/>
                              </a:lnTo>
                              <a:moveTo>
                                <a:pt x="2223" y="-936"/>
                              </a:moveTo>
                              <a:lnTo>
                                <a:pt x="2022" y="-735"/>
                              </a:lnTo>
                              <a:moveTo>
                                <a:pt x="2340" y="-936"/>
                              </a:moveTo>
                              <a:lnTo>
                                <a:pt x="2139" y="-735"/>
                              </a:lnTo>
                              <a:moveTo>
                                <a:pt x="2456" y="-936"/>
                              </a:moveTo>
                              <a:lnTo>
                                <a:pt x="2255" y="-735"/>
                              </a:lnTo>
                              <a:moveTo>
                                <a:pt x="2573" y="-936"/>
                              </a:moveTo>
                              <a:lnTo>
                                <a:pt x="2372" y="-735"/>
                              </a:lnTo>
                              <a:moveTo>
                                <a:pt x="2689" y="-936"/>
                              </a:moveTo>
                              <a:lnTo>
                                <a:pt x="2489" y="-735"/>
                              </a:lnTo>
                              <a:moveTo>
                                <a:pt x="2806" y="-936"/>
                              </a:moveTo>
                              <a:lnTo>
                                <a:pt x="2605" y="-735"/>
                              </a:lnTo>
                              <a:moveTo>
                                <a:pt x="2923" y="-936"/>
                              </a:moveTo>
                              <a:lnTo>
                                <a:pt x="2722" y="-735"/>
                              </a:lnTo>
                              <a:moveTo>
                                <a:pt x="3039" y="-936"/>
                              </a:moveTo>
                              <a:lnTo>
                                <a:pt x="2838" y="-735"/>
                              </a:lnTo>
                              <a:moveTo>
                                <a:pt x="3156" y="-936"/>
                              </a:moveTo>
                              <a:lnTo>
                                <a:pt x="2955" y="-735"/>
                              </a:lnTo>
                              <a:moveTo>
                                <a:pt x="3272" y="-936"/>
                              </a:moveTo>
                              <a:lnTo>
                                <a:pt x="3072" y="-735"/>
                              </a:lnTo>
                              <a:moveTo>
                                <a:pt x="3389" y="-936"/>
                              </a:moveTo>
                              <a:lnTo>
                                <a:pt x="3188" y="-735"/>
                              </a:lnTo>
                              <a:moveTo>
                                <a:pt x="3506" y="-936"/>
                              </a:moveTo>
                              <a:lnTo>
                                <a:pt x="3305" y="-735"/>
                              </a:lnTo>
                              <a:moveTo>
                                <a:pt x="3622" y="-936"/>
                              </a:moveTo>
                              <a:lnTo>
                                <a:pt x="3421" y="-735"/>
                              </a:lnTo>
                              <a:moveTo>
                                <a:pt x="3739" y="-936"/>
                              </a:moveTo>
                              <a:lnTo>
                                <a:pt x="3538" y="-735"/>
                              </a:lnTo>
                              <a:moveTo>
                                <a:pt x="3855" y="-936"/>
                              </a:moveTo>
                              <a:lnTo>
                                <a:pt x="3655" y="-735"/>
                              </a:lnTo>
                              <a:moveTo>
                                <a:pt x="3972" y="-936"/>
                              </a:moveTo>
                              <a:lnTo>
                                <a:pt x="3771" y="-735"/>
                              </a:lnTo>
                              <a:moveTo>
                                <a:pt x="4089" y="-936"/>
                              </a:moveTo>
                              <a:lnTo>
                                <a:pt x="3888" y="-735"/>
                              </a:lnTo>
                              <a:moveTo>
                                <a:pt x="4205" y="-936"/>
                              </a:moveTo>
                              <a:lnTo>
                                <a:pt x="4004" y="-735"/>
                              </a:lnTo>
                              <a:moveTo>
                                <a:pt x="4322" y="-936"/>
                              </a:moveTo>
                              <a:lnTo>
                                <a:pt x="4121" y="-735"/>
                              </a:lnTo>
                              <a:moveTo>
                                <a:pt x="4438" y="-936"/>
                              </a:moveTo>
                              <a:lnTo>
                                <a:pt x="4238" y="-735"/>
                              </a:lnTo>
                              <a:moveTo>
                                <a:pt x="4555" y="-936"/>
                              </a:moveTo>
                              <a:lnTo>
                                <a:pt x="4354" y="-735"/>
                              </a:lnTo>
                              <a:moveTo>
                                <a:pt x="4672" y="-936"/>
                              </a:moveTo>
                              <a:lnTo>
                                <a:pt x="4471" y="-735"/>
                              </a:lnTo>
                              <a:moveTo>
                                <a:pt x="4788" y="-936"/>
                              </a:moveTo>
                              <a:lnTo>
                                <a:pt x="4587" y="-735"/>
                              </a:lnTo>
                              <a:moveTo>
                                <a:pt x="4905" y="-936"/>
                              </a:moveTo>
                              <a:lnTo>
                                <a:pt x="4704" y="-735"/>
                              </a:lnTo>
                              <a:moveTo>
                                <a:pt x="5021" y="-936"/>
                              </a:moveTo>
                              <a:lnTo>
                                <a:pt x="4820" y="-735"/>
                              </a:lnTo>
                              <a:moveTo>
                                <a:pt x="5138" y="-936"/>
                              </a:moveTo>
                              <a:lnTo>
                                <a:pt x="4937" y="-735"/>
                              </a:lnTo>
                              <a:moveTo>
                                <a:pt x="5254" y="-936"/>
                              </a:moveTo>
                              <a:lnTo>
                                <a:pt x="5054" y="-735"/>
                              </a:lnTo>
                              <a:moveTo>
                                <a:pt x="5371" y="-936"/>
                              </a:moveTo>
                              <a:lnTo>
                                <a:pt x="5170" y="-735"/>
                              </a:lnTo>
                              <a:moveTo>
                                <a:pt x="5488" y="-936"/>
                              </a:moveTo>
                              <a:lnTo>
                                <a:pt x="5287" y="-735"/>
                              </a:lnTo>
                              <a:moveTo>
                                <a:pt x="5604" y="-936"/>
                              </a:moveTo>
                              <a:lnTo>
                                <a:pt x="5403" y="-735"/>
                              </a:lnTo>
                              <a:moveTo>
                                <a:pt x="5721" y="-936"/>
                              </a:moveTo>
                              <a:lnTo>
                                <a:pt x="5520" y="-735"/>
                              </a:lnTo>
                              <a:moveTo>
                                <a:pt x="5837" y="-936"/>
                              </a:moveTo>
                              <a:lnTo>
                                <a:pt x="5637" y="-735"/>
                              </a:lnTo>
                              <a:moveTo>
                                <a:pt x="5954" y="-936"/>
                              </a:moveTo>
                              <a:lnTo>
                                <a:pt x="5753" y="-735"/>
                              </a:lnTo>
                              <a:moveTo>
                                <a:pt x="6071" y="-936"/>
                              </a:moveTo>
                              <a:lnTo>
                                <a:pt x="5870" y="-735"/>
                              </a:lnTo>
                              <a:moveTo>
                                <a:pt x="6187" y="-936"/>
                              </a:moveTo>
                              <a:lnTo>
                                <a:pt x="5986" y="-735"/>
                              </a:lnTo>
                              <a:moveTo>
                                <a:pt x="6304" y="-936"/>
                              </a:moveTo>
                              <a:lnTo>
                                <a:pt x="6103" y="-735"/>
                              </a:lnTo>
                              <a:moveTo>
                                <a:pt x="6420" y="-936"/>
                              </a:moveTo>
                              <a:lnTo>
                                <a:pt x="6220" y="-735"/>
                              </a:lnTo>
                              <a:moveTo>
                                <a:pt x="6537" y="-936"/>
                              </a:moveTo>
                              <a:lnTo>
                                <a:pt x="6336" y="-735"/>
                              </a:lnTo>
                              <a:moveTo>
                                <a:pt x="6654" y="-936"/>
                              </a:moveTo>
                              <a:lnTo>
                                <a:pt x="6453" y="-735"/>
                              </a:lnTo>
                              <a:moveTo>
                                <a:pt x="6770" y="-936"/>
                              </a:moveTo>
                              <a:lnTo>
                                <a:pt x="6569" y="-735"/>
                              </a:lnTo>
                              <a:moveTo>
                                <a:pt x="6887" y="-936"/>
                              </a:moveTo>
                              <a:lnTo>
                                <a:pt x="6686" y="-735"/>
                              </a:lnTo>
                              <a:moveTo>
                                <a:pt x="7003" y="-936"/>
                              </a:moveTo>
                              <a:lnTo>
                                <a:pt x="6803" y="-735"/>
                              </a:lnTo>
                              <a:moveTo>
                                <a:pt x="7120" y="-936"/>
                              </a:moveTo>
                              <a:lnTo>
                                <a:pt x="6919" y="-735"/>
                              </a:lnTo>
                              <a:moveTo>
                                <a:pt x="7237" y="-936"/>
                              </a:moveTo>
                              <a:lnTo>
                                <a:pt x="7036" y="-735"/>
                              </a:lnTo>
                              <a:moveTo>
                                <a:pt x="7353" y="-936"/>
                              </a:moveTo>
                              <a:lnTo>
                                <a:pt x="7152" y="-735"/>
                              </a:lnTo>
                              <a:moveTo>
                                <a:pt x="7470" y="-936"/>
                              </a:moveTo>
                              <a:lnTo>
                                <a:pt x="7269" y="-735"/>
                              </a:lnTo>
                              <a:moveTo>
                                <a:pt x="7586" y="-936"/>
                              </a:moveTo>
                              <a:lnTo>
                                <a:pt x="7386" y="-735"/>
                              </a:lnTo>
                              <a:moveTo>
                                <a:pt x="7703" y="-936"/>
                              </a:moveTo>
                              <a:lnTo>
                                <a:pt x="7502" y="-735"/>
                              </a:lnTo>
                              <a:moveTo>
                                <a:pt x="7820" y="-936"/>
                              </a:moveTo>
                              <a:lnTo>
                                <a:pt x="7619" y="-735"/>
                              </a:lnTo>
                              <a:moveTo>
                                <a:pt x="7936" y="-936"/>
                              </a:moveTo>
                              <a:lnTo>
                                <a:pt x="7735" y="-735"/>
                              </a:lnTo>
                              <a:moveTo>
                                <a:pt x="8053" y="-936"/>
                              </a:moveTo>
                              <a:lnTo>
                                <a:pt x="7852" y="-735"/>
                              </a:lnTo>
                              <a:moveTo>
                                <a:pt x="8169" y="-936"/>
                              </a:moveTo>
                              <a:lnTo>
                                <a:pt x="7969" y="-735"/>
                              </a:lnTo>
                              <a:moveTo>
                                <a:pt x="8286" y="-936"/>
                              </a:moveTo>
                              <a:lnTo>
                                <a:pt x="8085" y="-735"/>
                              </a:lnTo>
                              <a:moveTo>
                                <a:pt x="8403" y="-936"/>
                              </a:moveTo>
                              <a:lnTo>
                                <a:pt x="8202" y="-735"/>
                              </a:lnTo>
                              <a:moveTo>
                                <a:pt x="8519" y="-936"/>
                              </a:moveTo>
                              <a:lnTo>
                                <a:pt x="8318" y="-735"/>
                              </a:lnTo>
                              <a:moveTo>
                                <a:pt x="8636" y="-936"/>
                              </a:moveTo>
                              <a:lnTo>
                                <a:pt x="8435" y="-735"/>
                              </a:lnTo>
                              <a:moveTo>
                                <a:pt x="8752" y="-936"/>
                              </a:moveTo>
                              <a:lnTo>
                                <a:pt x="8551" y="-735"/>
                              </a:lnTo>
                              <a:moveTo>
                                <a:pt x="8869" y="-936"/>
                              </a:moveTo>
                              <a:lnTo>
                                <a:pt x="8668" y="-735"/>
                              </a:lnTo>
                              <a:moveTo>
                                <a:pt x="8985" y="-936"/>
                              </a:moveTo>
                              <a:lnTo>
                                <a:pt x="8785" y="-735"/>
                              </a:lnTo>
                              <a:moveTo>
                                <a:pt x="9102" y="-936"/>
                              </a:moveTo>
                              <a:lnTo>
                                <a:pt x="8901" y="-735"/>
                              </a:lnTo>
                              <a:moveTo>
                                <a:pt x="9219" y="-936"/>
                              </a:moveTo>
                              <a:lnTo>
                                <a:pt x="9018" y="-735"/>
                              </a:lnTo>
                              <a:moveTo>
                                <a:pt x="9335" y="-936"/>
                              </a:moveTo>
                              <a:lnTo>
                                <a:pt x="9134" y="-735"/>
                              </a:lnTo>
                              <a:moveTo>
                                <a:pt x="9452" y="-936"/>
                              </a:moveTo>
                              <a:lnTo>
                                <a:pt x="9251" y="-735"/>
                              </a:lnTo>
                              <a:moveTo>
                                <a:pt x="9568" y="-936"/>
                              </a:moveTo>
                              <a:lnTo>
                                <a:pt x="9368" y="-735"/>
                              </a:lnTo>
                              <a:moveTo>
                                <a:pt x="9685" y="-936"/>
                              </a:moveTo>
                              <a:lnTo>
                                <a:pt x="9484" y="-735"/>
                              </a:lnTo>
                              <a:moveTo>
                                <a:pt x="9802" y="-936"/>
                              </a:moveTo>
                              <a:lnTo>
                                <a:pt x="9601" y="-735"/>
                              </a:lnTo>
                              <a:moveTo>
                                <a:pt x="9918" y="-936"/>
                              </a:moveTo>
                              <a:lnTo>
                                <a:pt x="9717" y="-735"/>
                              </a:lnTo>
                              <a:moveTo>
                                <a:pt x="10035" y="-936"/>
                              </a:moveTo>
                              <a:lnTo>
                                <a:pt x="9834" y="-735"/>
                              </a:lnTo>
                              <a:moveTo>
                                <a:pt x="10151" y="-936"/>
                              </a:moveTo>
                              <a:lnTo>
                                <a:pt x="9951" y="-735"/>
                              </a:lnTo>
                              <a:moveTo>
                                <a:pt x="10268" y="-936"/>
                              </a:moveTo>
                              <a:lnTo>
                                <a:pt x="10067" y="-735"/>
                              </a:lnTo>
                              <a:moveTo>
                                <a:pt x="10385" y="-936"/>
                              </a:moveTo>
                              <a:lnTo>
                                <a:pt x="10184" y="-735"/>
                              </a:lnTo>
                              <a:moveTo>
                                <a:pt x="10501" y="-936"/>
                              </a:moveTo>
                              <a:lnTo>
                                <a:pt x="10300" y="-735"/>
                              </a:lnTo>
                              <a:moveTo>
                                <a:pt x="10618" y="-936"/>
                              </a:moveTo>
                              <a:lnTo>
                                <a:pt x="10417" y="-735"/>
                              </a:lnTo>
                              <a:moveTo>
                                <a:pt x="10734" y="-936"/>
                              </a:moveTo>
                              <a:lnTo>
                                <a:pt x="10534" y="-735"/>
                              </a:lnTo>
                              <a:moveTo>
                                <a:pt x="10851" y="-936"/>
                              </a:moveTo>
                              <a:lnTo>
                                <a:pt x="10650" y="-735"/>
                              </a:lnTo>
                              <a:moveTo>
                                <a:pt x="10968" y="-936"/>
                              </a:moveTo>
                              <a:lnTo>
                                <a:pt x="10767" y="-735"/>
                              </a:lnTo>
                              <a:moveTo>
                                <a:pt x="11084" y="-936"/>
                              </a:moveTo>
                              <a:lnTo>
                                <a:pt x="10883" y="-735"/>
                              </a:lnTo>
                              <a:moveTo>
                                <a:pt x="11201" y="-936"/>
                              </a:moveTo>
                              <a:lnTo>
                                <a:pt x="11000" y="-735"/>
                              </a:lnTo>
                              <a:moveTo>
                                <a:pt x="11317" y="-936"/>
                              </a:moveTo>
                              <a:lnTo>
                                <a:pt x="11117" y="-735"/>
                              </a:lnTo>
                              <a:moveTo>
                                <a:pt x="11434" y="-936"/>
                              </a:moveTo>
                              <a:lnTo>
                                <a:pt x="11233" y="-735"/>
                              </a:lnTo>
                              <a:moveTo>
                                <a:pt x="11551" y="-936"/>
                              </a:moveTo>
                              <a:lnTo>
                                <a:pt x="11350" y="-735"/>
                              </a:lnTo>
                              <a:moveTo>
                                <a:pt x="11667" y="-936"/>
                              </a:moveTo>
                              <a:lnTo>
                                <a:pt x="11466" y="-735"/>
                              </a:lnTo>
                              <a:moveTo>
                                <a:pt x="11784" y="-936"/>
                              </a:moveTo>
                              <a:lnTo>
                                <a:pt x="11583" y="-735"/>
                              </a:lnTo>
                            </a:path>
                          </a:pathLst>
                        </a:custGeom>
                        <a:noFill/>
                        <a:ln w="27483">
                          <a:solidFill>
                            <a:srgbClr val="C9D6D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E29266" id="AutoShape 2" o:spid="_x0000_s1026" style="position:absolute;margin-left:-10.05pt;margin-top:79.85pt;width:546.4pt;height:10.0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page;mso-height-relative:page;v-text-anchor:top" coordsize="10928,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" path="m1057,-936l856,-735t318,-201l973,-735t317,-201l1089,-735t318,-201l1206,-735t317,-201l1323,-735t317,-201l1439,-735t318,-201l1556,-735t317,-201l1672,-735t318,-201l1789,-735t317,-201l1906,-735t317,-201l2022,-735t318,-201l2139,-735t317,-201l2255,-735t318,-201l2372,-735t317,-201l2489,-735t317,-201l2605,-735t318,-201l2722,-735t317,-201l2838,-735t318,-201l2955,-735t317,-201l3072,-735t317,-201l3188,-735t318,-201l3305,-735t317,-201l3421,-735t318,-201l3538,-735t317,-201l3655,-735t317,-201l3771,-735t318,-201l3888,-735t317,-201l4004,-735t318,-201l4121,-735t317,-201l4238,-735t317,-201l4354,-735t318,-201l4471,-735t317,-201l4587,-735t318,-201l4704,-735t317,-201l4820,-735t318,-201l4937,-735t317,-201l5054,-735t317,-201l5170,-735t318,-201l5287,-735t317,-201l5403,-735t318,-201l5520,-735t317,-201l5637,-735t317,-201l5753,-735t318,-201l5870,-735t317,-201l5986,-735t318,-201l6103,-735t317,-201l6220,-735t317,-201l6336,-735t318,-201l6453,-735t317,-201l6569,-735t318,-201l6686,-735t317,-201l6803,-735t317,-201l6919,-735t318,-201l7036,-735t317,-201l7152,-735t318,-201l7269,-735t317,-201l7386,-735t317,-201l7502,-735t318,-201l7619,-735t317,-201l7735,-735t318,-201l7852,-735t317,-201l7969,-735t317,-201l8085,-735t318,-201l8202,-735t317,-201l8318,-735t318,-201l8435,-735t317,-201l8551,-735t318,-201l8668,-735t317,-201l8785,-735t317,-201l8901,-735t318,-201l9018,-735t317,-201l9134,-735t318,-201l9251,-735t317,-201l9368,-735t317,-201l9484,-735t318,-201l9601,-735t317,-201l9717,-735t318,-201l9834,-735t317,-201l9951,-735t317,-201l10067,-735t318,-201l10184,-735t317,-201l10300,-735t318,-201l10417,-735t317,-201l10534,-735t317,-201l10650,-735t318,-201l10767,-735t317,-201l10883,-735t318,-201l11000,-735t317,-201l11117,-735t317,-201l11233,-735t318,-201l11350,-735t317,-201l11466,-735t318,-201l11583,-735e" filled="f" strokecolor="#c9d6db" strokeweight=".76342mm">
                <v:path arrowok="t" o:connecttype="custom" o:connectlocs="745490,9464040;691515,9591675;967105,9464040;913765,9591675;1189355,9464040;1136015,9591675;1411605,9464040;1358265,9591675;1633855,9464040;1580515,9591675;1856105,9464040;1802130,9591675;2077720,9464040;2024380,9591675;2299970,9464040;2246630,9591675;2522220,9464040;2468880,9591675;2744470,9464040;2691130,9591675;2966720,9464040;2912745,9591675;3188335,9464040;3134995,9591675;3410585,9464040;3357245,9591675;3632835,9464040;3579495,9591675;3855085,9464040;3801110,9591675;4076700,9464040;4023360,9591675;4298950,9464040;4245610,9591675;4521200,9464040;4467860,9591675;4743450,9464040;4690110,9591675;4965700,9464040;4911725,9591675;5187315,9464040;5133975,9591675;5409565,9464040;5356225,9591675;5631815,9464040;5578475,9591675;5854065,9464040;5800090,9591675;6075680,9464040;6022340,9591675;6297930,9464040;6244590,9591675;6520180,9464040;6466840,9591675;6742430,9464040;6689090,9591675;6964680,9464040;6910705,9591675;7186295,9464040;7132955,9591675;7408545,9464040;7355205,9591675" o:connectangles="0,0,0,0,0,0,0,0,0,0,0,0,0,0,0,0,0,0,0,0,0,0,0,0,0,0,0,0,0,0,0,0,0,0,0,0,0,0,0,0,0,0,0,0,0,0,0,0,0,0,0,0,0,0,0,0,0,0,0,0,0,0"/>
                <w10:wrap anchorx="page" anchory="margin"/>
              </v:shape>
            </w:pict>
          </mc:Fallback>
        </mc:AlternateContent>
      </w:r>
      <w:r w:rsidR="00BF2A03">
        <w:rPr>
          <w:rFonts w:ascii="Franklin Gothic Medium" w:hAnsi="Franklin Gothic Medium"/>
          <w:color w:val="005F86"/>
          <w:sz w:val="32"/>
          <w:szCs w:val="32"/>
        </w:rPr>
        <w:br w:type="page"/>
      </w:r>
    </w:p>
    <w:p w14:paraId="5AB1B78B" w14:textId="299A3467" w:rsidR="0016504D" w:rsidRPr="00BF2A03" w:rsidRDefault="0016504D" w:rsidP="00571CB8">
      <w:pPr>
        <w:pStyle w:val="BodyText"/>
        <w:ind w:firstLine="0"/>
        <w:jc w:val="left"/>
      </w:pPr>
      <w:r w:rsidRPr="00F273F7">
        <w:rPr>
          <w:rFonts w:ascii="Franklin Gothic Medium" w:hAnsi="Franklin Gothic Medium"/>
          <w:color w:val="005F86"/>
          <w:sz w:val="32"/>
          <w:szCs w:val="32"/>
        </w:rPr>
        <w:lastRenderedPageBreak/>
        <w:t>Table of Contents</w:t>
      </w:r>
      <w:bookmarkEnd w:id="1"/>
    </w:p>
    <w:p w14:paraId="7629C3F8" w14:textId="5FB3ACDC" w:rsidR="00CE3D77" w:rsidRDefault="00F32BC7">
      <w:pPr>
        <w:pStyle w:val="TOC1"/>
        <w:rPr>
          <w:rFonts w:asciiTheme="minorHAnsi" w:eastAsiaTheme="minorEastAsia" w:hAnsiTheme="minorHAnsi" w:cstheme="minorBidi"/>
          <w:b w:val="0"/>
          <w:bCs w:val="0"/>
          <w:caps w:val="0"/>
          <w:noProof/>
          <w:sz w:val="22"/>
          <w:szCs w:val="22"/>
          <w:lang w:bidi="ar-SA"/>
        </w:rPr>
      </w:pPr>
      <w:r>
        <w:fldChar w:fldCharType="begin"/>
      </w:r>
      <w:r w:rsidR="0016504D">
        <w:instrText xml:space="preserve"> TOC \o "1-3" \h \z \u </w:instrText>
      </w:r>
      <w:r>
        <w:fldChar w:fldCharType="separate"/>
      </w:r>
      <w:hyperlink w:anchor="_Toc81138673" w:history="1">
        <w:r w:rsidR="00CE3D77" w:rsidRPr="00AF5BC2">
          <w:rPr>
            <w:rStyle w:val="Hyperlink"/>
            <w:noProof/>
          </w:rPr>
          <w:t>Executive Summary</w:t>
        </w:r>
        <w:r w:rsidR="00CE3D77">
          <w:rPr>
            <w:noProof/>
            <w:webHidden/>
          </w:rPr>
          <w:tab/>
        </w:r>
        <w:r w:rsidR="00CE3D77">
          <w:rPr>
            <w:noProof/>
            <w:webHidden/>
          </w:rPr>
          <w:fldChar w:fldCharType="begin"/>
        </w:r>
        <w:r w:rsidR="00CE3D77">
          <w:rPr>
            <w:noProof/>
            <w:webHidden/>
          </w:rPr>
          <w:instrText xml:space="preserve"> PAGEREF _Toc81138673 \h </w:instrText>
        </w:r>
        <w:r w:rsidR="00CE3D77">
          <w:rPr>
            <w:noProof/>
            <w:webHidden/>
          </w:rPr>
        </w:r>
        <w:r w:rsidR="00CE3D77">
          <w:rPr>
            <w:noProof/>
            <w:webHidden/>
          </w:rPr>
          <w:fldChar w:fldCharType="separate"/>
        </w:r>
        <w:r w:rsidR="00CE3D77">
          <w:rPr>
            <w:noProof/>
            <w:webHidden/>
          </w:rPr>
          <w:t>5</w:t>
        </w:r>
        <w:r w:rsidR="00CE3D77">
          <w:rPr>
            <w:noProof/>
            <w:webHidden/>
          </w:rPr>
          <w:fldChar w:fldCharType="end"/>
        </w:r>
      </w:hyperlink>
    </w:p>
    <w:p w14:paraId="3B500531" w14:textId="54656208" w:rsidR="00CE3D77" w:rsidRDefault="0008271B">
      <w:pPr>
        <w:pStyle w:val="TOC1"/>
        <w:rPr>
          <w:rFonts w:asciiTheme="minorHAnsi" w:eastAsiaTheme="minorEastAsia" w:hAnsiTheme="minorHAnsi" w:cstheme="minorBidi"/>
          <w:b w:val="0"/>
          <w:bCs w:val="0"/>
          <w:caps w:val="0"/>
          <w:noProof/>
          <w:sz w:val="22"/>
          <w:szCs w:val="22"/>
          <w:lang w:bidi="ar-SA"/>
        </w:rPr>
      </w:pPr>
      <w:hyperlink w:anchor="_Toc81138674" w:history="1">
        <w:r w:rsidR="00CE3D77" w:rsidRPr="00AF5BC2">
          <w:rPr>
            <w:rStyle w:val="Hyperlink"/>
            <w:noProof/>
          </w:rPr>
          <w:t>Background</w:t>
        </w:r>
        <w:r w:rsidR="00CE3D77">
          <w:rPr>
            <w:noProof/>
            <w:webHidden/>
          </w:rPr>
          <w:tab/>
        </w:r>
        <w:r w:rsidR="00CE3D77">
          <w:rPr>
            <w:noProof/>
            <w:webHidden/>
          </w:rPr>
          <w:fldChar w:fldCharType="begin"/>
        </w:r>
        <w:r w:rsidR="00CE3D77">
          <w:rPr>
            <w:noProof/>
            <w:webHidden/>
          </w:rPr>
          <w:instrText xml:space="preserve"> PAGEREF _Toc81138674 \h </w:instrText>
        </w:r>
        <w:r w:rsidR="00CE3D77">
          <w:rPr>
            <w:noProof/>
            <w:webHidden/>
          </w:rPr>
        </w:r>
        <w:r w:rsidR="00CE3D77">
          <w:rPr>
            <w:noProof/>
            <w:webHidden/>
          </w:rPr>
          <w:fldChar w:fldCharType="separate"/>
        </w:r>
        <w:r w:rsidR="00CE3D77">
          <w:rPr>
            <w:noProof/>
            <w:webHidden/>
          </w:rPr>
          <w:t>6</w:t>
        </w:r>
        <w:r w:rsidR="00CE3D77">
          <w:rPr>
            <w:noProof/>
            <w:webHidden/>
          </w:rPr>
          <w:fldChar w:fldCharType="end"/>
        </w:r>
      </w:hyperlink>
    </w:p>
    <w:p w14:paraId="07E40BA3" w14:textId="04323CEE" w:rsidR="00CE3D77" w:rsidRDefault="0008271B">
      <w:pPr>
        <w:pStyle w:val="TOC2"/>
        <w:rPr>
          <w:rFonts w:asciiTheme="minorHAnsi" w:eastAsiaTheme="minorEastAsia" w:hAnsiTheme="minorHAnsi" w:cstheme="minorBidi"/>
          <w:lang w:bidi="ar-SA"/>
        </w:rPr>
      </w:pPr>
      <w:hyperlink w:anchor="_Toc81138675" w:history="1">
        <w:r w:rsidR="00CE3D77" w:rsidRPr="00AF5BC2">
          <w:rPr>
            <w:rStyle w:val="Hyperlink"/>
          </w:rPr>
          <w:t>2020 Reliability Needs Assessment</w:t>
        </w:r>
        <w:r w:rsidR="00CE3D77">
          <w:rPr>
            <w:webHidden/>
          </w:rPr>
          <w:tab/>
        </w:r>
        <w:r w:rsidR="00CE3D77">
          <w:rPr>
            <w:webHidden/>
          </w:rPr>
          <w:fldChar w:fldCharType="begin"/>
        </w:r>
        <w:r w:rsidR="00CE3D77">
          <w:rPr>
            <w:webHidden/>
          </w:rPr>
          <w:instrText xml:space="preserve"> PAGEREF _Toc81138675 \h </w:instrText>
        </w:r>
        <w:r w:rsidR="00CE3D77">
          <w:rPr>
            <w:webHidden/>
          </w:rPr>
        </w:r>
        <w:r w:rsidR="00CE3D77">
          <w:rPr>
            <w:webHidden/>
          </w:rPr>
          <w:fldChar w:fldCharType="separate"/>
        </w:r>
        <w:r w:rsidR="00CE3D77">
          <w:rPr>
            <w:webHidden/>
          </w:rPr>
          <w:t>6</w:t>
        </w:r>
        <w:r w:rsidR="00CE3D77">
          <w:rPr>
            <w:webHidden/>
          </w:rPr>
          <w:fldChar w:fldCharType="end"/>
        </w:r>
      </w:hyperlink>
    </w:p>
    <w:p w14:paraId="529F0FBB" w14:textId="6A46B92E" w:rsidR="00CE3D77" w:rsidRDefault="0008271B">
      <w:pPr>
        <w:pStyle w:val="TOC2"/>
        <w:rPr>
          <w:rFonts w:asciiTheme="minorHAnsi" w:eastAsiaTheme="minorEastAsia" w:hAnsiTheme="minorHAnsi" w:cstheme="minorBidi"/>
          <w:lang w:bidi="ar-SA"/>
        </w:rPr>
      </w:pPr>
      <w:hyperlink w:anchor="_Toc81138676" w:history="1">
        <w:r w:rsidR="00CE3D77" w:rsidRPr="00AF5BC2">
          <w:rPr>
            <w:rStyle w:val="Hyperlink"/>
          </w:rPr>
          <w:t>Short-Term Reliability Process</w:t>
        </w:r>
        <w:r w:rsidR="00CE3D77">
          <w:rPr>
            <w:webHidden/>
          </w:rPr>
          <w:tab/>
        </w:r>
        <w:r w:rsidR="00CE3D77">
          <w:rPr>
            <w:webHidden/>
          </w:rPr>
          <w:fldChar w:fldCharType="begin"/>
        </w:r>
        <w:r w:rsidR="00CE3D77">
          <w:rPr>
            <w:webHidden/>
          </w:rPr>
          <w:instrText xml:space="preserve"> PAGEREF _Toc81138676 \h </w:instrText>
        </w:r>
        <w:r w:rsidR="00CE3D77">
          <w:rPr>
            <w:webHidden/>
          </w:rPr>
        </w:r>
        <w:r w:rsidR="00CE3D77">
          <w:rPr>
            <w:webHidden/>
          </w:rPr>
          <w:fldChar w:fldCharType="separate"/>
        </w:r>
        <w:r w:rsidR="00CE3D77">
          <w:rPr>
            <w:webHidden/>
          </w:rPr>
          <w:t>7</w:t>
        </w:r>
        <w:r w:rsidR="00CE3D77">
          <w:rPr>
            <w:webHidden/>
          </w:rPr>
          <w:fldChar w:fldCharType="end"/>
        </w:r>
      </w:hyperlink>
    </w:p>
    <w:p w14:paraId="3B2B5685" w14:textId="6EE50230" w:rsidR="00CE3D77" w:rsidRDefault="0008271B">
      <w:pPr>
        <w:pStyle w:val="TOC2"/>
        <w:rPr>
          <w:rFonts w:asciiTheme="minorHAnsi" w:eastAsiaTheme="minorEastAsia" w:hAnsiTheme="minorHAnsi" w:cstheme="minorBidi"/>
          <w:lang w:bidi="ar-SA"/>
        </w:rPr>
      </w:pPr>
      <w:hyperlink w:anchor="_Toc81138677" w:history="1">
        <w:r w:rsidR="00CE3D77" w:rsidRPr="00AF5BC2">
          <w:rPr>
            <w:rStyle w:val="Hyperlink"/>
          </w:rPr>
          <w:t>Post-RNA Updates</w:t>
        </w:r>
        <w:r w:rsidR="00CE3D77">
          <w:rPr>
            <w:webHidden/>
          </w:rPr>
          <w:tab/>
        </w:r>
        <w:r w:rsidR="00CE3D77">
          <w:rPr>
            <w:webHidden/>
          </w:rPr>
          <w:fldChar w:fldCharType="begin"/>
        </w:r>
        <w:r w:rsidR="00CE3D77">
          <w:rPr>
            <w:webHidden/>
          </w:rPr>
          <w:instrText xml:space="preserve"> PAGEREF _Toc81138677 \h </w:instrText>
        </w:r>
        <w:r w:rsidR="00CE3D77">
          <w:rPr>
            <w:webHidden/>
          </w:rPr>
        </w:r>
        <w:r w:rsidR="00CE3D77">
          <w:rPr>
            <w:webHidden/>
          </w:rPr>
          <w:fldChar w:fldCharType="separate"/>
        </w:r>
        <w:r w:rsidR="00CE3D77">
          <w:rPr>
            <w:webHidden/>
          </w:rPr>
          <w:t>8</w:t>
        </w:r>
        <w:r w:rsidR="00CE3D77">
          <w:rPr>
            <w:webHidden/>
          </w:rPr>
          <w:fldChar w:fldCharType="end"/>
        </w:r>
      </w:hyperlink>
    </w:p>
    <w:p w14:paraId="08A30124" w14:textId="2DA6EB6B" w:rsidR="00CE3D77" w:rsidRDefault="0008271B">
      <w:pPr>
        <w:pStyle w:val="TOC1"/>
        <w:rPr>
          <w:rFonts w:asciiTheme="minorHAnsi" w:eastAsiaTheme="minorEastAsia" w:hAnsiTheme="minorHAnsi" w:cstheme="minorBidi"/>
          <w:b w:val="0"/>
          <w:bCs w:val="0"/>
          <w:caps w:val="0"/>
          <w:noProof/>
          <w:sz w:val="22"/>
          <w:szCs w:val="22"/>
          <w:lang w:bidi="ar-SA"/>
        </w:rPr>
      </w:pPr>
      <w:hyperlink w:anchor="_Toc81138678" w:history="1">
        <w:r w:rsidR="00CE3D77" w:rsidRPr="00AF5BC2">
          <w:rPr>
            <w:rStyle w:val="Hyperlink"/>
            <w:noProof/>
          </w:rPr>
          <w:t>Comprehensive Reliability Plan for 2021-2030</w:t>
        </w:r>
        <w:r w:rsidR="00CE3D77">
          <w:rPr>
            <w:noProof/>
            <w:webHidden/>
          </w:rPr>
          <w:tab/>
        </w:r>
        <w:r w:rsidR="00CE3D77">
          <w:rPr>
            <w:noProof/>
            <w:webHidden/>
          </w:rPr>
          <w:fldChar w:fldCharType="begin"/>
        </w:r>
        <w:r w:rsidR="00CE3D77">
          <w:rPr>
            <w:noProof/>
            <w:webHidden/>
          </w:rPr>
          <w:instrText xml:space="preserve"> PAGEREF _Toc81138678 \h </w:instrText>
        </w:r>
        <w:r w:rsidR="00CE3D77">
          <w:rPr>
            <w:noProof/>
            <w:webHidden/>
          </w:rPr>
        </w:r>
        <w:r w:rsidR="00CE3D77">
          <w:rPr>
            <w:noProof/>
            <w:webHidden/>
          </w:rPr>
          <w:fldChar w:fldCharType="separate"/>
        </w:r>
        <w:r w:rsidR="00CE3D77">
          <w:rPr>
            <w:noProof/>
            <w:webHidden/>
          </w:rPr>
          <w:t>10</w:t>
        </w:r>
        <w:r w:rsidR="00CE3D77">
          <w:rPr>
            <w:noProof/>
            <w:webHidden/>
          </w:rPr>
          <w:fldChar w:fldCharType="end"/>
        </w:r>
      </w:hyperlink>
    </w:p>
    <w:p w14:paraId="706F66DE" w14:textId="1556A7D7" w:rsidR="00CE3D77" w:rsidRDefault="0008271B">
      <w:pPr>
        <w:pStyle w:val="TOC2"/>
        <w:rPr>
          <w:rFonts w:asciiTheme="minorHAnsi" w:eastAsiaTheme="minorEastAsia" w:hAnsiTheme="minorHAnsi" w:cstheme="minorBidi"/>
          <w:lang w:bidi="ar-SA"/>
        </w:rPr>
      </w:pPr>
      <w:hyperlink w:anchor="_Toc81138679" w:history="1">
        <w:r w:rsidR="00CE3D77" w:rsidRPr="00AF5BC2">
          <w:rPr>
            <w:rStyle w:val="Hyperlink"/>
          </w:rPr>
          <w:t>Generation</w:t>
        </w:r>
        <w:r w:rsidR="00CE3D77">
          <w:rPr>
            <w:webHidden/>
          </w:rPr>
          <w:tab/>
        </w:r>
        <w:r w:rsidR="00CE3D77">
          <w:rPr>
            <w:webHidden/>
          </w:rPr>
          <w:fldChar w:fldCharType="begin"/>
        </w:r>
        <w:r w:rsidR="00CE3D77">
          <w:rPr>
            <w:webHidden/>
          </w:rPr>
          <w:instrText xml:space="preserve"> PAGEREF _Toc81138679 \h </w:instrText>
        </w:r>
        <w:r w:rsidR="00CE3D77">
          <w:rPr>
            <w:webHidden/>
          </w:rPr>
        </w:r>
        <w:r w:rsidR="00CE3D77">
          <w:rPr>
            <w:webHidden/>
          </w:rPr>
          <w:fldChar w:fldCharType="separate"/>
        </w:r>
        <w:r w:rsidR="00CE3D77">
          <w:rPr>
            <w:webHidden/>
          </w:rPr>
          <w:t>10</w:t>
        </w:r>
        <w:r w:rsidR="00CE3D77">
          <w:rPr>
            <w:webHidden/>
          </w:rPr>
          <w:fldChar w:fldCharType="end"/>
        </w:r>
      </w:hyperlink>
    </w:p>
    <w:p w14:paraId="7CCA339A" w14:textId="74CE3F57" w:rsidR="00CE3D77" w:rsidRDefault="0008271B">
      <w:pPr>
        <w:pStyle w:val="TOC2"/>
        <w:rPr>
          <w:rFonts w:asciiTheme="minorHAnsi" w:eastAsiaTheme="minorEastAsia" w:hAnsiTheme="minorHAnsi" w:cstheme="minorBidi"/>
          <w:lang w:bidi="ar-SA"/>
        </w:rPr>
      </w:pPr>
      <w:hyperlink w:anchor="_Toc81138680" w:history="1">
        <w:r w:rsidR="00CE3D77" w:rsidRPr="00AF5BC2">
          <w:rPr>
            <w:rStyle w:val="Hyperlink"/>
          </w:rPr>
          <w:t>Load</w:t>
        </w:r>
        <w:r w:rsidR="00CE3D77">
          <w:rPr>
            <w:webHidden/>
          </w:rPr>
          <w:tab/>
        </w:r>
        <w:r w:rsidR="00CE3D77">
          <w:rPr>
            <w:webHidden/>
          </w:rPr>
          <w:fldChar w:fldCharType="begin"/>
        </w:r>
        <w:r w:rsidR="00CE3D77">
          <w:rPr>
            <w:webHidden/>
          </w:rPr>
          <w:instrText xml:space="preserve"> PAGEREF _Toc81138680 \h </w:instrText>
        </w:r>
        <w:r w:rsidR="00CE3D77">
          <w:rPr>
            <w:webHidden/>
          </w:rPr>
        </w:r>
        <w:r w:rsidR="00CE3D77">
          <w:rPr>
            <w:webHidden/>
          </w:rPr>
          <w:fldChar w:fldCharType="separate"/>
        </w:r>
        <w:r w:rsidR="00CE3D77">
          <w:rPr>
            <w:webHidden/>
          </w:rPr>
          <w:t>10</w:t>
        </w:r>
        <w:r w:rsidR="00CE3D77">
          <w:rPr>
            <w:webHidden/>
          </w:rPr>
          <w:fldChar w:fldCharType="end"/>
        </w:r>
      </w:hyperlink>
    </w:p>
    <w:p w14:paraId="742A9CF1" w14:textId="6B8FFFD3" w:rsidR="00CE3D77" w:rsidRDefault="0008271B">
      <w:pPr>
        <w:pStyle w:val="TOC2"/>
        <w:rPr>
          <w:rFonts w:asciiTheme="minorHAnsi" w:eastAsiaTheme="minorEastAsia" w:hAnsiTheme="minorHAnsi" w:cstheme="minorBidi"/>
          <w:lang w:bidi="ar-SA"/>
        </w:rPr>
      </w:pPr>
      <w:hyperlink w:anchor="_Toc81138681" w:history="1">
        <w:r w:rsidR="00CE3D77" w:rsidRPr="00AF5BC2">
          <w:rPr>
            <w:rStyle w:val="Hyperlink"/>
          </w:rPr>
          <w:t>Transmission</w:t>
        </w:r>
        <w:r w:rsidR="00CE3D77">
          <w:rPr>
            <w:webHidden/>
          </w:rPr>
          <w:tab/>
        </w:r>
        <w:r w:rsidR="00CE3D77">
          <w:rPr>
            <w:webHidden/>
          </w:rPr>
          <w:fldChar w:fldCharType="begin"/>
        </w:r>
        <w:r w:rsidR="00CE3D77">
          <w:rPr>
            <w:webHidden/>
          </w:rPr>
          <w:instrText xml:space="preserve"> PAGEREF _Toc81138681 \h </w:instrText>
        </w:r>
        <w:r w:rsidR="00CE3D77">
          <w:rPr>
            <w:webHidden/>
          </w:rPr>
        </w:r>
        <w:r w:rsidR="00CE3D77">
          <w:rPr>
            <w:webHidden/>
          </w:rPr>
          <w:fldChar w:fldCharType="separate"/>
        </w:r>
        <w:r w:rsidR="00CE3D77">
          <w:rPr>
            <w:webHidden/>
          </w:rPr>
          <w:t>11</w:t>
        </w:r>
        <w:r w:rsidR="00CE3D77">
          <w:rPr>
            <w:webHidden/>
          </w:rPr>
          <w:fldChar w:fldCharType="end"/>
        </w:r>
      </w:hyperlink>
    </w:p>
    <w:p w14:paraId="21D3CF73" w14:textId="3C191D7D" w:rsidR="00CE3D77" w:rsidRDefault="0008271B">
      <w:pPr>
        <w:pStyle w:val="TOC2"/>
        <w:rPr>
          <w:rFonts w:asciiTheme="minorHAnsi" w:eastAsiaTheme="minorEastAsia" w:hAnsiTheme="minorHAnsi" w:cstheme="minorBidi"/>
          <w:lang w:bidi="ar-SA"/>
        </w:rPr>
      </w:pPr>
      <w:hyperlink w:anchor="_Toc81138682" w:history="1">
        <w:r w:rsidR="00CE3D77" w:rsidRPr="00AF5BC2">
          <w:rPr>
            <w:rStyle w:val="Hyperlink"/>
          </w:rPr>
          <w:t>Reliability Metrics</w:t>
        </w:r>
        <w:r w:rsidR="00CE3D77">
          <w:rPr>
            <w:webHidden/>
          </w:rPr>
          <w:tab/>
        </w:r>
        <w:r w:rsidR="00CE3D77">
          <w:rPr>
            <w:webHidden/>
          </w:rPr>
          <w:fldChar w:fldCharType="begin"/>
        </w:r>
        <w:r w:rsidR="00CE3D77">
          <w:rPr>
            <w:webHidden/>
          </w:rPr>
          <w:instrText xml:space="preserve"> PAGEREF _Toc81138682 \h </w:instrText>
        </w:r>
        <w:r w:rsidR="00CE3D77">
          <w:rPr>
            <w:webHidden/>
          </w:rPr>
        </w:r>
        <w:r w:rsidR="00CE3D77">
          <w:rPr>
            <w:webHidden/>
          </w:rPr>
          <w:fldChar w:fldCharType="separate"/>
        </w:r>
        <w:r w:rsidR="00CE3D77">
          <w:rPr>
            <w:webHidden/>
          </w:rPr>
          <w:t>12</w:t>
        </w:r>
        <w:r w:rsidR="00CE3D77">
          <w:rPr>
            <w:webHidden/>
          </w:rPr>
          <w:fldChar w:fldCharType="end"/>
        </w:r>
      </w:hyperlink>
    </w:p>
    <w:p w14:paraId="55CA3908" w14:textId="19F786B1" w:rsidR="00CE3D77" w:rsidRDefault="0008271B">
      <w:pPr>
        <w:pStyle w:val="TOC3"/>
        <w:rPr>
          <w:rFonts w:asciiTheme="minorHAnsi" w:eastAsiaTheme="minorEastAsia" w:hAnsiTheme="minorHAnsi" w:cstheme="minorBidi"/>
          <w:i w:val="0"/>
          <w:iCs w:val="0"/>
          <w:noProof/>
          <w:sz w:val="22"/>
          <w:szCs w:val="22"/>
          <w:lang w:bidi="ar-SA"/>
        </w:rPr>
      </w:pPr>
      <w:hyperlink w:anchor="_Toc81138683" w:history="1">
        <w:r w:rsidR="00CE3D77" w:rsidRPr="00AF5BC2">
          <w:rPr>
            <w:rStyle w:val="Hyperlink"/>
            <w:noProof/>
          </w:rPr>
          <w:t>Loss of Load Expectation</w:t>
        </w:r>
        <w:r w:rsidR="00CE3D77">
          <w:rPr>
            <w:noProof/>
            <w:webHidden/>
          </w:rPr>
          <w:tab/>
        </w:r>
        <w:r w:rsidR="00CE3D77">
          <w:rPr>
            <w:noProof/>
            <w:webHidden/>
          </w:rPr>
          <w:fldChar w:fldCharType="begin"/>
        </w:r>
        <w:r w:rsidR="00CE3D77">
          <w:rPr>
            <w:noProof/>
            <w:webHidden/>
          </w:rPr>
          <w:instrText xml:space="preserve"> PAGEREF _Toc81138683 \h </w:instrText>
        </w:r>
        <w:r w:rsidR="00CE3D77">
          <w:rPr>
            <w:noProof/>
            <w:webHidden/>
          </w:rPr>
        </w:r>
        <w:r w:rsidR="00CE3D77">
          <w:rPr>
            <w:noProof/>
            <w:webHidden/>
          </w:rPr>
          <w:fldChar w:fldCharType="separate"/>
        </w:r>
        <w:r w:rsidR="00CE3D77">
          <w:rPr>
            <w:noProof/>
            <w:webHidden/>
          </w:rPr>
          <w:t>12</w:t>
        </w:r>
        <w:r w:rsidR="00CE3D77">
          <w:rPr>
            <w:noProof/>
            <w:webHidden/>
          </w:rPr>
          <w:fldChar w:fldCharType="end"/>
        </w:r>
      </w:hyperlink>
    </w:p>
    <w:p w14:paraId="49FAC1F8" w14:textId="1615EF28" w:rsidR="00CE3D77" w:rsidRDefault="0008271B">
      <w:pPr>
        <w:pStyle w:val="TOC3"/>
        <w:rPr>
          <w:rFonts w:asciiTheme="minorHAnsi" w:eastAsiaTheme="minorEastAsia" w:hAnsiTheme="minorHAnsi" w:cstheme="minorBidi"/>
          <w:i w:val="0"/>
          <w:iCs w:val="0"/>
          <w:noProof/>
          <w:sz w:val="22"/>
          <w:szCs w:val="22"/>
          <w:lang w:bidi="ar-SA"/>
        </w:rPr>
      </w:pPr>
      <w:hyperlink w:anchor="_Toc81138684" w:history="1">
        <w:r w:rsidR="00CE3D77" w:rsidRPr="00AF5BC2">
          <w:rPr>
            <w:rStyle w:val="Hyperlink"/>
            <w:noProof/>
          </w:rPr>
          <w:t>Zonal Resource Adequacy Margin (ZRAM)</w:t>
        </w:r>
        <w:r w:rsidR="00CE3D77">
          <w:rPr>
            <w:noProof/>
            <w:webHidden/>
          </w:rPr>
          <w:tab/>
        </w:r>
        <w:r w:rsidR="00CE3D77">
          <w:rPr>
            <w:noProof/>
            <w:webHidden/>
          </w:rPr>
          <w:fldChar w:fldCharType="begin"/>
        </w:r>
        <w:r w:rsidR="00CE3D77">
          <w:rPr>
            <w:noProof/>
            <w:webHidden/>
          </w:rPr>
          <w:instrText xml:space="preserve"> PAGEREF _Toc81138684 \h </w:instrText>
        </w:r>
        <w:r w:rsidR="00CE3D77">
          <w:rPr>
            <w:noProof/>
            <w:webHidden/>
          </w:rPr>
        </w:r>
        <w:r w:rsidR="00CE3D77">
          <w:rPr>
            <w:noProof/>
            <w:webHidden/>
          </w:rPr>
          <w:fldChar w:fldCharType="separate"/>
        </w:r>
        <w:r w:rsidR="00CE3D77">
          <w:rPr>
            <w:noProof/>
            <w:webHidden/>
          </w:rPr>
          <w:t>14</w:t>
        </w:r>
        <w:r w:rsidR="00CE3D77">
          <w:rPr>
            <w:noProof/>
            <w:webHidden/>
          </w:rPr>
          <w:fldChar w:fldCharType="end"/>
        </w:r>
      </w:hyperlink>
    </w:p>
    <w:p w14:paraId="33F02DAC" w14:textId="0D56D8CB" w:rsidR="00CE3D77" w:rsidRDefault="0008271B">
      <w:pPr>
        <w:pStyle w:val="TOC3"/>
        <w:rPr>
          <w:rFonts w:asciiTheme="minorHAnsi" w:eastAsiaTheme="minorEastAsia" w:hAnsiTheme="minorHAnsi" w:cstheme="minorBidi"/>
          <w:i w:val="0"/>
          <w:iCs w:val="0"/>
          <w:noProof/>
          <w:sz w:val="22"/>
          <w:szCs w:val="22"/>
          <w:lang w:bidi="ar-SA"/>
        </w:rPr>
      </w:pPr>
      <w:hyperlink w:anchor="_Toc81138685" w:history="1">
        <w:r w:rsidR="00CE3D77" w:rsidRPr="00AF5BC2">
          <w:rPr>
            <w:rStyle w:val="Hyperlink"/>
            <w:noProof/>
          </w:rPr>
          <w:t>Binding Interfaces</w:t>
        </w:r>
        <w:r w:rsidR="00CE3D77">
          <w:rPr>
            <w:noProof/>
            <w:webHidden/>
          </w:rPr>
          <w:tab/>
        </w:r>
        <w:r w:rsidR="00CE3D77">
          <w:rPr>
            <w:noProof/>
            <w:webHidden/>
          </w:rPr>
          <w:fldChar w:fldCharType="begin"/>
        </w:r>
        <w:r w:rsidR="00CE3D77">
          <w:rPr>
            <w:noProof/>
            <w:webHidden/>
          </w:rPr>
          <w:instrText xml:space="preserve"> PAGEREF _Toc81138685 \h </w:instrText>
        </w:r>
        <w:r w:rsidR="00CE3D77">
          <w:rPr>
            <w:noProof/>
            <w:webHidden/>
          </w:rPr>
        </w:r>
        <w:r w:rsidR="00CE3D77">
          <w:rPr>
            <w:noProof/>
            <w:webHidden/>
          </w:rPr>
          <w:fldChar w:fldCharType="separate"/>
        </w:r>
        <w:r w:rsidR="00CE3D77">
          <w:rPr>
            <w:noProof/>
            <w:webHidden/>
          </w:rPr>
          <w:t>15</w:t>
        </w:r>
        <w:r w:rsidR="00CE3D77">
          <w:rPr>
            <w:noProof/>
            <w:webHidden/>
          </w:rPr>
          <w:fldChar w:fldCharType="end"/>
        </w:r>
      </w:hyperlink>
    </w:p>
    <w:p w14:paraId="2014EC83" w14:textId="29830FF8" w:rsidR="00CE3D77" w:rsidRDefault="0008271B">
      <w:pPr>
        <w:pStyle w:val="TOC3"/>
        <w:rPr>
          <w:rFonts w:asciiTheme="minorHAnsi" w:eastAsiaTheme="minorEastAsia" w:hAnsiTheme="minorHAnsi" w:cstheme="minorBidi"/>
          <w:i w:val="0"/>
          <w:iCs w:val="0"/>
          <w:noProof/>
          <w:sz w:val="22"/>
          <w:szCs w:val="22"/>
          <w:lang w:bidi="ar-SA"/>
        </w:rPr>
      </w:pPr>
      <w:hyperlink w:anchor="_Toc81138686" w:history="1">
        <w:r w:rsidR="00CE3D77" w:rsidRPr="00AF5BC2">
          <w:rPr>
            <w:rStyle w:val="Hyperlink"/>
            <w:noProof/>
          </w:rPr>
          <w:t>Transmission Security Margins</w:t>
        </w:r>
        <w:r w:rsidR="00CE3D77">
          <w:rPr>
            <w:noProof/>
            <w:webHidden/>
          </w:rPr>
          <w:tab/>
        </w:r>
        <w:r w:rsidR="00CE3D77">
          <w:rPr>
            <w:noProof/>
            <w:webHidden/>
          </w:rPr>
          <w:fldChar w:fldCharType="begin"/>
        </w:r>
        <w:r w:rsidR="00CE3D77">
          <w:rPr>
            <w:noProof/>
            <w:webHidden/>
          </w:rPr>
          <w:instrText xml:space="preserve"> PAGEREF _Toc81138686 \h </w:instrText>
        </w:r>
        <w:r w:rsidR="00CE3D77">
          <w:rPr>
            <w:noProof/>
            <w:webHidden/>
          </w:rPr>
        </w:r>
        <w:r w:rsidR="00CE3D77">
          <w:rPr>
            <w:noProof/>
            <w:webHidden/>
          </w:rPr>
          <w:fldChar w:fldCharType="separate"/>
        </w:r>
        <w:r w:rsidR="00CE3D77">
          <w:rPr>
            <w:noProof/>
            <w:webHidden/>
          </w:rPr>
          <w:t>17</w:t>
        </w:r>
        <w:r w:rsidR="00CE3D77">
          <w:rPr>
            <w:noProof/>
            <w:webHidden/>
          </w:rPr>
          <w:fldChar w:fldCharType="end"/>
        </w:r>
      </w:hyperlink>
    </w:p>
    <w:p w14:paraId="5DC22CF0" w14:textId="3DBC1F6E" w:rsidR="00CE3D77" w:rsidRDefault="0008271B">
      <w:pPr>
        <w:pStyle w:val="TOC1"/>
        <w:rPr>
          <w:rFonts w:asciiTheme="minorHAnsi" w:eastAsiaTheme="minorEastAsia" w:hAnsiTheme="minorHAnsi" w:cstheme="minorBidi"/>
          <w:b w:val="0"/>
          <w:bCs w:val="0"/>
          <w:caps w:val="0"/>
          <w:noProof/>
          <w:sz w:val="22"/>
          <w:szCs w:val="22"/>
          <w:lang w:bidi="ar-SA"/>
        </w:rPr>
      </w:pPr>
      <w:hyperlink w:anchor="_Toc81138687" w:history="1">
        <w:r w:rsidR="00CE3D77" w:rsidRPr="00AF5BC2">
          <w:rPr>
            <w:rStyle w:val="Hyperlink"/>
            <w:noProof/>
          </w:rPr>
          <w:t>Risk Factors to the Comprehensive Reliability Plan</w:t>
        </w:r>
        <w:r w:rsidR="00CE3D77">
          <w:rPr>
            <w:noProof/>
            <w:webHidden/>
          </w:rPr>
          <w:tab/>
        </w:r>
        <w:r w:rsidR="00CE3D77">
          <w:rPr>
            <w:noProof/>
            <w:webHidden/>
          </w:rPr>
          <w:fldChar w:fldCharType="begin"/>
        </w:r>
        <w:r w:rsidR="00CE3D77">
          <w:rPr>
            <w:noProof/>
            <w:webHidden/>
          </w:rPr>
          <w:instrText xml:space="preserve"> PAGEREF _Toc81138687 \h </w:instrText>
        </w:r>
        <w:r w:rsidR="00CE3D77">
          <w:rPr>
            <w:noProof/>
            <w:webHidden/>
          </w:rPr>
        </w:r>
        <w:r w:rsidR="00CE3D77">
          <w:rPr>
            <w:noProof/>
            <w:webHidden/>
          </w:rPr>
          <w:fldChar w:fldCharType="separate"/>
        </w:r>
        <w:r w:rsidR="00CE3D77">
          <w:rPr>
            <w:noProof/>
            <w:webHidden/>
          </w:rPr>
          <w:t>21</w:t>
        </w:r>
        <w:r w:rsidR="00CE3D77">
          <w:rPr>
            <w:noProof/>
            <w:webHidden/>
          </w:rPr>
          <w:fldChar w:fldCharType="end"/>
        </w:r>
      </w:hyperlink>
    </w:p>
    <w:p w14:paraId="7D42DABC" w14:textId="162FA87C" w:rsidR="00CE3D77" w:rsidRDefault="0008271B">
      <w:pPr>
        <w:pStyle w:val="TOC1"/>
        <w:rPr>
          <w:rFonts w:asciiTheme="minorHAnsi" w:eastAsiaTheme="minorEastAsia" w:hAnsiTheme="minorHAnsi" w:cstheme="minorBidi"/>
          <w:b w:val="0"/>
          <w:bCs w:val="0"/>
          <w:caps w:val="0"/>
          <w:noProof/>
          <w:sz w:val="22"/>
          <w:szCs w:val="22"/>
          <w:lang w:bidi="ar-SA"/>
        </w:rPr>
      </w:pPr>
      <w:hyperlink w:anchor="_Toc81138688" w:history="1">
        <w:r w:rsidR="00CE3D77" w:rsidRPr="00AF5BC2">
          <w:rPr>
            <w:rStyle w:val="Hyperlink"/>
            <w:noProof/>
          </w:rPr>
          <w:t>Safeguards to the Comprehensive Reliability Plan</w:t>
        </w:r>
        <w:r w:rsidR="00CE3D77">
          <w:rPr>
            <w:noProof/>
            <w:webHidden/>
          </w:rPr>
          <w:tab/>
        </w:r>
        <w:r w:rsidR="00CE3D77">
          <w:rPr>
            <w:noProof/>
            <w:webHidden/>
          </w:rPr>
          <w:fldChar w:fldCharType="begin"/>
        </w:r>
        <w:r w:rsidR="00CE3D77">
          <w:rPr>
            <w:noProof/>
            <w:webHidden/>
          </w:rPr>
          <w:instrText xml:space="preserve"> PAGEREF _Toc81138688 \h </w:instrText>
        </w:r>
        <w:r w:rsidR="00CE3D77">
          <w:rPr>
            <w:noProof/>
            <w:webHidden/>
          </w:rPr>
        </w:r>
        <w:r w:rsidR="00CE3D77">
          <w:rPr>
            <w:noProof/>
            <w:webHidden/>
          </w:rPr>
          <w:fldChar w:fldCharType="separate"/>
        </w:r>
        <w:r w:rsidR="00CE3D77">
          <w:rPr>
            <w:noProof/>
            <w:webHidden/>
          </w:rPr>
          <w:t>28</w:t>
        </w:r>
        <w:r w:rsidR="00CE3D77">
          <w:rPr>
            <w:noProof/>
            <w:webHidden/>
          </w:rPr>
          <w:fldChar w:fldCharType="end"/>
        </w:r>
      </w:hyperlink>
    </w:p>
    <w:p w14:paraId="08CE5F8D" w14:textId="667873FA" w:rsidR="00CE3D77" w:rsidRDefault="0008271B">
      <w:pPr>
        <w:pStyle w:val="TOC1"/>
        <w:rPr>
          <w:rFonts w:asciiTheme="minorHAnsi" w:eastAsiaTheme="minorEastAsia" w:hAnsiTheme="minorHAnsi" w:cstheme="minorBidi"/>
          <w:b w:val="0"/>
          <w:bCs w:val="0"/>
          <w:caps w:val="0"/>
          <w:noProof/>
          <w:sz w:val="22"/>
          <w:szCs w:val="22"/>
          <w:lang w:bidi="ar-SA"/>
        </w:rPr>
      </w:pPr>
      <w:hyperlink w:anchor="_Toc81138689" w:history="1">
        <w:r w:rsidR="00CE3D77" w:rsidRPr="00AF5BC2">
          <w:rPr>
            <w:rStyle w:val="Hyperlink"/>
            <w:noProof/>
          </w:rPr>
          <w:t>Beyond the CRP – Road to 2040</w:t>
        </w:r>
        <w:r w:rsidR="00CE3D77">
          <w:rPr>
            <w:noProof/>
            <w:webHidden/>
          </w:rPr>
          <w:tab/>
        </w:r>
        <w:r w:rsidR="00CE3D77">
          <w:rPr>
            <w:noProof/>
            <w:webHidden/>
          </w:rPr>
          <w:fldChar w:fldCharType="begin"/>
        </w:r>
        <w:r w:rsidR="00CE3D77">
          <w:rPr>
            <w:noProof/>
            <w:webHidden/>
          </w:rPr>
          <w:instrText xml:space="preserve"> PAGEREF _Toc81138689 \h </w:instrText>
        </w:r>
        <w:r w:rsidR="00CE3D77">
          <w:rPr>
            <w:noProof/>
            <w:webHidden/>
          </w:rPr>
        </w:r>
        <w:r w:rsidR="00CE3D77">
          <w:rPr>
            <w:noProof/>
            <w:webHidden/>
          </w:rPr>
          <w:fldChar w:fldCharType="separate"/>
        </w:r>
        <w:r w:rsidR="00CE3D77">
          <w:rPr>
            <w:noProof/>
            <w:webHidden/>
          </w:rPr>
          <w:t>31</w:t>
        </w:r>
        <w:r w:rsidR="00CE3D77">
          <w:rPr>
            <w:noProof/>
            <w:webHidden/>
          </w:rPr>
          <w:fldChar w:fldCharType="end"/>
        </w:r>
      </w:hyperlink>
    </w:p>
    <w:p w14:paraId="7034646F" w14:textId="58D6A3A5" w:rsidR="00CE3D77" w:rsidRDefault="0008271B">
      <w:pPr>
        <w:pStyle w:val="TOC2"/>
        <w:rPr>
          <w:rFonts w:asciiTheme="minorHAnsi" w:eastAsiaTheme="minorEastAsia" w:hAnsiTheme="minorHAnsi" w:cstheme="minorBidi"/>
          <w:lang w:bidi="ar-SA"/>
        </w:rPr>
      </w:pPr>
      <w:hyperlink w:anchor="_Toc81138690" w:history="1">
        <w:r w:rsidR="00CE3D77" w:rsidRPr="00AF5BC2">
          <w:rPr>
            <w:rStyle w:val="Hyperlink"/>
            <w:rFonts w:eastAsia="Calibri"/>
          </w:rPr>
          <w:t>Load</w:t>
        </w:r>
        <w:r w:rsidR="00CE3D77">
          <w:rPr>
            <w:webHidden/>
          </w:rPr>
          <w:tab/>
        </w:r>
        <w:r w:rsidR="00CE3D77">
          <w:rPr>
            <w:webHidden/>
          </w:rPr>
          <w:fldChar w:fldCharType="begin"/>
        </w:r>
        <w:r w:rsidR="00CE3D77">
          <w:rPr>
            <w:webHidden/>
          </w:rPr>
          <w:instrText xml:space="preserve"> PAGEREF _Toc81138690 \h </w:instrText>
        </w:r>
        <w:r w:rsidR="00CE3D77">
          <w:rPr>
            <w:webHidden/>
          </w:rPr>
        </w:r>
        <w:r w:rsidR="00CE3D77">
          <w:rPr>
            <w:webHidden/>
          </w:rPr>
          <w:fldChar w:fldCharType="separate"/>
        </w:r>
        <w:r w:rsidR="00CE3D77">
          <w:rPr>
            <w:webHidden/>
          </w:rPr>
          <w:t>32</w:t>
        </w:r>
        <w:r w:rsidR="00CE3D77">
          <w:rPr>
            <w:webHidden/>
          </w:rPr>
          <w:fldChar w:fldCharType="end"/>
        </w:r>
      </w:hyperlink>
    </w:p>
    <w:p w14:paraId="24FDE9B7" w14:textId="343454F8" w:rsidR="00CE3D77" w:rsidRDefault="0008271B">
      <w:pPr>
        <w:pStyle w:val="TOC2"/>
        <w:rPr>
          <w:rFonts w:asciiTheme="minorHAnsi" w:eastAsiaTheme="minorEastAsia" w:hAnsiTheme="minorHAnsi" w:cstheme="minorBidi"/>
          <w:lang w:bidi="ar-SA"/>
        </w:rPr>
      </w:pPr>
      <w:hyperlink w:anchor="_Toc81138691" w:history="1">
        <w:r w:rsidR="00CE3D77" w:rsidRPr="00AF5BC2">
          <w:rPr>
            <w:rStyle w:val="Hyperlink"/>
            <w:rFonts w:eastAsia="Calibri"/>
          </w:rPr>
          <w:t>Generation</w:t>
        </w:r>
        <w:r w:rsidR="00CE3D77">
          <w:rPr>
            <w:webHidden/>
          </w:rPr>
          <w:tab/>
        </w:r>
        <w:r w:rsidR="00CE3D77">
          <w:rPr>
            <w:webHidden/>
          </w:rPr>
          <w:fldChar w:fldCharType="begin"/>
        </w:r>
        <w:r w:rsidR="00CE3D77">
          <w:rPr>
            <w:webHidden/>
          </w:rPr>
          <w:instrText xml:space="preserve"> PAGEREF _Toc81138691 \h </w:instrText>
        </w:r>
        <w:r w:rsidR="00CE3D77">
          <w:rPr>
            <w:webHidden/>
          </w:rPr>
        </w:r>
        <w:r w:rsidR="00CE3D77">
          <w:rPr>
            <w:webHidden/>
          </w:rPr>
          <w:fldChar w:fldCharType="separate"/>
        </w:r>
        <w:r w:rsidR="00CE3D77">
          <w:rPr>
            <w:webHidden/>
          </w:rPr>
          <w:t>33</w:t>
        </w:r>
        <w:r w:rsidR="00CE3D77">
          <w:rPr>
            <w:webHidden/>
          </w:rPr>
          <w:fldChar w:fldCharType="end"/>
        </w:r>
      </w:hyperlink>
    </w:p>
    <w:p w14:paraId="3BFBE0D5" w14:textId="37ED6023" w:rsidR="00CE3D77" w:rsidRDefault="0008271B">
      <w:pPr>
        <w:pStyle w:val="TOC3"/>
        <w:rPr>
          <w:rFonts w:asciiTheme="minorHAnsi" w:eastAsiaTheme="minorEastAsia" w:hAnsiTheme="minorHAnsi" w:cstheme="minorBidi"/>
          <w:i w:val="0"/>
          <w:iCs w:val="0"/>
          <w:noProof/>
          <w:sz w:val="22"/>
          <w:szCs w:val="22"/>
          <w:lang w:bidi="ar-SA"/>
        </w:rPr>
      </w:pPr>
      <w:hyperlink w:anchor="_Toc81138692" w:history="1">
        <w:r w:rsidR="00CE3D77" w:rsidRPr="00AF5BC2">
          <w:rPr>
            <w:rStyle w:val="Hyperlink"/>
            <w:rFonts w:eastAsia="Calibri"/>
            <w:noProof/>
          </w:rPr>
          <w:t>Intermittent Resources</w:t>
        </w:r>
        <w:r w:rsidR="00CE3D77">
          <w:rPr>
            <w:noProof/>
            <w:webHidden/>
          </w:rPr>
          <w:tab/>
        </w:r>
        <w:r w:rsidR="00CE3D77">
          <w:rPr>
            <w:noProof/>
            <w:webHidden/>
          </w:rPr>
          <w:fldChar w:fldCharType="begin"/>
        </w:r>
        <w:r w:rsidR="00CE3D77">
          <w:rPr>
            <w:noProof/>
            <w:webHidden/>
          </w:rPr>
          <w:instrText xml:space="preserve"> PAGEREF _Toc81138692 \h </w:instrText>
        </w:r>
        <w:r w:rsidR="00CE3D77">
          <w:rPr>
            <w:noProof/>
            <w:webHidden/>
          </w:rPr>
        </w:r>
        <w:r w:rsidR="00CE3D77">
          <w:rPr>
            <w:noProof/>
            <w:webHidden/>
          </w:rPr>
          <w:fldChar w:fldCharType="separate"/>
        </w:r>
        <w:r w:rsidR="00CE3D77">
          <w:rPr>
            <w:noProof/>
            <w:webHidden/>
          </w:rPr>
          <w:t>34</w:t>
        </w:r>
        <w:r w:rsidR="00CE3D77">
          <w:rPr>
            <w:noProof/>
            <w:webHidden/>
          </w:rPr>
          <w:fldChar w:fldCharType="end"/>
        </w:r>
      </w:hyperlink>
    </w:p>
    <w:p w14:paraId="48ED0C91" w14:textId="52351300" w:rsidR="00CE3D77" w:rsidRDefault="0008271B">
      <w:pPr>
        <w:pStyle w:val="TOC3"/>
        <w:rPr>
          <w:rFonts w:asciiTheme="minorHAnsi" w:eastAsiaTheme="minorEastAsia" w:hAnsiTheme="minorHAnsi" w:cstheme="minorBidi"/>
          <w:i w:val="0"/>
          <w:iCs w:val="0"/>
          <w:noProof/>
          <w:sz w:val="22"/>
          <w:szCs w:val="22"/>
          <w:lang w:bidi="ar-SA"/>
        </w:rPr>
      </w:pPr>
      <w:hyperlink w:anchor="_Toc81138693" w:history="1">
        <w:r w:rsidR="00CE3D77" w:rsidRPr="00AF5BC2">
          <w:rPr>
            <w:rStyle w:val="Hyperlink"/>
            <w:rFonts w:eastAsia="Calibri"/>
            <w:noProof/>
          </w:rPr>
          <w:t>Storage resources</w:t>
        </w:r>
        <w:r w:rsidR="00CE3D77">
          <w:rPr>
            <w:noProof/>
            <w:webHidden/>
          </w:rPr>
          <w:tab/>
        </w:r>
        <w:r w:rsidR="00CE3D77">
          <w:rPr>
            <w:noProof/>
            <w:webHidden/>
          </w:rPr>
          <w:fldChar w:fldCharType="begin"/>
        </w:r>
        <w:r w:rsidR="00CE3D77">
          <w:rPr>
            <w:noProof/>
            <w:webHidden/>
          </w:rPr>
          <w:instrText xml:space="preserve"> PAGEREF _Toc81138693 \h </w:instrText>
        </w:r>
        <w:r w:rsidR="00CE3D77">
          <w:rPr>
            <w:noProof/>
            <w:webHidden/>
          </w:rPr>
        </w:r>
        <w:r w:rsidR="00CE3D77">
          <w:rPr>
            <w:noProof/>
            <w:webHidden/>
          </w:rPr>
          <w:fldChar w:fldCharType="separate"/>
        </w:r>
        <w:r w:rsidR="00CE3D77">
          <w:rPr>
            <w:noProof/>
            <w:webHidden/>
          </w:rPr>
          <w:t>36</w:t>
        </w:r>
        <w:r w:rsidR="00CE3D77">
          <w:rPr>
            <w:noProof/>
            <w:webHidden/>
          </w:rPr>
          <w:fldChar w:fldCharType="end"/>
        </w:r>
      </w:hyperlink>
    </w:p>
    <w:p w14:paraId="4907F190" w14:textId="63F4FA2D" w:rsidR="00CE3D77" w:rsidRDefault="0008271B">
      <w:pPr>
        <w:pStyle w:val="TOC3"/>
        <w:rPr>
          <w:rFonts w:asciiTheme="minorHAnsi" w:eastAsiaTheme="minorEastAsia" w:hAnsiTheme="minorHAnsi" w:cstheme="minorBidi"/>
          <w:i w:val="0"/>
          <w:iCs w:val="0"/>
          <w:noProof/>
          <w:sz w:val="22"/>
          <w:szCs w:val="22"/>
          <w:lang w:bidi="ar-SA"/>
        </w:rPr>
      </w:pPr>
      <w:hyperlink w:anchor="_Toc81138694" w:history="1">
        <w:r w:rsidR="00CE3D77" w:rsidRPr="00AF5BC2">
          <w:rPr>
            <w:rStyle w:val="Hyperlink"/>
            <w:rFonts w:eastAsia="Calibri"/>
            <w:noProof/>
          </w:rPr>
          <w:t xml:space="preserve">Dispatchable </w:t>
        </w:r>
        <w:r w:rsidR="00CE3D77" w:rsidRPr="00AF5BC2">
          <w:rPr>
            <w:rStyle w:val="Hyperlink"/>
            <w:noProof/>
          </w:rPr>
          <w:t>Resources</w:t>
        </w:r>
        <w:r w:rsidR="00CE3D77">
          <w:rPr>
            <w:noProof/>
            <w:webHidden/>
          </w:rPr>
          <w:tab/>
        </w:r>
        <w:r w:rsidR="00CE3D77">
          <w:rPr>
            <w:noProof/>
            <w:webHidden/>
          </w:rPr>
          <w:fldChar w:fldCharType="begin"/>
        </w:r>
        <w:r w:rsidR="00CE3D77">
          <w:rPr>
            <w:noProof/>
            <w:webHidden/>
          </w:rPr>
          <w:instrText xml:space="preserve"> PAGEREF _Toc81138694 \h </w:instrText>
        </w:r>
        <w:r w:rsidR="00CE3D77">
          <w:rPr>
            <w:noProof/>
            <w:webHidden/>
          </w:rPr>
        </w:r>
        <w:r w:rsidR="00CE3D77">
          <w:rPr>
            <w:noProof/>
            <w:webHidden/>
          </w:rPr>
          <w:fldChar w:fldCharType="separate"/>
        </w:r>
        <w:r w:rsidR="00CE3D77">
          <w:rPr>
            <w:noProof/>
            <w:webHidden/>
          </w:rPr>
          <w:t>36</w:t>
        </w:r>
        <w:r w:rsidR="00CE3D77">
          <w:rPr>
            <w:noProof/>
            <w:webHidden/>
          </w:rPr>
          <w:fldChar w:fldCharType="end"/>
        </w:r>
      </w:hyperlink>
    </w:p>
    <w:p w14:paraId="50CB07D0" w14:textId="278660D5" w:rsidR="00CE3D77" w:rsidRDefault="0008271B">
      <w:pPr>
        <w:pStyle w:val="TOC2"/>
        <w:rPr>
          <w:rFonts w:asciiTheme="minorHAnsi" w:eastAsiaTheme="minorEastAsia" w:hAnsiTheme="minorHAnsi" w:cstheme="minorBidi"/>
          <w:lang w:bidi="ar-SA"/>
        </w:rPr>
      </w:pPr>
      <w:hyperlink w:anchor="_Toc81138695" w:history="1">
        <w:r w:rsidR="00CE3D77" w:rsidRPr="00AF5BC2">
          <w:rPr>
            <w:rStyle w:val="Hyperlink"/>
            <w:rFonts w:eastAsia="Calibri"/>
          </w:rPr>
          <w:t>Transmission</w:t>
        </w:r>
        <w:r w:rsidR="00CE3D77">
          <w:rPr>
            <w:webHidden/>
          </w:rPr>
          <w:tab/>
        </w:r>
        <w:r w:rsidR="00CE3D77">
          <w:rPr>
            <w:webHidden/>
          </w:rPr>
          <w:fldChar w:fldCharType="begin"/>
        </w:r>
        <w:r w:rsidR="00CE3D77">
          <w:rPr>
            <w:webHidden/>
          </w:rPr>
          <w:instrText xml:space="preserve"> PAGEREF _Toc81138695 \h </w:instrText>
        </w:r>
        <w:r w:rsidR="00CE3D77">
          <w:rPr>
            <w:webHidden/>
          </w:rPr>
        </w:r>
        <w:r w:rsidR="00CE3D77">
          <w:rPr>
            <w:webHidden/>
          </w:rPr>
          <w:fldChar w:fldCharType="separate"/>
        </w:r>
        <w:r w:rsidR="00CE3D77">
          <w:rPr>
            <w:webHidden/>
          </w:rPr>
          <w:t>42</w:t>
        </w:r>
        <w:r w:rsidR="00CE3D77">
          <w:rPr>
            <w:webHidden/>
          </w:rPr>
          <w:fldChar w:fldCharType="end"/>
        </w:r>
      </w:hyperlink>
    </w:p>
    <w:p w14:paraId="17F7A2FD" w14:textId="070141DD" w:rsidR="00CE3D77" w:rsidRDefault="0008271B">
      <w:pPr>
        <w:pStyle w:val="TOC1"/>
        <w:rPr>
          <w:rFonts w:asciiTheme="minorHAnsi" w:eastAsiaTheme="minorEastAsia" w:hAnsiTheme="minorHAnsi" w:cstheme="minorBidi"/>
          <w:b w:val="0"/>
          <w:bCs w:val="0"/>
          <w:caps w:val="0"/>
          <w:noProof/>
          <w:sz w:val="22"/>
          <w:szCs w:val="22"/>
          <w:lang w:bidi="ar-SA"/>
        </w:rPr>
      </w:pPr>
      <w:hyperlink w:anchor="_Toc81138696" w:history="1">
        <w:r w:rsidR="00CE3D77" w:rsidRPr="00AF5BC2">
          <w:rPr>
            <w:rStyle w:val="Hyperlink"/>
            <w:noProof/>
          </w:rPr>
          <w:t>Market Design for a Grid In Transition</w:t>
        </w:r>
        <w:r w:rsidR="00CE3D77">
          <w:rPr>
            <w:noProof/>
            <w:webHidden/>
          </w:rPr>
          <w:tab/>
        </w:r>
        <w:r w:rsidR="00CE3D77">
          <w:rPr>
            <w:noProof/>
            <w:webHidden/>
          </w:rPr>
          <w:fldChar w:fldCharType="begin"/>
        </w:r>
        <w:r w:rsidR="00CE3D77">
          <w:rPr>
            <w:noProof/>
            <w:webHidden/>
          </w:rPr>
          <w:instrText xml:space="preserve"> PAGEREF _Toc81138696 \h </w:instrText>
        </w:r>
        <w:r w:rsidR="00CE3D77">
          <w:rPr>
            <w:noProof/>
            <w:webHidden/>
          </w:rPr>
        </w:r>
        <w:r w:rsidR="00CE3D77">
          <w:rPr>
            <w:noProof/>
            <w:webHidden/>
          </w:rPr>
          <w:fldChar w:fldCharType="separate"/>
        </w:r>
        <w:r w:rsidR="00CE3D77">
          <w:rPr>
            <w:noProof/>
            <w:webHidden/>
          </w:rPr>
          <w:t>46</w:t>
        </w:r>
        <w:r w:rsidR="00CE3D77">
          <w:rPr>
            <w:noProof/>
            <w:webHidden/>
          </w:rPr>
          <w:fldChar w:fldCharType="end"/>
        </w:r>
      </w:hyperlink>
    </w:p>
    <w:p w14:paraId="12347105" w14:textId="72605608" w:rsidR="00CE3D77" w:rsidRDefault="0008271B">
      <w:pPr>
        <w:pStyle w:val="TOC1"/>
        <w:rPr>
          <w:rFonts w:asciiTheme="minorHAnsi" w:eastAsiaTheme="minorEastAsia" w:hAnsiTheme="minorHAnsi" w:cstheme="minorBidi"/>
          <w:b w:val="0"/>
          <w:bCs w:val="0"/>
          <w:caps w:val="0"/>
          <w:noProof/>
          <w:sz w:val="22"/>
          <w:szCs w:val="22"/>
          <w:lang w:bidi="ar-SA"/>
        </w:rPr>
      </w:pPr>
      <w:hyperlink w:anchor="_Toc81138697" w:history="1">
        <w:r w:rsidR="00CE3D77" w:rsidRPr="00AF5BC2">
          <w:rPr>
            <w:rStyle w:val="Hyperlink"/>
            <w:noProof/>
          </w:rPr>
          <w:t>Recommended Actions and Conclusions</w:t>
        </w:r>
        <w:r w:rsidR="00CE3D77">
          <w:rPr>
            <w:noProof/>
            <w:webHidden/>
          </w:rPr>
          <w:tab/>
        </w:r>
        <w:r w:rsidR="00CE3D77">
          <w:rPr>
            <w:noProof/>
            <w:webHidden/>
          </w:rPr>
          <w:fldChar w:fldCharType="begin"/>
        </w:r>
        <w:r w:rsidR="00CE3D77">
          <w:rPr>
            <w:noProof/>
            <w:webHidden/>
          </w:rPr>
          <w:instrText xml:space="preserve"> PAGEREF _Toc81138697 \h </w:instrText>
        </w:r>
        <w:r w:rsidR="00CE3D77">
          <w:rPr>
            <w:noProof/>
            <w:webHidden/>
          </w:rPr>
        </w:r>
        <w:r w:rsidR="00CE3D77">
          <w:rPr>
            <w:noProof/>
            <w:webHidden/>
          </w:rPr>
          <w:fldChar w:fldCharType="separate"/>
        </w:r>
        <w:r w:rsidR="00CE3D77">
          <w:rPr>
            <w:noProof/>
            <w:webHidden/>
          </w:rPr>
          <w:t>47</w:t>
        </w:r>
        <w:r w:rsidR="00CE3D77">
          <w:rPr>
            <w:noProof/>
            <w:webHidden/>
          </w:rPr>
          <w:fldChar w:fldCharType="end"/>
        </w:r>
      </w:hyperlink>
    </w:p>
    <w:p w14:paraId="00E08DA2" w14:textId="316340A6" w:rsidR="00CE3D77" w:rsidRDefault="0008271B">
      <w:pPr>
        <w:pStyle w:val="TOC2"/>
        <w:rPr>
          <w:rFonts w:asciiTheme="minorHAnsi" w:eastAsiaTheme="minorEastAsia" w:hAnsiTheme="minorHAnsi" w:cstheme="minorBidi"/>
          <w:lang w:bidi="ar-SA"/>
        </w:rPr>
      </w:pPr>
      <w:hyperlink w:anchor="_Toc81138698" w:history="1">
        <w:r w:rsidR="00CE3D77" w:rsidRPr="00AF5BC2">
          <w:rPr>
            <w:rStyle w:val="Hyperlink"/>
          </w:rPr>
          <w:t>Monitor and Track Potential New Developments</w:t>
        </w:r>
        <w:r w:rsidR="00CE3D77">
          <w:rPr>
            <w:webHidden/>
          </w:rPr>
          <w:tab/>
        </w:r>
        <w:r w:rsidR="00CE3D77">
          <w:rPr>
            <w:webHidden/>
          </w:rPr>
          <w:fldChar w:fldCharType="begin"/>
        </w:r>
        <w:r w:rsidR="00CE3D77">
          <w:rPr>
            <w:webHidden/>
          </w:rPr>
          <w:instrText xml:space="preserve"> PAGEREF _Toc81138698 \h </w:instrText>
        </w:r>
        <w:r w:rsidR="00CE3D77">
          <w:rPr>
            <w:webHidden/>
          </w:rPr>
        </w:r>
        <w:r w:rsidR="00CE3D77">
          <w:rPr>
            <w:webHidden/>
          </w:rPr>
          <w:fldChar w:fldCharType="separate"/>
        </w:r>
        <w:r w:rsidR="00CE3D77">
          <w:rPr>
            <w:webHidden/>
          </w:rPr>
          <w:t>47</w:t>
        </w:r>
        <w:r w:rsidR="00CE3D77">
          <w:rPr>
            <w:webHidden/>
          </w:rPr>
          <w:fldChar w:fldCharType="end"/>
        </w:r>
      </w:hyperlink>
    </w:p>
    <w:p w14:paraId="41A637E6" w14:textId="723627C2" w:rsidR="00CE3D77" w:rsidRDefault="0008271B">
      <w:pPr>
        <w:pStyle w:val="TOC2"/>
        <w:rPr>
          <w:rFonts w:asciiTheme="minorHAnsi" w:eastAsiaTheme="minorEastAsia" w:hAnsiTheme="minorHAnsi" w:cstheme="minorBidi"/>
          <w:lang w:bidi="ar-SA"/>
        </w:rPr>
      </w:pPr>
      <w:hyperlink w:anchor="_Toc81138699" w:history="1">
        <w:r w:rsidR="00CE3D77" w:rsidRPr="00AF5BC2">
          <w:rPr>
            <w:rStyle w:val="Hyperlink"/>
          </w:rPr>
          <w:t>Monitor and Track Transmission Owner Plans</w:t>
        </w:r>
        <w:r w:rsidR="00CE3D77">
          <w:rPr>
            <w:webHidden/>
          </w:rPr>
          <w:tab/>
        </w:r>
        <w:r w:rsidR="00CE3D77">
          <w:rPr>
            <w:webHidden/>
          </w:rPr>
          <w:fldChar w:fldCharType="begin"/>
        </w:r>
        <w:r w:rsidR="00CE3D77">
          <w:rPr>
            <w:webHidden/>
          </w:rPr>
          <w:instrText xml:space="preserve"> PAGEREF _Toc81138699 \h </w:instrText>
        </w:r>
        <w:r w:rsidR="00CE3D77">
          <w:rPr>
            <w:webHidden/>
          </w:rPr>
        </w:r>
        <w:r w:rsidR="00CE3D77">
          <w:rPr>
            <w:webHidden/>
          </w:rPr>
          <w:fldChar w:fldCharType="separate"/>
        </w:r>
        <w:r w:rsidR="00CE3D77">
          <w:rPr>
            <w:webHidden/>
          </w:rPr>
          <w:t>47</w:t>
        </w:r>
        <w:r w:rsidR="00CE3D77">
          <w:rPr>
            <w:webHidden/>
          </w:rPr>
          <w:fldChar w:fldCharType="end"/>
        </w:r>
      </w:hyperlink>
    </w:p>
    <w:p w14:paraId="20BB474D" w14:textId="1360F3B9" w:rsidR="00CE3D77" w:rsidRDefault="0008271B">
      <w:pPr>
        <w:pStyle w:val="TOC2"/>
        <w:rPr>
          <w:rFonts w:asciiTheme="minorHAnsi" w:eastAsiaTheme="minorEastAsia" w:hAnsiTheme="minorHAnsi" w:cstheme="minorBidi"/>
          <w:lang w:bidi="ar-SA"/>
        </w:rPr>
      </w:pPr>
      <w:hyperlink w:anchor="_Toc81138700" w:history="1">
        <w:r w:rsidR="00CE3D77" w:rsidRPr="00AF5BC2">
          <w:rPr>
            <w:rStyle w:val="Hyperlink"/>
          </w:rPr>
          <w:t>Continue Coordination with the New York State Public Service Commission</w:t>
        </w:r>
        <w:r w:rsidR="00CE3D77">
          <w:rPr>
            <w:webHidden/>
          </w:rPr>
          <w:tab/>
        </w:r>
        <w:r w:rsidR="00CE3D77">
          <w:rPr>
            <w:webHidden/>
          </w:rPr>
          <w:fldChar w:fldCharType="begin"/>
        </w:r>
        <w:r w:rsidR="00CE3D77">
          <w:rPr>
            <w:webHidden/>
          </w:rPr>
          <w:instrText xml:space="preserve"> PAGEREF _Toc81138700 \h </w:instrText>
        </w:r>
        <w:r w:rsidR="00CE3D77">
          <w:rPr>
            <w:webHidden/>
          </w:rPr>
        </w:r>
        <w:r w:rsidR="00CE3D77">
          <w:rPr>
            <w:webHidden/>
          </w:rPr>
          <w:fldChar w:fldCharType="separate"/>
        </w:r>
        <w:r w:rsidR="00CE3D77">
          <w:rPr>
            <w:webHidden/>
          </w:rPr>
          <w:t>48</w:t>
        </w:r>
        <w:r w:rsidR="00CE3D77">
          <w:rPr>
            <w:webHidden/>
          </w:rPr>
          <w:fldChar w:fldCharType="end"/>
        </w:r>
      </w:hyperlink>
    </w:p>
    <w:p w14:paraId="4BAB249F" w14:textId="2DA2CACA" w:rsidR="00CE3D77" w:rsidRDefault="0008271B">
      <w:pPr>
        <w:pStyle w:val="TOC2"/>
        <w:rPr>
          <w:rFonts w:asciiTheme="minorHAnsi" w:eastAsiaTheme="minorEastAsia" w:hAnsiTheme="minorHAnsi" w:cstheme="minorBidi"/>
          <w:lang w:bidi="ar-SA"/>
        </w:rPr>
      </w:pPr>
      <w:hyperlink w:anchor="_Toc81138701" w:history="1">
        <w:r w:rsidR="00CE3D77" w:rsidRPr="00AF5BC2">
          <w:rPr>
            <w:rStyle w:val="Hyperlink"/>
          </w:rPr>
          <w:t>Monitor Changes That Could Impact Risk Factors</w:t>
        </w:r>
        <w:r w:rsidR="00CE3D77">
          <w:rPr>
            <w:webHidden/>
          </w:rPr>
          <w:tab/>
        </w:r>
        <w:r w:rsidR="00CE3D77">
          <w:rPr>
            <w:webHidden/>
          </w:rPr>
          <w:fldChar w:fldCharType="begin"/>
        </w:r>
        <w:r w:rsidR="00CE3D77">
          <w:rPr>
            <w:webHidden/>
          </w:rPr>
          <w:instrText xml:space="preserve"> PAGEREF _Toc81138701 \h </w:instrText>
        </w:r>
        <w:r w:rsidR="00CE3D77">
          <w:rPr>
            <w:webHidden/>
          </w:rPr>
        </w:r>
        <w:r w:rsidR="00CE3D77">
          <w:rPr>
            <w:webHidden/>
          </w:rPr>
          <w:fldChar w:fldCharType="separate"/>
        </w:r>
        <w:r w:rsidR="00CE3D77">
          <w:rPr>
            <w:webHidden/>
          </w:rPr>
          <w:t>48</w:t>
        </w:r>
        <w:r w:rsidR="00CE3D77">
          <w:rPr>
            <w:webHidden/>
          </w:rPr>
          <w:fldChar w:fldCharType="end"/>
        </w:r>
      </w:hyperlink>
    </w:p>
    <w:p w14:paraId="7FA8C4D2" w14:textId="723D838F" w:rsidR="00CE3D77" w:rsidRDefault="0008271B">
      <w:pPr>
        <w:pStyle w:val="TOC2"/>
        <w:rPr>
          <w:rFonts w:asciiTheme="minorHAnsi" w:eastAsiaTheme="minorEastAsia" w:hAnsiTheme="minorHAnsi" w:cstheme="minorBidi"/>
          <w:lang w:bidi="ar-SA"/>
        </w:rPr>
      </w:pPr>
      <w:hyperlink w:anchor="_Toc81138702" w:history="1">
        <w:r w:rsidR="00CE3D77" w:rsidRPr="00AF5BC2">
          <w:rPr>
            <w:rStyle w:val="Hyperlink"/>
          </w:rPr>
          <w:t>Future NYISO studies</w:t>
        </w:r>
        <w:r w:rsidR="00CE3D77">
          <w:rPr>
            <w:webHidden/>
          </w:rPr>
          <w:tab/>
        </w:r>
        <w:r w:rsidR="00CE3D77">
          <w:rPr>
            <w:webHidden/>
          </w:rPr>
          <w:fldChar w:fldCharType="begin"/>
        </w:r>
        <w:r w:rsidR="00CE3D77">
          <w:rPr>
            <w:webHidden/>
          </w:rPr>
          <w:instrText xml:space="preserve"> PAGEREF _Toc81138702 \h </w:instrText>
        </w:r>
        <w:r w:rsidR="00CE3D77">
          <w:rPr>
            <w:webHidden/>
          </w:rPr>
        </w:r>
        <w:r w:rsidR="00CE3D77">
          <w:rPr>
            <w:webHidden/>
          </w:rPr>
          <w:fldChar w:fldCharType="separate"/>
        </w:r>
        <w:r w:rsidR="00CE3D77">
          <w:rPr>
            <w:webHidden/>
          </w:rPr>
          <w:t>49</w:t>
        </w:r>
        <w:r w:rsidR="00CE3D77">
          <w:rPr>
            <w:webHidden/>
          </w:rPr>
          <w:fldChar w:fldCharType="end"/>
        </w:r>
      </w:hyperlink>
    </w:p>
    <w:p w14:paraId="08939D0F" w14:textId="6E7F1251" w:rsidR="00CE3D77" w:rsidRDefault="0008271B">
      <w:pPr>
        <w:pStyle w:val="TOC1"/>
        <w:rPr>
          <w:rFonts w:asciiTheme="minorHAnsi" w:eastAsiaTheme="minorEastAsia" w:hAnsiTheme="minorHAnsi" w:cstheme="minorBidi"/>
          <w:b w:val="0"/>
          <w:bCs w:val="0"/>
          <w:caps w:val="0"/>
          <w:noProof/>
          <w:sz w:val="22"/>
          <w:szCs w:val="22"/>
          <w:lang w:bidi="ar-SA"/>
        </w:rPr>
      </w:pPr>
      <w:hyperlink w:anchor="_Toc81138703" w:history="1">
        <w:r w:rsidR="00CE3D77" w:rsidRPr="00AF5BC2">
          <w:rPr>
            <w:rStyle w:val="Hyperlink"/>
            <w:noProof/>
          </w:rPr>
          <w:t>Appendix A – Glossary</w:t>
        </w:r>
        <w:r w:rsidR="00CE3D77">
          <w:rPr>
            <w:noProof/>
            <w:webHidden/>
          </w:rPr>
          <w:tab/>
        </w:r>
        <w:r w:rsidR="00CE3D77">
          <w:rPr>
            <w:noProof/>
            <w:webHidden/>
          </w:rPr>
          <w:fldChar w:fldCharType="begin"/>
        </w:r>
        <w:r w:rsidR="00CE3D77">
          <w:rPr>
            <w:noProof/>
            <w:webHidden/>
          </w:rPr>
          <w:instrText xml:space="preserve"> PAGEREF _Toc81138703 \h </w:instrText>
        </w:r>
        <w:r w:rsidR="00CE3D77">
          <w:rPr>
            <w:noProof/>
            <w:webHidden/>
          </w:rPr>
        </w:r>
        <w:r w:rsidR="00CE3D77">
          <w:rPr>
            <w:noProof/>
            <w:webHidden/>
          </w:rPr>
          <w:fldChar w:fldCharType="separate"/>
        </w:r>
        <w:r w:rsidR="00CE3D77">
          <w:rPr>
            <w:noProof/>
            <w:webHidden/>
          </w:rPr>
          <w:t>51</w:t>
        </w:r>
        <w:r w:rsidR="00CE3D77">
          <w:rPr>
            <w:noProof/>
            <w:webHidden/>
          </w:rPr>
          <w:fldChar w:fldCharType="end"/>
        </w:r>
      </w:hyperlink>
    </w:p>
    <w:p w14:paraId="21FD0A2A" w14:textId="300AB86B" w:rsidR="00CE3D77" w:rsidRDefault="0008271B">
      <w:pPr>
        <w:pStyle w:val="TOC1"/>
        <w:rPr>
          <w:rFonts w:asciiTheme="minorHAnsi" w:eastAsiaTheme="minorEastAsia" w:hAnsiTheme="minorHAnsi" w:cstheme="minorBidi"/>
          <w:b w:val="0"/>
          <w:bCs w:val="0"/>
          <w:caps w:val="0"/>
          <w:noProof/>
          <w:sz w:val="22"/>
          <w:szCs w:val="22"/>
          <w:lang w:bidi="ar-SA"/>
        </w:rPr>
      </w:pPr>
      <w:hyperlink w:anchor="_Toc81138704" w:history="1">
        <w:r w:rsidR="00CE3D77" w:rsidRPr="00AF5BC2">
          <w:rPr>
            <w:rStyle w:val="Hyperlink"/>
            <w:noProof/>
          </w:rPr>
          <w:t>Appendix B - Planned Projects and Assumptions</w:t>
        </w:r>
        <w:r w:rsidR="00CE3D77">
          <w:rPr>
            <w:noProof/>
            <w:webHidden/>
          </w:rPr>
          <w:tab/>
        </w:r>
        <w:r w:rsidR="00CE3D77">
          <w:rPr>
            <w:noProof/>
            <w:webHidden/>
          </w:rPr>
          <w:fldChar w:fldCharType="begin"/>
        </w:r>
        <w:r w:rsidR="00CE3D77">
          <w:rPr>
            <w:noProof/>
            <w:webHidden/>
          </w:rPr>
          <w:instrText xml:space="preserve"> PAGEREF _Toc81138704 \h </w:instrText>
        </w:r>
        <w:r w:rsidR="00CE3D77">
          <w:rPr>
            <w:noProof/>
            <w:webHidden/>
          </w:rPr>
        </w:r>
        <w:r w:rsidR="00CE3D77">
          <w:rPr>
            <w:noProof/>
            <w:webHidden/>
          </w:rPr>
          <w:fldChar w:fldCharType="separate"/>
        </w:r>
        <w:r w:rsidR="00CE3D77">
          <w:rPr>
            <w:noProof/>
            <w:webHidden/>
          </w:rPr>
          <w:t>52</w:t>
        </w:r>
        <w:r w:rsidR="00CE3D77">
          <w:rPr>
            <w:noProof/>
            <w:webHidden/>
          </w:rPr>
          <w:fldChar w:fldCharType="end"/>
        </w:r>
      </w:hyperlink>
    </w:p>
    <w:p w14:paraId="037BAC34" w14:textId="186B786B" w:rsidR="00CE3D77" w:rsidRDefault="0008271B">
      <w:pPr>
        <w:pStyle w:val="TOC1"/>
        <w:rPr>
          <w:rFonts w:asciiTheme="minorHAnsi" w:eastAsiaTheme="minorEastAsia" w:hAnsiTheme="minorHAnsi" w:cstheme="minorBidi"/>
          <w:b w:val="0"/>
          <w:bCs w:val="0"/>
          <w:caps w:val="0"/>
          <w:noProof/>
          <w:sz w:val="22"/>
          <w:szCs w:val="22"/>
          <w:lang w:bidi="ar-SA"/>
        </w:rPr>
      </w:pPr>
      <w:hyperlink w:anchor="_Toc81138705" w:history="1">
        <w:r w:rsidR="00CE3D77" w:rsidRPr="00AF5BC2">
          <w:rPr>
            <w:rStyle w:val="Hyperlink"/>
            <w:noProof/>
          </w:rPr>
          <w:t>Appendix C – Resource Adequacy Models and Analysis</w:t>
        </w:r>
        <w:r w:rsidR="00CE3D77">
          <w:rPr>
            <w:noProof/>
            <w:webHidden/>
          </w:rPr>
          <w:tab/>
        </w:r>
        <w:r w:rsidR="00CE3D77">
          <w:rPr>
            <w:noProof/>
            <w:webHidden/>
          </w:rPr>
          <w:fldChar w:fldCharType="begin"/>
        </w:r>
        <w:r w:rsidR="00CE3D77">
          <w:rPr>
            <w:noProof/>
            <w:webHidden/>
          </w:rPr>
          <w:instrText xml:space="preserve"> PAGEREF _Toc81138705 \h </w:instrText>
        </w:r>
        <w:r w:rsidR="00CE3D77">
          <w:rPr>
            <w:noProof/>
            <w:webHidden/>
          </w:rPr>
        </w:r>
        <w:r w:rsidR="00CE3D77">
          <w:rPr>
            <w:noProof/>
            <w:webHidden/>
          </w:rPr>
          <w:fldChar w:fldCharType="separate"/>
        </w:r>
        <w:r w:rsidR="00CE3D77">
          <w:rPr>
            <w:noProof/>
            <w:webHidden/>
          </w:rPr>
          <w:t>69</w:t>
        </w:r>
        <w:r w:rsidR="00CE3D77">
          <w:rPr>
            <w:noProof/>
            <w:webHidden/>
          </w:rPr>
          <w:fldChar w:fldCharType="end"/>
        </w:r>
      </w:hyperlink>
    </w:p>
    <w:p w14:paraId="3A89EA2F" w14:textId="36014417" w:rsidR="00CE3D77" w:rsidRDefault="0008271B">
      <w:pPr>
        <w:pStyle w:val="TOC2"/>
        <w:rPr>
          <w:rFonts w:asciiTheme="minorHAnsi" w:eastAsiaTheme="minorEastAsia" w:hAnsiTheme="minorHAnsi" w:cstheme="minorBidi"/>
          <w:lang w:bidi="ar-SA"/>
        </w:rPr>
      </w:pPr>
      <w:hyperlink w:anchor="_Toc81138706" w:history="1">
        <w:r w:rsidR="00CE3D77" w:rsidRPr="00AF5BC2">
          <w:rPr>
            <w:rStyle w:val="Hyperlink"/>
          </w:rPr>
          <w:t>Modeling Background</w:t>
        </w:r>
        <w:r w:rsidR="00CE3D77">
          <w:rPr>
            <w:webHidden/>
          </w:rPr>
          <w:tab/>
        </w:r>
        <w:r w:rsidR="00CE3D77">
          <w:rPr>
            <w:webHidden/>
          </w:rPr>
          <w:fldChar w:fldCharType="begin"/>
        </w:r>
        <w:r w:rsidR="00CE3D77">
          <w:rPr>
            <w:webHidden/>
          </w:rPr>
          <w:instrText xml:space="preserve"> PAGEREF _Toc81138706 \h </w:instrText>
        </w:r>
        <w:r w:rsidR="00CE3D77">
          <w:rPr>
            <w:webHidden/>
          </w:rPr>
        </w:r>
        <w:r w:rsidR="00CE3D77">
          <w:rPr>
            <w:webHidden/>
          </w:rPr>
          <w:fldChar w:fldCharType="separate"/>
        </w:r>
        <w:r w:rsidR="00CE3D77">
          <w:rPr>
            <w:webHidden/>
          </w:rPr>
          <w:t>69</w:t>
        </w:r>
        <w:r w:rsidR="00CE3D77">
          <w:rPr>
            <w:webHidden/>
          </w:rPr>
          <w:fldChar w:fldCharType="end"/>
        </w:r>
      </w:hyperlink>
    </w:p>
    <w:p w14:paraId="57E9D5C1" w14:textId="3009DF1C" w:rsidR="00CE3D77" w:rsidRDefault="0008271B">
      <w:pPr>
        <w:pStyle w:val="TOC2"/>
        <w:rPr>
          <w:rFonts w:asciiTheme="minorHAnsi" w:eastAsiaTheme="minorEastAsia" w:hAnsiTheme="minorHAnsi" w:cstheme="minorBidi"/>
          <w:lang w:bidi="ar-SA"/>
        </w:rPr>
      </w:pPr>
      <w:hyperlink w:anchor="_Toc81138707" w:history="1">
        <w:r w:rsidR="00CE3D77" w:rsidRPr="00AF5BC2">
          <w:rPr>
            <w:rStyle w:val="Hyperlink"/>
          </w:rPr>
          <w:t>Impacts of the Post-RNA (CRP) Changes</w:t>
        </w:r>
        <w:r w:rsidR="00CE3D77">
          <w:rPr>
            <w:webHidden/>
          </w:rPr>
          <w:tab/>
        </w:r>
        <w:r w:rsidR="00CE3D77">
          <w:rPr>
            <w:webHidden/>
          </w:rPr>
          <w:fldChar w:fldCharType="begin"/>
        </w:r>
        <w:r w:rsidR="00CE3D77">
          <w:rPr>
            <w:webHidden/>
          </w:rPr>
          <w:instrText xml:space="preserve"> PAGEREF _Toc81138707 \h </w:instrText>
        </w:r>
        <w:r w:rsidR="00CE3D77">
          <w:rPr>
            <w:webHidden/>
          </w:rPr>
        </w:r>
        <w:r w:rsidR="00CE3D77">
          <w:rPr>
            <w:webHidden/>
          </w:rPr>
          <w:fldChar w:fldCharType="separate"/>
        </w:r>
        <w:r w:rsidR="00CE3D77">
          <w:rPr>
            <w:webHidden/>
          </w:rPr>
          <w:t>70</w:t>
        </w:r>
        <w:r w:rsidR="00CE3D77">
          <w:rPr>
            <w:webHidden/>
          </w:rPr>
          <w:fldChar w:fldCharType="end"/>
        </w:r>
      </w:hyperlink>
    </w:p>
    <w:p w14:paraId="40BA2E4C" w14:textId="357E3B4C" w:rsidR="00CE3D77" w:rsidRDefault="0008271B">
      <w:pPr>
        <w:pStyle w:val="TOC2"/>
        <w:rPr>
          <w:rFonts w:asciiTheme="minorHAnsi" w:eastAsiaTheme="minorEastAsia" w:hAnsiTheme="minorHAnsi" w:cstheme="minorBidi"/>
          <w:lang w:bidi="ar-SA"/>
        </w:rPr>
      </w:pPr>
      <w:hyperlink w:anchor="_Toc81138708" w:history="1">
        <w:r w:rsidR="00CE3D77" w:rsidRPr="00AF5BC2">
          <w:rPr>
            <w:rStyle w:val="Hyperlink"/>
          </w:rPr>
          <w:t>CRP Base Case Event Analysis</w:t>
        </w:r>
        <w:r w:rsidR="00CE3D77">
          <w:rPr>
            <w:webHidden/>
          </w:rPr>
          <w:tab/>
        </w:r>
        <w:r w:rsidR="00CE3D77">
          <w:rPr>
            <w:webHidden/>
          </w:rPr>
          <w:fldChar w:fldCharType="begin"/>
        </w:r>
        <w:r w:rsidR="00CE3D77">
          <w:rPr>
            <w:webHidden/>
          </w:rPr>
          <w:instrText xml:space="preserve"> PAGEREF _Toc81138708 \h </w:instrText>
        </w:r>
        <w:r w:rsidR="00CE3D77">
          <w:rPr>
            <w:webHidden/>
          </w:rPr>
        </w:r>
        <w:r w:rsidR="00CE3D77">
          <w:rPr>
            <w:webHidden/>
          </w:rPr>
          <w:fldChar w:fldCharType="separate"/>
        </w:r>
        <w:r w:rsidR="00CE3D77">
          <w:rPr>
            <w:webHidden/>
          </w:rPr>
          <w:t>79</w:t>
        </w:r>
        <w:r w:rsidR="00CE3D77">
          <w:rPr>
            <w:webHidden/>
          </w:rPr>
          <w:fldChar w:fldCharType="end"/>
        </w:r>
      </w:hyperlink>
    </w:p>
    <w:p w14:paraId="418EE3A4" w14:textId="41818AB3" w:rsidR="00CE3D77" w:rsidRDefault="0008271B">
      <w:pPr>
        <w:pStyle w:val="TOC2"/>
        <w:rPr>
          <w:rFonts w:asciiTheme="minorHAnsi" w:eastAsiaTheme="minorEastAsia" w:hAnsiTheme="minorHAnsi" w:cstheme="minorBidi"/>
          <w:lang w:bidi="ar-SA"/>
        </w:rPr>
      </w:pPr>
      <w:hyperlink w:anchor="_Toc81138709" w:history="1">
        <w:r w:rsidR="00CE3D77" w:rsidRPr="00AF5BC2">
          <w:rPr>
            <w:rStyle w:val="Hyperlink"/>
          </w:rPr>
          <w:t>Resource Adequacy Assumptions Matrix</w:t>
        </w:r>
        <w:r w:rsidR="00CE3D77">
          <w:rPr>
            <w:webHidden/>
          </w:rPr>
          <w:tab/>
        </w:r>
        <w:r w:rsidR="00CE3D77">
          <w:rPr>
            <w:webHidden/>
          </w:rPr>
          <w:fldChar w:fldCharType="begin"/>
        </w:r>
        <w:r w:rsidR="00CE3D77">
          <w:rPr>
            <w:webHidden/>
          </w:rPr>
          <w:instrText xml:space="preserve"> PAGEREF _Toc81138709 \h </w:instrText>
        </w:r>
        <w:r w:rsidR="00CE3D77">
          <w:rPr>
            <w:webHidden/>
          </w:rPr>
        </w:r>
        <w:r w:rsidR="00CE3D77">
          <w:rPr>
            <w:webHidden/>
          </w:rPr>
          <w:fldChar w:fldCharType="separate"/>
        </w:r>
        <w:r w:rsidR="00CE3D77">
          <w:rPr>
            <w:webHidden/>
          </w:rPr>
          <w:t>83</w:t>
        </w:r>
        <w:r w:rsidR="00CE3D77">
          <w:rPr>
            <w:webHidden/>
          </w:rPr>
          <w:fldChar w:fldCharType="end"/>
        </w:r>
      </w:hyperlink>
    </w:p>
    <w:p w14:paraId="21BFCFBD" w14:textId="466B7B4C" w:rsidR="00CE3D77" w:rsidRDefault="0008271B">
      <w:pPr>
        <w:pStyle w:val="TOC1"/>
        <w:rPr>
          <w:rFonts w:asciiTheme="minorHAnsi" w:eastAsiaTheme="minorEastAsia" w:hAnsiTheme="minorHAnsi" w:cstheme="minorBidi"/>
          <w:b w:val="0"/>
          <w:bCs w:val="0"/>
          <w:caps w:val="0"/>
          <w:noProof/>
          <w:sz w:val="22"/>
          <w:szCs w:val="22"/>
          <w:lang w:bidi="ar-SA"/>
        </w:rPr>
      </w:pPr>
      <w:hyperlink w:anchor="_Toc81138710" w:history="1">
        <w:r w:rsidR="00CE3D77" w:rsidRPr="00AF5BC2">
          <w:rPr>
            <w:rStyle w:val="Hyperlink"/>
            <w:noProof/>
          </w:rPr>
          <w:t>Appendix D – Transmission Security Margins (“Tipping Points”)</w:t>
        </w:r>
        <w:r w:rsidR="00CE3D77">
          <w:rPr>
            <w:noProof/>
            <w:webHidden/>
          </w:rPr>
          <w:tab/>
        </w:r>
        <w:r w:rsidR="00CE3D77">
          <w:rPr>
            <w:noProof/>
            <w:webHidden/>
          </w:rPr>
          <w:fldChar w:fldCharType="begin"/>
        </w:r>
        <w:r w:rsidR="00CE3D77">
          <w:rPr>
            <w:noProof/>
            <w:webHidden/>
          </w:rPr>
          <w:instrText xml:space="preserve"> PAGEREF _Toc81138710 \h </w:instrText>
        </w:r>
        <w:r w:rsidR="00CE3D77">
          <w:rPr>
            <w:noProof/>
            <w:webHidden/>
          </w:rPr>
        </w:r>
        <w:r w:rsidR="00CE3D77">
          <w:rPr>
            <w:noProof/>
            <w:webHidden/>
          </w:rPr>
          <w:fldChar w:fldCharType="separate"/>
        </w:r>
        <w:r w:rsidR="00CE3D77">
          <w:rPr>
            <w:noProof/>
            <w:webHidden/>
          </w:rPr>
          <w:t>91</w:t>
        </w:r>
        <w:r w:rsidR="00CE3D77">
          <w:rPr>
            <w:noProof/>
            <w:webHidden/>
          </w:rPr>
          <w:fldChar w:fldCharType="end"/>
        </w:r>
      </w:hyperlink>
    </w:p>
    <w:p w14:paraId="5691523C" w14:textId="67118DEF" w:rsidR="00CE3D77" w:rsidRDefault="0008271B">
      <w:pPr>
        <w:pStyle w:val="TOC2"/>
        <w:rPr>
          <w:rFonts w:asciiTheme="minorHAnsi" w:eastAsiaTheme="minorEastAsia" w:hAnsiTheme="minorHAnsi" w:cstheme="minorBidi"/>
          <w:lang w:bidi="ar-SA"/>
        </w:rPr>
      </w:pPr>
      <w:hyperlink w:anchor="_Toc81138711" w:history="1">
        <w:r w:rsidR="00CE3D77" w:rsidRPr="00AF5BC2">
          <w:rPr>
            <w:rStyle w:val="Hyperlink"/>
          </w:rPr>
          <w:t>New York Control Area (NYCA) Tipping Points</w:t>
        </w:r>
        <w:r w:rsidR="00CE3D77">
          <w:rPr>
            <w:webHidden/>
          </w:rPr>
          <w:tab/>
        </w:r>
        <w:r w:rsidR="00CE3D77">
          <w:rPr>
            <w:webHidden/>
          </w:rPr>
          <w:fldChar w:fldCharType="begin"/>
        </w:r>
        <w:r w:rsidR="00CE3D77">
          <w:rPr>
            <w:webHidden/>
          </w:rPr>
          <w:instrText xml:space="preserve"> PAGEREF _Toc81138711 \h </w:instrText>
        </w:r>
        <w:r w:rsidR="00CE3D77">
          <w:rPr>
            <w:webHidden/>
          </w:rPr>
        </w:r>
        <w:r w:rsidR="00CE3D77">
          <w:rPr>
            <w:webHidden/>
          </w:rPr>
          <w:fldChar w:fldCharType="separate"/>
        </w:r>
        <w:r w:rsidR="00CE3D77">
          <w:rPr>
            <w:webHidden/>
          </w:rPr>
          <w:t>91</w:t>
        </w:r>
        <w:r w:rsidR="00CE3D77">
          <w:rPr>
            <w:webHidden/>
          </w:rPr>
          <w:fldChar w:fldCharType="end"/>
        </w:r>
      </w:hyperlink>
    </w:p>
    <w:p w14:paraId="200CBA11" w14:textId="1F671956" w:rsidR="00CE3D77" w:rsidRDefault="0008271B">
      <w:pPr>
        <w:pStyle w:val="TOC2"/>
        <w:rPr>
          <w:rFonts w:asciiTheme="minorHAnsi" w:eastAsiaTheme="minorEastAsia" w:hAnsiTheme="minorHAnsi" w:cstheme="minorBidi"/>
          <w:lang w:bidi="ar-SA"/>
        </w:rPr>
      </w:pPr>
      <w:hyperlink w:anchor="_Toc81138712" w:history="1">
        <w:r w:rsidR="00CE3D77" w:rsidRPr="00AF5BC2">
          <w:rPr>
            <w:rStyle w:val="Hyperlink"/>
          </w:rPr>
          <w:t>Lower Hudson Valley (Zones G-J) Tipping Points</w:t>
        </w:r>
        <w:r w:rsidR="00CE3D77">
          <w:rPr>
            <w:webHidden/>
          </w:rPr>
          <w:tab/>
        </w:r>
        <w:r w:rsidR="00CE3D77">
          <w:rPr>
            <w:webHidden/>
          </w:rPr>
          <w:fldChar w:fldCharType="begin"/>
        </w:r>
        <w:r w:rsidR="00CE3D77">
          <w:rPr>
            <w:webHidden/>
          </w:rPr>
          <w:instrText xml:space="preserve"> PAGEREF _Toc81138712 \h </w:instrText>
        </w:r>
        <w:r w:rsidR="00CE3D77">
          <w:rPr>
            <w:webHidden/>
          </w:rPr>
        </w:r>
        <w:r w:rsidR="00CE3D77">
          <w:rPr>
            <w:webHidden/>
          </w:rPr>
          <w:fldChar w:fldCharType="separate"/>
        </w:r>
        <w:r w:rsidR="00CE3D77">
          <w:rPr>
            <w:webHidden/>
          </w:rPr>
          <w:t>94</w:t>
        </w:r>
        <w:r w:rsidR="00CE3D77">
          <w:rPr>
            <w:webHidden/>
          </w:rPr>
          <w:fldChar w:fldCharType="end"/>
        </w:r>
      </w:hyperlink>
    </w:p>
    <w:p w14:paraId="234AD1BB" w14:textId="14E7C9F7" w:rsidR="00CE3D77" w:rsidRDefault="0008271B">
      <w:pPr>
        <w:pStyle w:val="TOC2"/>
        <w:rPr>
          <w:rFonts w:asciiTheme="minorHAnsi" w:eastAsiaTheme="minorEastAsia" w:hAnsiTheme="minorHAnsi" w:cstheme="minorBidi"/>
          <w:lang w:bidi="ar-SA"/>
        </w:rPr>
      </w:pPr>
      <w:hyperlink w:anchor="_Toc81138713" w:history="1">
        <w:r w:rsidR="00CE3D77" w:rsidRPr="00AF5BC2">
          <w:rPr>
            <w:rStyle w:val="Hyperlink"/>
          </w:rPr>
          <w:t>New York City (Zone J) Tipping Points</w:t>
        </w:r>
        <w:r w:rsidR="00CE3D77">
          <w:rPr>
            <w:webHidden/>
          </w:rPr>
          <w:tab/>
        </w:r>
        <w:r w:rsidR="00CE3D77">
          <w:rPr>
            <w:webHidden/>
          </w:rPr>
          <w:fldChar w:fldCharType="begin"/>
        </w:r>
        <w:r w:rsidR="00CE3D77">
          <w:rPr>
            <w:webHidden/>
          </w:rPr>
          <w:instrText xml:space="preserve"> PAGEREF _Toc81138713 \h </w:instrText>
        </w:r>
        <w:r w:rsidR="00CE3D77">
          <w:rPr>
            <w:webHidden/>
          </w:rPr>
        </w:r>
        <w:r w:rsidR="00CE3D77">
          <w:rPr>
            <w:webHidden/>
          </w:rPr>
          <w:fldChar w:fldCharType="separate"/>
        </w:r>
        <w:r w:rsidR="00CE3D77">
          <w:rPr>
            <w:webHidden/>
          </w:rPr>
          <w:t>98</w:t>
        </w:r>
        <w:r w:rsidR="00CE3D77">
          <w:rPr>
            <w:webHidden/>
          </w:rPr>
          <w:fldChar w:fldCharType="end"/>
        </w:r>
      </w:hyperlink>
    </w:p>
    <w:p w14:paraId="085CA537" w14:textId="03D57E8E" w:rsidR="00CE3D77" w:rsidRDefault="0008271B">
      <w:pPr>
        <w:pStyle w:val="TOC2"/>
        <w:rPr>
          <w:rFonts w:asciiTheme="minorHAnsi" w:eastAsiaTheme="minorEastAsia" w:hAnsiTheme="minorHAnsi" w:cstheme="minorBidi"/>
          <w:lang w:bidi="ar-SA"/>
        </w:rPr>
      </w:pPr>
      <w:hyperlink w:anchor="_Toc81138714" w:history="1">
        <w:r w:rsidR="00CE3D77" w:rsidRPr="00AF5BC2">
          <w:rPr>
            <w:rStyle w:val="Hyperlink"/>
          </w:rPr>
          <w:t>Long Island (Zone K) Tipping Points</w:t>
        </w:r>
        <w:r w:rsidR="00CE3D77">
          <w:rPr>
            <w:webHidden/>
          </w:rPr>
          <w:tab/>
        </w:r>
        <w:r w:rsidR="00CE3D77">
          <w:rPr>
            <w:webHidden/>
          </w:rPr>
          <w:fldChar w:fldCharType="begin"/>
        </w:r>
        <w:r w:rsidR="00CE3D77">
          <w:rPr>
            <w:webHidden/>
          </w:rPr>
          <w:instrText xml:space="preserve"> PAGEREF _Toc81138714 \h </w:instrText>
        </w:r>
        <w:r w:rsidR="00CE3D77">
          <w:rPr>
            <w:webHidden/>
          </w:rPr>
        </w:r>
        <w:r w:rsidR="00CE3D77">
          <w:rPr>
            <w:webHidden/>
          </w:rPr>
          <w:fldChar w:fldCharType="separate"/>
        </w:r>
        <w:r w:rsidR="00CE3D77">
          <w:rPr>
            <w:webHidden/>
          </w:rPr>
          <w:t>102</w:t>
        </w:r>
        <w:r w:rsidR="00CE3D77">
          <w:rPr>
            <w:webHidden/>
          </w:rPr>
          <w:fldChar w:fldCharType="end"/>
        </w:r>
      </w:hyperlink>
    </w:p>
    <w:p w14:paraId="653ADDE2" w14:textId="29A0A6DC" w:rsidR="00CE3D77" w:rsidRDefault="0008271B">
      <w:pPr>
        <w:pStyle w:val="TOC1"/>
        <w:rPr>
          <w:rFonts w:asciiTheme="minorHAnsi" w:eastAsiaTheme="minorEastAsia" w:hAnsiTheme="minorHAnsi" w:cstheme="minorBidi"/>
          <w:b w:val="0"/>
          <w:bCs w:val="0"/>
          <w:caps w:val="0"/>
          <w:noProof/>
          <w:sz w:val="22"/>
          <w:szCs w:val="22"/>
          <w:lang w:bidi="ar-SA"/>
        </w:rPr>
      </w:pPr>
      <w:hyperlink w:anchor="_Toc81138715" w:history="1">
        <w:r w:rsidR="00CE3D77" w:rsidRPr="00AF5BC2">
          <w:rPr>
            <w:rStyle w:val="Hyperlink"/>
            <w:noProof/>
          </w:rPr>
          <w:t>Appendix E – 70x30 Scenario – Extended Wind Lull</w:t>
        </w:r>
        <w:r w:rsidR="00CE3D77">
          <w:rPr>
            <w:noProof/>
            <w:webHidden/>
          </w:rPr>
          <w:tab/>
        </w:r>
        <w:r w:rsidR="00CE3D77">
          <w:rPr>
            <w:noProof/>
            <w:webHidden/>
          </w:rPr>
          <w:fldChar w:fldCharType="begin"/>
        </w:r>
        <w:r w:rsidR="00CE3D77">
          <w:rPr>
            <w:noProof/>
            <w:webHidden/>
          </w:rPr>
          <w:instrText xml:space="preserve"> PAGEREF _Toc81138715 \h </w:instrText>
        </w:r>
        <w:r w:rsidR="00CE3D77">
          <w:rPr>
            <w:noProof/>
            <w:webHidden/>
          </w:rPr>
        </w:r>
        <w:r w:rsidR="00CE3D77">
          <w:rPr>
            <w:noProof/>
            <w:webHidden/>
          </w:rPr>
          <w:fldChar w:fldCharType="separate"/>
        </w:r>
        <w:r w:rsidR="00CE3D77">
          <w:rPr>
            <w:noProof/>
            <w:webHidden/>
          </w:rPr>
          <w:t>105</w:t>
        </w:r>
        <w:r w:rsidR="00CE3D77">
          <w:rPr>
            <w:noProof/>
            <w:webHidden/>
          </w:rPr>
          <w:fldChar w:fldCharType="end"/>
        </w:r>
      </w:hyperlink>
    </w:p>
    <w:p w14:paraId="1E5F1C11" w14:textId="163CD32E" w:rsidR="00CE3D77" w:rsidRDefault="0008271B">
      <w:pPr>
        <w:pStyle w:val="TOC2"/>
        <w:rPr>
          <w:rFonts w:asciiTheme="minorHAnsi" w:eastAsiaTheme="minorEastAsia" w:hAnsiTheme="minorHAnsi" w:cstheme="minorBidi"/>
          <w:lang w:bidi="ar-SA"/>
        </w:rPr>
      </w:pPr>
      <w:hyperlink w:anchor="_Toc81138716" w:history="1">
        <w:r w:rsidR="00CE3D77" w:rsidRPr="00AF5BC2">
          <w:rPr>
            <w:rStyle w:val="Hyperlink"/>
          </w:rPr>
          <w:t>Summary of the 2020 RNA 70 x 30 Scenario Major Assumptions</w:t>
        </w:r>
        <w:r w:rsidR="00CE3D77">
          <w:rPr>
            <w:webHidden/>
          </w:rPr>
          <w:tab/>
        </w:r>
        <w:r w:rsidR="00CE3D77">
          <w:rPr>
            <w:webHidden/>
          </w:rPr>
          <w:fldChar w:fldCharType="begin"/>
        </w:r>
        <w:r w:rsidR="00CE3D77">
          <w:rPr>
            <w:webHidden/>
          </w:rPr>
          <w:instrText xml:space="preserve"> PAGEREF _Toc81138716 \h </w:instrText>
        </w:r>
        <w:r w:rsidR="00CE3D77">
          <w:rPr>
            <w:webHidden/>
          </w:rPr>
        </w:r>
        <w:r w:rsidR="00CE3D77">
          <w:rPr>
            <w:webHidden/>
          </w:rPr>
          <w:fldChar w:fldCharType="separate"/>
        </w:r>
        <w:r w:rsidR="00CE3D77">
          <w:rPr>
            <w:webHidden/>
          </w:rPr>
          <w:t>105</w:t>
        </w:r>
        <w:r w:rsidR="00CE3D77">
          <w:rPr>
            <w:webHidden/>
          </w:rPr>
          <w:fldChar w:fldCharType="end"/>
        </w:r>
      </w:hyperlink>
    </w:p>
    <w:p w14:paraId="41C48068" w14:textId="2DCF670D" w:rsidR="00CE3D77" w:rsidRDefault="0008271B">
      <w:pPr>
        <w:pStyle w:val="TOC2"/>
        <w:rPr>
          <w:rFonts w:asciiTheme="minorHAnsi" w:eastAsiaTheme="minorEastAsia" w:hAnsiTheme="minorHAnsi" w:cstheme="minorBidi"/>
          <w:lang w:bidi="ar-SA"/>
        </w:rPr>
      </w:pPr>
      <w:hyperlink w:anchor="_Toc81138717" w:history="1">
        <w:r w:rsidR="00CE3D77" w:rsidRPr="00AF5BC2">
          <w:rPr>
            <w:rStyle w:val="Hyperlink"/>
          </w:rPr>
          <w:t>Wind Lull Scenarios Assumptions</w:t>
        </w:r>
        <w:r w:rsidR="00CE3D77">
          <w:rPr>
            <w:webHidden/>
          </w:rPr>
          <w:tab/>
        </w:r>
        <w:r w:rsidR="00CE3D77">
          <w:rPr>
            <w:webHidden/>
          </w:rPr>
          <w:fldChar w:fldCharType="begin"/>
        </w:r>
        <w:r w:rsidR="00CE3D77">
          <w:rPr>
            <w:webHidden/>
          </w:rPr>
          <w:instrText xml:space="preserve"> PAGEREF _Toc81138717 \h </w:instrText>
        </w:r>
        <w:r w:rsidR="00CE3D77">
          <w:rPr>
            <w:webHidden/>
          </w:rPr>
        </w:r>
        <w:r w:rsidR="00CE3D77">
          <w:rPr>
            <w:webHidden/>
          </w:rPr>
          <w:fldChar w:fldCharType="separate"/>
        </w:r>
        <w:r w:rsidR="00CE3D77">
          <w:rPr>
            <w:webHidden/>
          </w:rPr>
          <w:t>107</w:t>
        </w:r>
        <w:r w:rsidR="00CE3D77">
          <w:rPr>
            <w:webHidden/>
          </w:rPr>
          <w:fldChar w:fldCharType="end"/>
        </w:r>
      </w:hyperlink>
    </w:p>
    <w:p w14:paraId="2A7EF385" w14:textId="4ECDB742" w:rsidR="00CE3D77" w:rsidRDefault="0008271B">
      <w:pPr>
        <w:pStyle w:val="TOC2"/>
        <w:rPr>
          <w:rFonts w:asciiTheme="minorHAnsi" w:eastAsiaTheme="minorEastAsia" w:hAnsiTheme="minorHAnsi" w:cstheme="minorBidi"/>
          <w:lang w:bidi="ar-SA"/>
        </w:rPr>
      </w:pPr>
      <w:hyperlink w:anchor="_Toc81138718" w:history="1">
        <w:r w:rsidR="00CE3D77" w:rsidRPr="00AF5BC2">
          <w:rPr>
            <w:rStyle w:val="Hyperlink"/>
          </w:rPr>
          <w:t>Wind Lull Scenario Scope</w:t>
        </w:r>
        <w:r w:rsidR="00CE3D77">
          <w:rPr>
            <w:webHidden/>
          </w:rPr>
          <w:tab/>
        </w:r>
        <w:r w:rsidR="00CE3D77">
          <w:rPr>
            <w:webHidden/>
          </w:rPr>
          <w:fldChar w:fldCharType="begin"/>
        </w:r>
        <w:r w:rsidR="00CE3D77">
          <w:rPr>
            <w:webHidden/>
          </w:rPr>
          <w:instrText xml:space="preserve"> PAGEREF _Toc81138718 \h </w:instrText>
        </w:r>
        <w:r w:rsidR="00CE3D77">
          <w:rPr>
            <w:webHidden/>
          </w:rPr>
        </w:r>
        <w:r w:rsidR="00CE3D77">
          <w:rPr>
            <w:webHidden/>
          </w:rPr>
          <w:fldChar w:fldCharType="separate"/>
        </w:r>
        <w:r w:rsidR="00CE3D77">
          <w:rPr>
            <w:webHidden/>
          </w:rPr>
          <w:t>111</w:t>
        </w:r>
        <w:r w:rsidR="00CE3D77">
          <w:rPr>
            <w:webHidden/>
          </w:rPr>
          <w:fldChar w:fldCharType="end"/>
        </w:r>
      </w:hyperlink>
    </w:p>
    <w:p w14:paraId="6350F1B5" w14:textId="6C08FDAA" w:rsidR="00CE3D77" w:rsidRDefault="0008271B">
      <w:pPr>
        <w:pStyle w:val="TOC2"/>
        <w:rPr>
          <w:rFonts w:asciiTheme="minorHAnsi" w:eastAsiaTheme="minorEastAsia" w:hAnsiTheme="minorHAnsi" w:cstheme="minorBidi"/>
          <w:lang w:bidi="ar-SA"/>
        </w:rPr>
      </w:pPr>
      <w:hyperlink w:anchor="_Toc81138719" w:history="1">
        <w:r w:rsidR="00CE3D77" w:rsidRPr="00AF5BC2">
          <w:rPr>
            <w:rStyle w:val="Hyperlink"/>
          </w:rPr>
          <w:t>Wind Lull Scenario Results</w:t>
        </w:r>
        <w:r w:rsidR="00CE3D77">
          <w:rPr>
            <w:webHidden/>
          </w:rPr>
          <w:tab/>
        </w:r>
        <w:r w:rsidR="00CE3D77">
          <w:rPr>
            <w:webHidden/>
          </w:rPr>
          <w:fldChar w:fldCharType="begin"/>
        </w:r>
        <w:r w:rsidR="00CE3D77">
          <w:rPr>
            <w:webHidden/>
          </w:rPr>
          <w:instrText xml:space="preserve"> PAGEREF _Toc81138719 \h </w:instrText>
        </w:r>
        <w:r w:rsidR="00CE3D77">
          <w:rPr>
            <w:webHidden/>
          </w:rPr>
        </w:r>
        <w:r w:rsidR="00CE3D77">
          <w:rPr>
            <w:webHidden/>
          </w:rPr>
          <w:fldChar w:fldCharType="separate"/>
        </w:r>
        <w:r w:rsidR="00CE3D77">
          <w:rPr>
            <w:webHidden/>
          </w:rPr>
          <w:t>112</w:t>
        </w:r>
        <w:r w:rsidR="00CE3D77">
          <w:rPr>
            <w:webHidden/>
          </w:rPr>
          <w:fldChar w:fldCharType="end"/>
        </w:r>
      </w:hyperlink>
    </w:p>
    <w:p w14:paraId="33559607" w14:textId="12831D36" w:rsidR="00CE3D77" w:rsidRDefault="0008271B">
      <w:pPr>
        <w:pStyle w:val="TOC3"/>
        <w:rPr>
          <w:rFonts w:asciiTheme="minorHAnsi" w:eastAsiaTheme="minorEastAsia" w:hAnsiTheme="minorHAnsi" w:cstheme="minorBidi"/>
          <w:i w:val="0"/>
          <w:iCs w:val="0"/>
          <w:noProof/>
          <w:sz w:val="22"/>
          <w:szCs w:val="22"/>
          <w:lang w:bidi="ar-SA"/>
        </w:rPr>
      </w:pPr>
      <w:hyperlink w:anchor="_Toc81138720" w:history="1">
        <w:r w:rsidR="00CE3D77" w:rsidRPr="00AF5BC2">
          <w:rPr>
            <w:rStyle w:val="Hyperlink"/>
            <w:noProof/>
          </w:rPr>
          <w:t>Loss of Land-Based Wind (LBW)</w:t>
        </w:r>
        <w:r w:rsidR="00CE3D77">
          <w:rPr>
            <w:noProof/>
            <w:webHidden/>
          </w:rPr>
          <w:tab/>
        </w:r>
        <w:r w:rsidR="00CE3D77">
          <w:rPr>
            <w:noProof/>
            <w:webHidden/>
          </w:rPr>
          <w:fldChar w:fldCharType="begin"/>
        </w:r>
        <w:r w:rsidR="00CE3D77">
          <w:rPr>
            <w:noProof/>
            <w:webHidden/>
          </w:rPr>
          <w:instrText xml:space="preserve"> PAGEREF _Toc81138720 \h </w:instrText>
        </w:r>
        <w:r w:rsidR="00CE3D77">
          <w:rPr>
            <w:noProof/>
            <w:webHidden/>
          </w:rPr>
        </w:r>
        <w:r w:rsidR="00CE3D77">
          <w:rPr>
            <w:noProof/>
            <w:webHidden/>
          </w:rPr>
          <w:fldChar w:fldCharType="separate"/>
        </w:r>
        <w:r w:rsidR="00CE3D77">
          <w:rPr>
            <w:noProof/>
            <w:webHidden/>
          </w:rPr>
          <w:t>113</w:t>
        </w:r>
        <w:r w:rsidR="00CE3D77">
          <w:rPr>
            <w:noProof/>
            <w:webHidden/>
          </w:rPr>
          <w:fldChar w:fldCharType="end"/>
        </w:r>
      </w:hyperlink>
    </w:p>
    <w:p w14:paraId="75696C3F" w14:textId="18EA2BB2" w:rsidR="00CE3D77" w:rsidRDefault="0008271B">
      <w:pPr>
        <w:pStyle w:val="TOC3"/>
        <w:rPr>
          <w:rFonts w:asciiTheme="minorHAnsi" w:eastAsiaTheme="minorEastAsia" w:hAnsiTheme="minorHAnsi" w:cstheme="minorBidi"/>
          <w:i w:val="0"/>
          <w:iCs w:val="0"/>
          <w:noProof/>
          <w:sz w:val="22"/>
          <w:szCs w:val="22"/>
          <w:lang w:bidi="ar-SA"/>
        </w:rPr>
      </w:pPr>
      <w:hyperlink w:anchor="_Toc81138721" w:history="1">
        <w:r w:rsidR="00CE3D77" w:rsidRPr="00AF5BC2">
          <w:rPr>
            <w:rStyle w:val="Hyperlink"/>
            <w:noProof/>
          </w:rPr>
          <w:t>Loss of Offshore Wind (OSW)</w:t>
        </w:r>
        <w:r w:rsidR="00CE3D77">
          <w:rPr>
            <w:noProof/>
            <w:webHidden/>
          </w:rPr>
          <w:tab/>
        </w:r>
        <w:r w:rsidR="00CE3D77">
          <w:rPr>
            <w:noProof/>
            <w:webHidden/>
          </w:rPr>
          <w:fldChar w:fldCharType="begin"/>
        </w:r>
        <w:r w:rsidR="00CE3D77">
          <w:rPr>
            <w:noProof/>
            <w:webHidden/>
          </w:rPr>
          <w:instrText xml:space="preserve"> PAGEREF _Toc81138721 \h </w:instrText>
        </w:r>
        <w:r w:rsidR="00CE3D77">
          <w:rPr>
            <w:noProof/>
            <w:webHidden/>
          </w:rPr>
        </w:r>
        <w:r w:rsidR="00CE3D77">
          <w:rPr>
            <w:noProof/>
            <w:webHidden/>
          </w:rPr>
          <w:fldChar w:fldCharType="separate"/>
        </w:r>
        <w:r w:rsidR="00CE3D77">
          <w:rPr>
            <w:noProof/>
            <w:webHidden/>
          </w:rPr>
          <w:t>115</w:t>
        </w:r>
        <w:r w:rsidR="00CE3D77">
          <w:rPr>
            <w:noProof/>
            <w:webHidden/>
          </w:rPr>
          <w:fldChar w:fldCharType="end"/>
        </w:r>
      </w:hyperlink>
    </w:p>
    <w:p w14:paraId="686AA7B1" w14:textId="1EBF4C2F" w:rsidR="00CE3D77" w:rsidRDefault="0008271B">
      <w:pPr>
        <w:pStyle w:val="TOC2"/>
        <w:rPr>
          <w:rFonts w:asciiTheme="minorHAnsi" w:eastAsiaTheme="minorEastAsia" w:hAnsiTheme="minorHAnsi" w:cstheme="minorBidi"/>
          <w:lang w:bidi="ar-SA"/>
        </w:rPr>
      </w:pPr>
      <w:hyperlink w:anchor="_Toc81138722" w:history="1">
        <w:r w:rsidR="00CE3D77" w:rsidRPr="00AF5BC2">
          <w:rPr>
            <w:rStyle w:val="Hyperlink"/>
          </w:rPr>
          <w:t>Wind Lull Conclusions</w:t>
        </w:r>
        <w:r w:rsidR="00CE3D77">
          <w:rPr>
            <w:webHidden/>
          </w:rPr>
          <w:tab/>
        </w:r>
        <w:r w:rsidR="00CE3D77">
          <w:rPr>
            <w:webHidden/>
          </w:rPr>
          <w:fldChar w:fldCharType="begin"/>
        </w:r>
        <w:r w:rsidR="00CE3D77">
          <w:rPr>
            <w:webHidden/>
          </w:rPr>
          <w:instrText xml:space="preserve"> PAGEREF _Toc81138722 \h </w:instrText>
        </w:r>
        <w:r w:rsidR="00CE3D77">
          <w:rPr>
            <w:webHidden/>
          </w:rPr>
        </w:r>
        <w:r w:rsidR="00CE3D77">
          <w:rPr>
            <w:webHidden/>
          </w:rPr>
          <w:fldChar w:fldCharType="separate"/>
        </w:r>
        <w:r w:rsidR="00CE3D77">
          <w:rPr>
            <w:webHidden/>
          </w:rPr>
          <w:t>119</w:t>
        </w:r>
        <w:r w:rsidR="00CE3D77">
          <w:rPr>
            <w:webHidden/>
          </w:rPr>
          <w:fldChar w:fldCharType="end"/>
        </w:r>
      </w:hyperlink>
    </w:p>
    <w:p w14:paraId="5EB0266A" w14:textId="1F389996" w:rsidR="00CE3D77" w:rsidRDefault="0008271B">
      <w:pPr>
        <w:pStyle w:val="TOC1"/>
        <w:rPr>
          <w:rFonts w:asciiTheme="minorHAnsi" w:eastAsiaTheme="minorEastAsia" w:hAnsiTheme="minorHAnsi" w:cstheme="minorBidi"/>
          <w:b w:val="0"/>
          <w:bCs w:val="0"/>
          <w:caps w:val="0"/>
          <w:noProof/>
          <w:sz w:val="22"/>
          <w:szCs w:val="22"/>
          <w:lang w:bidi="ar-SA"/>
        </w:rPr>
      </w:pPr>
      <w:hyperlink w:anchor="_Toc81138723" w:history="1">
        <w:r w:rsidR="00CE3D77" w:rsidRPr="00AF5BC2">
          <w:rPr>
            <w:rStyle w:val="Hyperlink"/>
            <w:noProof/>
          </w:rPr>
          <w:t>Appendix F – 70x30 Scenario – Dynamic Stability, Short-Circuit Ratio, and Voltage Flicker</w:t>
        </w:r>
        <w:r w:rsidR="00CE3D77">
          <w:rPr>
            <w:noProof/>
            <w:webHidden/>
          </w:rPr>
          <w:tab/>
        </w:r>
        <w:r w:rsidR="00CE3D77">
          <w:rPr>
            <w:noProof/>
            <w:webHidden/>
          </w:rPr>
          <w:fldChar w:fldCharType="begin"/>
        </w:r>
        <w:r w:rsidR="00CE3D77">
          <w:rPr>
            <w:noProof/>
            <w:webHidden/>
          </w:rPr>
          <w:instrText xml:space="preserve"> PAGEREF _Toc81138723 \h </w:instrText>
        </w:r>
        <w:r w:rsidR="00CE3D77">
          <w:rPr>
            <w:noProof/>
            <w:webHidden/>
          </w:rPr>
        </w:r>
        <w:r w:rsidR="00CE3D77">
          <w:rPr>
            <w:noProof/>
            <w:webHidden/>
          </w:rPr>
          <w:fldChar w:fldCharType="separate"/>
        </w:r>
        <w:r w:rsidR="00CE3D77">
          <w:rPr>
            <w:noProof/>
            <w:webHidden/>
          </w:rPr>
          <w:t>120</w:t>
        </w:r>
        <w:r w:rsidR="00CE3D77">
          <w:rPr>
            <w:noProof/>
            <w:webHidden/>
          </w:rPr>
          <w:fldChar w:fldCharType="end"/>
        </w:r>
      </w:hyperlink>
    </w:p>
    <w:p w14:paraId="26BE86AD" w14:textId="33F763B9" w:rsidR="00CE3D77" w:rsidRDefault="0008271B">
      <w:pPr>
        <w:pStyle w:val="TOC2"/>
        <w:rPr>
          <w:rFonts w:asciiTheme="minorHAnsi" w:eastAsiaTheme="minorEastAsia" w:hAnsiTheme="minorHAnsi" w:cstheme="minorBidi"/>
          <w:lang w:bidi="ar-SA"/>
        </w:rPr>
      </w:pPr>
      <w:hyperlink w:anchor="_Toc81138724" w:history="1">
        <w:r w:rsidR="00CE3D77" w:rsidRPr="00AF5BC2">
          <w:rPr>
            <w:rStyle w:val="Hyperlink"/>
          </w:rPr>
          <w:t>Dynamic Stability</w:t>
        </w:r>
        <w:r w:rsidR="00CE3D77">
          <w:rPr>
            <w:webHidden/>
          </w:rPr>
          <w:tab/>
        </w:r>
        <w:r w:rsidR="00CE3D77">
          <w:rPr>
            <w:webHidden/>
          </w:rPr>
          <w:fldChar w:fldCharType="begin"/>
        </w:r>
        <w:r w:rsidR="00CE3D77">
          <w:rPr>
            <w:webHidden/>
          </w:rPr>
          <w:instrText xml:space="preserve"> PAGEREF _Toc81138724 \h </w:instrText>
        </w:r>
        <w:r w:rsidR="00CE3D77">
          <w:rPr>
            <w:webHidden/>
          </w:rPr>
        </w:r>
        <w:r w:rsidR="00CE3D77">
          <w:rPr>
            <w:webHidden/>
          </w:rPr>
          <w:fldChar w:fldCharType="separate"/>
        </w:r>
        <w:r w:rsidR="00CE3D77">
          <w:rPr>
            <w:webHidden/>
          </w:rPr>
          <w:t>120</w:t>
        </w:r>
        <w:r w:rsidR="00CE3D77">
          <w:rPr>
            <w:webHidden/>
          </w:rPr>
          <w:fldChar w:fldCharType="end"/>
        </w:r>
      </w:hyperlink>
    </w:p>
    <w:p w14:paraId="76417056" w14:textId="492A8939" w:rsidR="00CE3D77" w:rsidRDefault="0008271B">
      <w:pPr>
        <w:pStyle w:val="TOC2"/>
        <w:rPr>
          <w:rFonts w:asciiTheme="minorHAnsi" w:eastAsiaTheme="minorEastAsia" w:hAnsiTheme="minorHAnsi" w:cstheme="minorBidi"/>
          <w:lang w:bidi="ar-SA"/>
        </w:rPr>
      </w:pPr>
      <w:hyperlink w:anchor="_Toc81138725" w:history="1">
        <w:r w:rsidR="00CE3D77" w:rsidRPr="00AF5BC2">
          <w:rPr>
            <w:rStyle w:val="Hyperlink"/>
          </w:rPr>
          <w:t>Summary of 2020 RNA Steady State Analysis Results from the 2020 RNA</w:t>
        </w:r>
        <w:r w:rsidR="00CE3D77">
          <w:rPr>
            <w:webHidden/>
          </w:rPr>
          <w:tab/>
        </w:r>
        <w:r w:rsidR="00CE3D77">
          <w:rPr>
            <w:webHidden/>
          </w:rPr>
          <w:fldChar w:fldCharType="begin"/>
        </w:r>
        <w:r w:rsidR="00CE3D77">
          <w:rPr>
            <w:webHidden/>
          </w:rPr>
          <w:instrText xml:space="preserve"> PAGEREF _Toc81138725 \h </w:instrText>
        </w:r>
        <w:r w:rsidR="00CE3D77">
          <w:rPr>
            <w:webHidden/>
          </w:rPr>
        </w:r>
        <w:r w:rsidR="00CE3D77">
          <w:rPr>
            <w:webHidden/>
          </w:rPr>
          <w:fldChar w:fldCharType="separate"/>
        </w:r>
        <w:r w:rsidR="00CE3D77">
          <w:rPr>
            <w:webHidden/>
          </w:rPr>
          <w:t>121</w:t>
        </w:r>
        <w:r w:rsidR="00CE3D77">
          <w:rPr>
            <w:webHidden/>
          </w:rPr>
          <w:fldChar w:fldCharType="end"/>
        </w:r>
      </w:hyperlink>
    </w:p>
    <w:p w14:paraId="477F9D1C" w14:textId="4267CAF9" w:rsidR="00CE3D77" w:rsidRDefault="0008271B">
      <w:pPr>
        <w:pStyle w:val="TOC2"/>
        <w:rPr>
          <w:rFonts w:asciiTheme="minorHAnsi" w:eastAsiaTheme="minorEastAsia" w:hAnsiTheme="minorHAnsi" w:cstheme="minorBidi"/>
          <w:lang w:bidi="ar-SA"/>
        </w:rPr>
      </w:pPr>
      <w:hyperlink w:anchor="_Toc81138726" w:history="1">
        <w:r w:rsidR="00CE3D77" w:rsidRPr="00AF5BC2">
          <w:rPr>
            <w:rStyle w:val="Hyperlink"/>
          </w:rPr>
          <w:t>70x30 Dynamic Stability Transmission Security Methodology and Results</w:t>
        </w:r>
        <w:r w:rsidR="00CE3D77">
          <w:rPr>
            <w:webHidden/>
          </w:rPr>
          <w:tab/>
        </w:r>
        <w:r w:rsidR="00CE3D77">
          <w:rPr>
            <w:webHidden/>
          </w:rPr>
          <w:fldChar w:fldCharType="begin"/>
        </w:r>
        <w:r w:rsidR="00CE3D77">
          <w:rPr>
            <w:webHidden/>
          </w:rPr>
          <w:instrText xml:space="preserve"> PAGEREF _Toc81138726 \h </w:instrText>
        </w:r>
        <w:r w:rsidR="00CE3D77">
          <w:rPr>
            <w:webHidden/>
          </w:rPr>
        </w:r>
        <w:r w:rsidR="00CE3D77">
          <w:rPr>
            <w:webHidden/>
          </w:rPr>
          <w:fldChar w:fldCharType="separate"/>
        </w:r>
        <w:r w:rsidR="00CE3D77">
          <w:rPr>
            <w:webHidden/>
          </w:rPr>
          <w:t>122</w:t>
        </w:r>
        <w:r w:rsidR="00CE3D77">
          <w:rPr>
            <w:webHidden/>
          </w:rPr>
          <w:fldChar w:fldCharType="end"/>
        </w:r>
      </w:hyperlink>
    </w:p>
    <w:p w14:paraId="05BB1D68" w14:textId="19EC481B" w:rsidR="00CE3D77" w:rsidRDefault="0008271B">
      <w:pPr>
        <w:pStyle w:val="TOC3"/>
        <w:rPr>
          <w:rFonts w:asciiTheme="minorHAnsi" w:eastAsiaTheme="minorEastAsia" w:hAnsiTheme="minorHAnsi" w:cstheme="minorBidi"/>
          <w:i w:val="0"/>
          <w:iCs w:val="0"/>
          <w:noProof/>
          <w:sz w:val="22"/>
          <w:szCs w:val="22"/>
          <w:lang w:bidi="ar-SA"/>
        </w:rPr>
      </w:pPr>
      <w:hyperlink w:anchor="_Toc81138727" w:history="1">
        <w:r w:rsidR="00CE3D77" w:rsidRPr="00AF5BC2">
          <w:rPr>
            <w:rStyle w:val="Hyperlink"/>
            <w:noProof/>
          </w:rPr>
          <w:t>N-1 Analysis</w:t>
        </w:r>
        <w:r w:rsidR="00CE3D77">
          <w:rPr>
            <w:noProof/>
            <w:webHidden/>
          </w:rPr>
          <w:tab/>
        </w:r>
        <w:r w:rsidR="00CE3D77">
          <w:rPr>
            <w:noProof/>
            <w:webHidden/>
          </w:rPr>
          <w:fldChar w:fldCharType="begin"/>
        </w:r>
        <w:r w:rsidR="00CE3D77">
          <w:rPr>
            <w:noProof/>
            <w:webHidden/>
          </w:rPr>
          <w:instrText xml:space="preserve"> PAGEREF _Toc81138727 \h </w:instrText>
        </w:r>
        <w:r w:rsidR="00CE3D77">
          <w:rPr>
            <w:noProof/>
            <w:webHidden/>
          </w:rPr>
        </w:r>
        <w:r w:rsidR="00CE3D77">
          <w:rPr>
            <w:noProof/>
            <w:webHidden/>
          </w:rPr>
          <w:fldChar w:fldCharType="separate"/>
        </w:r>
        <w:r w:rsidR="00CE3D77">
          <w:rPr>
            <w:noProof/>
            <w:webHidden/>
          </w:rPr>
          <w:t>123</w:t>
        </w:r>
        <w:r w:rsidR="00CE3D77">
          <w:rPr>
            <w:noProof/>
            <w:webHidden/>
          </w:rPr>
          <w:fldChar w:fldCharType="end"/>
        </w:r>
      </w:hyperlink>
    </w:p>
    <w:p w14:paraId="7663D746" w14:textId="677D4C77" w:rsidR="00CE3D77" w:rsidRDefault="0008271B">
      <w:pPr>
        <w:pStyle w:val="TOC3"/>
        <w:rPr>
          <w:rFonts w:asciiTheme="minorHAnsi" w:eastAsiaTheme="minorEastAsia" w:hAnsiTheme="minorHAnsi" w:cstheme="minorBidi"/>
          <w:i w:val="0"/>
          <w:iCs w:val="0"/>
          <w:noProof/>
          <w:sz w:val="22"/>
          <w:szCs w:val="22"/>
          <w:lang w:bidi="ar-SA"/>
        </w:rPr>
      </w:pPr>
      <w:hyperlink w:anchor="_Toc81138728" w:history="1">
        <w:r w:rsidR="00CE3D77" w:rsidRPr="00AF5BC2">
          <w:rPr>
            <w:rStyle w:val="Hyperlink"/>
            <w:noProof/>
          </w:rPr>
          <w:t>N-1-1 Analysis</w:t>
        </w:r>
        <w:r w:rsidR="00CE3D77">
          <w:rPr>
            <w:noProof/>
            <w:webHidden/>
          </w:rPr>
          <w:tab/>
        </w:r>
        <w:r w:rsidR="00CE3D77">
          <w:rPr>
            <w:noProof/>
            <w:webHidden/>
          </w:rPr>
          <w:fldChar w:fldCharType="begin"/>
        </w:r>
        <w:r w:rsidR="00CE3D77">
          <w:rPr>
            <w:noProof/>
            <w:webHidden/>
          </w:rPr>
          <w:instrText xml:space="preserve"> PAGEREF _Toc81138728 \h </w:instrText>
        </w:r>
        <w:r w:rsidR="00CE3D77">
          <w:rPr>
            <w:noProof/>
            <w:webHidden/>
          </w:rPr>
        </w:r>
        <w:r w:rsidR="00CE3D77">
          <w:rPr>
            <w:noProof/>
            <w:webHidden/>
          </w:rPr>
          <w:fldChar w:fldCharType="separate"/>
        </w:r>
        <w:r w:rsidR="00CE3D77">
          <w:rPr>
            <w:noProof/>
            <w:webHidden/>
          </w:rPr>
          <w:t>123</w:t>
        </w:r>
        <w:r w:rsidR="00CE3D77">
          <w:rPr>
            <w:noProof/>
            <w:webHidden/>
          </w:rPr>
          <w:fldChar w:fldCharType="end"/>
        </w:r>
      </w:hyperlink>
    </w:p>
    <w:p w14:paraId="6F4696FB" w14:textId="0DC36E77" w:rsidR="00CE3D77" w:rsidRDefault="0008271B">
      <w:pPr>
        <w:pStyle w:val="TOC2"/>
        <w:rPr>
          <w:rFonts w:asciiTheme="minorHAnsi" w:eastAsiaTheme="minorEastAsia" w:hAnsiTheme="minorHAnsi" w:cstheme="minorBidi"/>
          <w:lang w:bidi="ar-SA"/>
        </w:rPr>
      </w:pPr>
      <w:hyperlink w:anchor="_Toc81138729" w:history="1">
        <w:r w:rsidR="00CE3D77" w:rsidRPr="00AF5BC2">
          <w:rPr>
            <w:rStyle w:val="Hyperlink"/>
          </w:rPr>
          <w:t>Sudden Loss of Off-Shore Wind</w:t>
        </w:r>
        <w:r w:rsidR="00CE3D77">
          <w:rPr>
            <w:webHidden/>
          </w:rPr>
          <w:tab/>
        </w:r>
        <w:r w:rsidR="00CE3D77">
          <w:rPr>
            <w:webHidden/>
          </w:rPr>
          <w:fldChar w:fldCharType="begin"/>
        </w:r>
        <w:r w:rsidR="00CE3D77">
          <w:rPr>
            <w:webHidden/>
          </w:rPr>
          <w:instrText xml:space="preserve"> PAGEREF _Toc81138729 \h </w:instrText>
        </w:r>
        <w:r w:rsidR="00CE3D77">
          <w:rPr>
            <w:webHidden/>
          </w:rPr>
        </w:r>
        <w:r w:rsidR="00CE3D77">
          <w:rPr>
            <w:webHidden/>
          </w:rPr>
          <w:fldChar w:fldCharType="separate"/>
        </w:r>
        <w:r w:rsidR="00CE3D77">
          <w:rPr>
            <w:webHidden/>
          </w:rPr>
          <w:t>125</w:t>
        </w:r>
        <w:r w:rsidR="00CE3D77">
          <w:rPr>
            <w:webHidden/>
          </w:rPr>
          <w:fldChar w:fldCharType="end"/>
        </w:r>
      </w:hyperlink>
    </w:p>
    <w:p w14:paraId="021B1373" w14:textId="5D92975C" w:rsidR="00CE3D77" w:rsidRDefault="0008271B">
      <w:pPr>
        <w:pStyle w:val="TOC3"/>
        <w:rPr>
          <w:rFonts w:asciiTheme="minorHAnsi" w:eastAsiaTheme="minorEastAsia" w:hAnsiTheme="minorHAnsi" w:cstheme="minorBidi"/>
          <w:i w:val="0"/>
          <w:iCs w:val="0"/>
          <w:noProof/>
          <w:sz w:val="22"/>
          <w:szCs w:val="22"/>
          <w:lang w:bidi="ar-SA"/>
        </w:rPr>
      </w:pPr>
      <w:hyperlink w:anchor="_Toc81138730" w:history="1">
        <w:r w:rsidR="00CE3D77" w:rsidRPr="00AF5BC2">
          <w:rPr>
            <w:rStyle w:val="Hyperlink"/>
            <w:noProof/>
          </w:rPr>
          <w:t>N-1 &amp; N-1-1 Analysis</w:t>
        </w:r>
        <w:r w:rsidR="00CE3D77">
          <w:rPr>
            <w:noProof/>
            <w:webHidden/>
          </w:rPr>
          <w:tab/>
        </w:r>
        <w:r w:rsidR="00CE3D77">
          <w:rPr>
            <w:noProof/>
            <w:webHidden/>
          </w:rPr>
          <w:fldChar w:fldCharType="begin"/>
        </w:r>
        <w:r w:rsidR="00CE3D77">
          <w:rPr>
            <w:noProof/>
            <w:webHidden/>
          </w:rPr>
          <w:instrText xml:space="preserve"> PAGEREF _Toc81138730 \h </w:instrText>
        </w:r>
        <w:r w:rsidR="00CE3D77">
          <w:rPr>
            <w:noProof/>
            <w:webHidden/>
          </w:rPr>
        </w:r>
        <w:r w:rsidR="00CE3D77">
          <w:rPr>
            <w:noProof/>
            <w:webHidden/>
          </w:rPr>
          <w:fldChar w:fldCharType="separate"/>
        </w:r>
        <w:r w:rsidR="00CE3D77">
          <w:rPr>
            <w:noProof/>
            <w:webHidden/>
          </w:rPr>
          <w:t>125</w:t>
        </w:r>
        <w:r w:rsidR="00CE3D77">
          <w:rPr>
            <w:noProof/>
            <w:webHidden/>
          </w:rPr>
          <w:fldChar w:fldCharType="end"/>
        </w:r>
      </w:hyperlink>
    </w:p>
    <w:p w14:paraId="63C5C46B" w14:textId="53518941" w:rsidR="00CE3D77" w:rsidRDefault="0008271B">
      <w:pPr>
        <w:pStyle w:val="TOC3"/>
        <w:rPr>
          <w:rFonts w:asciiTheme="minorHAnsi" w:eastAsiaTheme="minorEastAsia" w:hAnsiTheme="minorHAnsi" w:cstheme="minorBidi"/>
          <w:i w:val="0"/>
          <w:iCs w:val="0"/>
          <w:noProof/>
          <w:sz w:val="22"/>
          <w:szCs w:val="22"/>
          <w:lang w:bidi="ar-SA"/>
        </w:rPr>
      </w:pPr>
      <w:hyperlink w:anchor="_Toc81138731" w:history="1">
        <w:r w:rsidR="00CE3D77" w:rsidRPr="00AF5BC2">
          <w:rPr>
            <w:rStyle w:val="Hyperlink"/>
            <w:noProof/>
          </w:rPr>
          <w:t>N-1 &amp; N-1-1 Analysis (Off-Shore Wind at Maximum Output)</w:t>
        </w:r>
        <w:r w:rsidR="00CE3D77">
          <w:rPr>
            <w:noProof/>
            <w:webHidden/>
          </w:rPr>
          <w:tab/>
        </w:r>
        <w:r w:rsidR="00CE3D77">
          <w:rPr>
            <w:noProof/>
            <w:webHidden/>
          </w:rPr>
          <w:fldChar w:fldCharType="begin"/>
        </w:r>
        <w:r w:rsidR="00CE3D77">
          <w:rPr>
            <w:noProof/>
            <w:webHidden/>
          </w:rPr>
          <w:instrText xml:space="preserve"> PAGEREF _Toc81138731 \h </w:instrText>
        </w:r>
        <w:r w:rsidR="00CE3D77">
          <w:rPr>
            <w:noProof/>
            <w:webHidden/>
          </w:rPr>
        </w:r>
        <w:r w:rsidR="00CE3D77">
          <w:rPr>
            <w:noProof/>
            <w:webHidden/>
          </w:rPr>
          <w:fldChar w:fldCharType="separate"/>
        </w:r>
        <w:r w:rsidR="00CE3D77">
          <w:rPr>
            <w:noProof/>
            <w:webHidden/>
          </w:rPr>
          <w:t>125</w:t>
        </w:r>
        <w:r w:rsidR="00CE3D77">
          <w:rPr>
            <w:noProof/>
            <w:webHidden/>
          </w:rPr>
          <w:fldChar w:fldCharType="end"/>
        </w:r>
      </w:hyperlink>
    </w:p>
    <w:p w14:paraId="350D2C11" w14:textId="0A6E99F4" w:rsidR="00CE3D77" w:rsidRDefault="0008271B">
      <w:pPr>
        <w:pStyle w:val="TOC3"/>
        <w:rPr>
          <w:rFonts w:asciiTheme="minorHAnsi" w:eastAsiaTheme="minorEastAsia" w:hAnsiTheme="minorHAnsi" w:cstheme="minorBidi"/>
          <w:i w:val="0"/>
          <w:iCs w:val="0"/>
          <w:noProof/>
          <w:sz w:val="22"/>
          <w:szCs w:val="22"/>
          <w:lang w:bidi="ar-SA"/>
        </w:rPr>
      </w:pPr>
      <w:hyperlink w:anchor="_Toc81138732" w:history="1">
        <w:r w:rsidR="00CE3D77" w:rsidRPr="00AF5BC2">
          <w:rPr>
            <w:rStyle w:val="Hyperlink"/>
            <w:noProof/>
          </w:rPr>
          <w:t>System Frequency Response for the Sudden Loss of Off-Shore Wind</w:t>
        </w:r>
        <w:r w:rsidR="00CE3D77">
          <w:rPr>
            <w:noProof/>
            <w:webHidden/>
          </w:rPr>
          <w:tab/>
        </w:r>
        <w:r w:rsidR="00CE3D77">
          <w:rPr>
            <w:noProof/>
            <w:webHidden/>
          </w:rPr>
          <w:fldChar w:fldCharType="begin"/>
        </w:r>
        <w:r w:rsidR="00CE3D77">
          <w:rPr>
            <w:noProof/>
            <w:webHidden/>
          </w:rPr>
          <w:instrText xml:space="preserve"> PAGEREF _Toc81138732 \h </w:instrText>
        </w:r>
        <w:r w:rsidR="00CE3D77">
          <w:rPr>
            <w:noProof/>
            <w:webHidden/>
          </w:rPr>
        </w:r>
        <w:r w:rsidR="00CE3D77">
          <w:rPr>
            <w:noProof/>
            <w:webHidden/>
          </w:rPr>
          <w:fldChar w:fldCharType="separate"/>
        </w:r>
        <w:r w:rsidR="00CE3D77">
          <w:rPr>
            <w:noProof/>
            <w:webHidden/>
          </w:rPr>
          <w:t>126</w:t>
        </w:r>
        <w:r w:rsidR="00CE3D77">
          <w:rPr>
            <w:noProof/>
            <w:webHidden/>
          </w:rPr>
          <w:fldChar w:fldCharType="end"/>
        </w:r>
      </w:hyperlink>
    </w:p>
    <w:p w14:paraId="556067EF" w14:textId="50C4764F" w:rsidR="00CE3D77" w:rsidRDefault="0008271B">
      <w:pPr>
        <w:pStyle w:val="TOC2"/>
        <w:rPr>
          <w:rFonts w:asciiTheme="minorHAnsi" w:eastAsiaTheme="minorEastAsia" w:hAnsiTheme="minorHAnsi" w:cstheme="minorBidi"/>
          <w:lang w:bidi="ar-SA"/>
        </w:rPr>
      </w:pPr>
      <w:hyperlink w:anchor="_Toc81138733" w:history="1">
        <w:r w:rsidR="00CE3D77" w:rsidRPr="00AF5BC2">
          <w:rPr>
            <w:rStyle w:val="Hyperlink"/>
          </w:rPr>
          <w:t>Short-Circuit Ratio</w:t>
        </w:r>
        <w:r w:rsidR="00CE3D77">
          <w:rPr>
            <w:webHidden/>
          </w:rPr>
          <w:tab/>
        </w:r>
        <w:r w:rsidR="00CE3D77">
          <w:rPr>
            <w:webHidden/>
          </w:rPr>
          <w:fldChar w:fldCharType="begin"/>
        </w:r>
        <w:r w:rsidR="00CE3D77">
          <w:rPr>
            <w:webHidden/>
          </w:rPr>
          <w:instrText xml:space="preserve"> PAGEREF _Toc81138733 \h </w:instrText>
        </w:r>
        <w:r w:rsidR="00CE3D77">
          <w:rPr>
            <w:webHidden/>
          </w:rPr>
        </w:r>
        <w:r w:rsidR="00CE3D77">
          <w:rPr>
            <w:webHidden/>
          </w:rPr>
          <w:fldChar w:fldCharType="separate"/>
        </w:r>
        <w:r w:rsidR="00CE3D77">
          <w:rPr>
            <w:webHidden/>
          </w:rPr>
          <w:t>139</w:t>
        </w:r>
        <w:r w:rsidR="00CE3D77">
          <w:rPr>
            <w:webHidden/>
          </w:rPr>
          <w:fldChar w:fldCharType="end"/>
        </w:r>
      </w:hyperlink>
    </w:p>
    <w:p w14:paraId="6E801AE8" w14:textId="487217AF" w:rsidR="00CE3D77" w:rsidRDefault="0008271B">
      <w:pPr>
        <w:pStyle w:val="TOC3"/>
        <w:rPr>
          <w:rFonts w:asciiTheme="minorHAnsi" w:eastAsiaTheme="minorEastAsia" w:hAnsiTheme="minorHAnsi" w:cstheme="minorBidi"/>
          <w:i w:val="0"/>
          <w:iCs w:val="0"/>
          <w:noProof/>
          <w:sz w:val="22"/>
          <w:szCs w:val="22"/>
          <w:lang w:bidi="ar-SA"/>
        </w:rPr>
      </w:pPr>
      <w:hyperlink w:anchor="_Toc81138734" w:history="1">
        <w:r w:rsidR="00CE3D77" w:rsidRPr="00AF5BC2">
          <w:rPr>
            <w:rStyle w:val="Hyperlink"/>
            <w:noProof/>
          </w:rPr>
          <w:t>Background on Short-Circuit Ratio</w:t>
        </w:r>
        <w:r w:rsidR="00CE3D77">
          <w:rPr>
            <w:noProof/>
            <w:webHidden/>
          </w:rPr>
          <w:tab/>
        </w:r>
        <w:r w:rsidR="00CE3D77">
          <w:rPr>
            <w:noProof/>
            <w:webHidden/>
          </w:rPr>
          <w:fldChar w:fldCharType="begin"/>
        </w:r>
        <w:r w:rsidR="00CE3D77">
          <w:rPr>
            <w:noProof/>
            <w:webHidden/>
          </w:rPr>
          <w:instrText xml:space="preserve"> PAGEREF _Toc81138734 \h </w:instrText>
        </w:r>
        <w:r w:rsidR="00CE3D77">
          <w:rPr>
            <w:noProof/>
            <w:webHidden/>
          </w:rPr>
        </w:r>
        <w:r w:rsidR="00CE3D77">
          <w:rPr>
            <w:noProof/>
            <w:webHidden/>
          </w:rPr>
          <w:fldChar w:fldCharType="separate"/>
        </w:r>
        <w:r w:rsidR="00CE3D77">
          <w:rPr>
            <w:noProof/>
            <w:webHidden/>
          </w:rPr>
          <w:t>139</w:t>
        </w:r>
        <w:r w:rsidR="00CE3D77">
          <w:rPr>
            <w:noProof/>
            <w:webHidden/>
          </w:rPr>
          <w:fldChar w:fldCharType="end"/>
        </w:r>
      </w:hyperlink>
    </w:p>
    <w:p w14:paraId="43952360" w14:textId="6A4B6B3D" w:rsidR="00CE3D77" w:rsidRDefault="0008271B">
      <w:pPr>
        <w:pStyle w:val="TOC3"/>
        <w:rPr>
          <w:rFonts w:asciiTheme="minorHAnsi" w:eastAsiaTheme="minorEastAsia" w:hAnsiTheme="minorHAnsi" w:cstheme="minorBidi"/>
          <w:i w:val="0"/>
          <w:iCs w:val="0"/>
          <w:noProof/>
          <w:sz w:val="22"/>
          <w:szCs w:val="22"/>
          <w:lang w:bidi="ar-SA"/>
        </w:rPr>
      </w:pPr>
      <w:hyperlink w:anchor="_Toc81138735" w:history="1">
        <w:r w:rsidR="00CE3D77" w:rsidRPr="00AF5BC2">
          <w:rPr>
            <w:rStyle w:val="Hyperlink"/>
            <w:noProof/>
          </w:rPr>
          <w:t>NYCA Short-Circuit Ratio</w:t>
        </w:r>
        <w:r w:rsidR="00CE3D77">
          <w:rPr>
            <w:noProof/>
            <w:webHidden/>
          </w:rPr>
          <w:tab/>
        </w:r>
        <w:r w:rsidR="00CE3D77">
          <w:rPr>
            <w:noProof/>
            <w:webHidden/>
          </w:rPr>
          <w:fldChar w:fldCharType="begin"/>
        </w:r>
        <w:r w:rsidR="00CE3D77">
          <w:rPr>
            <w:noProof/>
            <w:webHidden/>
          </w:rPr>
          <w:instrText xml:space="preserve"> PAGEREF _Toc81138735 \h </w:instrText>
        </w:r>
        <w:r w:rsidR="00CE3D77">
          <w:rPr>
            <w:noProof/>
            <w:webHidden/>
          </w:rPr>
        </w:r>
        <w:r w:rsidR="00CE3D77">
          <w:rPr>
            <w:noProof/>
            <w:webHidden/>
          </w:rPr>
          <w:fldChar w:fldCharType="separate"/>
        </w:r>
        <w:r w:rsidR="00CE3D77">
          <w:rPr>
            <w:noProof/>
            <w:webHidden/>
          </w:rPr>
          <w:t>140</w:t>
        </w:r>
        <w:r w:rsidR="00CE3D77">
          <w:rPr>
            <w:noProof/>
            <w:webHidden/>
          </w:rPr>
          <w:fldChar w:fldCharType="end"/>
        </w:r>
      </w:hyperlink>
    </w:p>
    <w:p w14:paraId="4B7B05B2" w14:textId="7EF68B7B" w:rsidR="00CE3D77" w:rsidRDefault="0008271B">
      <w:pPr>
        <w:pStyle w:val="TOC2"/>
        <w:rPr>
          <w:rFonts w:asciiTheme="minorHAnsi" w:eastAsiaTheme="minorEastAsia" w:hAnsiTheme="minorHAnsi" w:cstheme="minorBidi"/>
          <w:lang w:bidi="ar-SA"/>
        </w:rPr>
      </w:pPr>
      <w:hyperlink w:anchor="_Toc81138736" w:history="1">
        <w:r w:rsidR="00CE3D77" w:rsidRPr="00AF5BC2">
          <w:rPr>
            <w:rStyle w:val="Hyperlink"/>
          </w:rPr>
          <w:t>Voltage Flicker</w:t>
        </w:r>
        <w:r w:rsidR="00CE3D77">
          <w:rPr>
            <w:webHidden/>
          </w:rPr>
          <w:tab/>
        </w:r>
        <w:r w:rsidR="00CE3D77">
          <w:rPr>
            <w:webHidden/>
          </w:rPr>
          <w:fldChar w:fldCharType="begin"/>
        </w:r>
        <w:r w:rsidR="00CE3D77">
          <w:rPr>
            <w:webHidden/>
          </w:rPr>
          <w:instrText xml:space="preserve"> PAGEREF _Toc81138736 \h </w:instrText>
        </w:r>
        <w:r w:rsidR="00CE3D77">
          <w:rPr>
            <w:webHidden/>
          </w:rPr>
        </w:r>
        <w:r w:rsidR="00CE3D77">
          <w:rPr>
            <w:webHidden/>
          </w:rPr>
          <w:fldChar w:fldCharType="separate"/>
        </w:r>
        <w:r w:rsidR="00CE3D77">
          <w:rPr>
            <w:webHidden/>
          </w:rPr>
          <w:t>143</w:t>
        </w:r>
        <w:r w:rsidR="00CE3D77">
          <w:rPr>
            <w:webHidden/>
          </w:rPr>
          <w:fldChar w:fldCharType="end"/>
        </w:r>
      </w:hyperlink>
    </w:p>
    <w:p w14:paraId="4996661D" w14:textId="7923DC75" w:rsidR="00CE3D77" w:rsidRDefault="0008271B">
      <w:pPr>
        <w:pStyle w:val="TOC1"/>
        <w:rPr>
          <w:rFonts w:asciiTheme="minorHAnsi" w:eastAsiaTheme="minorEastAsia" w:hAnsiTheme="minorHAnsi" w:cstheme="minorBidi"/>
          <w:b w:val="0"/>
          <w:bCs w:val="0"/>
          <w:caps w:val="0"/>
          <w:noProof/>
          <w:sz w:val="22"/>
          <w:szCs w:val="22"/>
          <w:lang w:bidi="ar-SA"/>
        </w:rPr>
      </w:pPr>
      <w:hyperlink w:anchor="_Toc81138737" w:history="1">
        <w:r w:rsidR="00CE3D77" w:rsidRPr="00AF5BC2">
          <w:rPr>
            <w:rStyle w:val="Hyperlink"/>
            <w:noProof/>
          </w:rPr>
          <w:t>Appendix G – Reliability Planning Process</w:t>
        </w:r>
        <w:r w:rsidR="00CE3D77">
          <w:rPr>
            <w:noProof/>
            <w:webHidden/>
          </w:rPr>
          <w:tab/>
        </w:r>
        <w:r w:rsidR="00CE3D77">
          <w:rPr>
            <w:noProof/>
            <w:webHidden/>
          </w:rPr>
          <w:fldChar w:fldCharType="begin"/>
        </w:r>
        <w:r w:rsidR="00CE3D77">
          <w:rPr>
            <w:noProof/>
            <w:webHidden/>
          </w:rPr>
          <w:instrText xml:space="preserve"> PAGEREF _Toc81138737 \h </w:instrText>
        </w:r>
        <w:r w:rsidR="00CE3D77">
          <w:rPr>
            <w:noProof/>
            <w:webHidden/>
          </w:rPr>
        </w:r>
        <w:r w:rsidR="00CE3D77">
          <w:rPr>
            <w:noProof/>
            <w:webHidden/>
          </w:rPr>
          <w:fldChar w:fldCharType="separate"/>
        </w:r>
        <w:r w:rsidR="00CE3D77">
          <w:rPr>
            <w:noProof/>
            <w:webHidden/>
          </w:rPr>
          <w:t>146</w:t>
        </w:r>
        <w:r w:rsidR="00CE3D77">
          <w:rPr>
            <w:noProof/>
            <w:webHidden/>
          </w:rPr>
          <w:fldChar w:fldCharType="end"/>
        </w:r>
      </w:hyperlink>
    </w:p>
    <w:p w14:paraId="29D84851" w14:textId="2E008D41" w:rsidR="00CE3D77" w:rsidRDefault="0008271B">
      <w:pPr>
        <w:pStyle w:val="TOC1"/>
        <w:rPr>
          <w:rFonts w:asciiTheme="minorHAnsi" w:eastAsiaTheme="minorEastAsia" w:hAnsiTheme="minorHAnsi" w:cstheme="minorBidi"/>
          <w:b w:val="0"/>
          <w:bCs w:val="0"/>
          <w:caps w:val="0"/>
          <w:noProof/>
          <w:sz w:val="22"/>
          <w:szCs w:val="22"/>
          <w:lang w:bidi="ar-SA"/>
        </w:rPr>
      </w:pPr>
      <w:hyperlink w:anchor="_Toc81138738" w:history="1">
        <w:r w:rsidR="00CE3D77" w:rsidRPr="00AF5BC2">
          <w:rPr>
            <w:rStyle w:val="Hyperlink"/>
            <w:noProof/>
          </w:rPr>
          <w:t>Appendix H - Reliability Compliance Obligations and Activities</w:t>
        </w:r>
        <w:r w:rsidR="00CE3D77">
          <w:rPr>
            <w:noProof/>
            <w:webHidden/>
          </w:rPr>
          <w:tab/>
        </w:r>
        <w:r w:rsidR="00CE3D77">
          <w:rPr>
            <w:noProof/>
            <w:webHidden/>
          </w:rPr>
          <w:fldChar w:fldCharType="begin"/>
        </w:r>
        <w:r w:rsidR="00CE3D77">
          <w:rPr>
            <w:noProof/>
            <w:webHidden/>
          </w:rPr>
          <w:instrText xml:space="preserve"> PAGEREF _Toc81138738 \h </w:instrText>
        </w:r>
        <w:r w:rsidR="00CE3D77">
          <w:rPr>
            <w:noProof/>
            <w:webHidden/>
          </w:rPr>
        </w:r>
        <w:r w:rsidR="00CE3D77">
          <w:rPr>
            <w:noProof/>
            <w:webHidden/>
          </w:rPr>
          <w:fldChar w:fldCharType="separate"/>
        </w:r>
        <w:r w:rsidR="00CE3D77">
          <w:rPr>
            <w:noProof/>
            <w:webHidden/>
          </w:rPr>
          <w:t>153</w:t>
        </w:r>
        <w:r w:rsidR="00CE3D77">
          <w:rPr>
            <w:noProof/>
            <w:webHidden/>
          </w:rPr>
          <w:fldChar w:fldCharType="end"/>
        </w:r>
      </w:hyperlink>
    </w:p>
    <w:p w14:paraId="695B26D6" w14:textId="65456424" w:rsidR="00CE3D77" w:rsidRDefault="0008271B">
      <w:pPr>
        <w:pStyle w:val="TOC2"/>
        <w:rPr>
          <w:rFonts w:asciiTheme="minorHAnsi" w:eastAsiaTheme="minorEastAsia" w:hAnsiTheme="minorHAnsi" w:cstheme="minorBidi"/>
          <w:lang w:bidi="ar-SA"/>
        </w:rPr>
      </w:pPr>
      <w:hyperlink w:anchor="_Toc81138739" w:history="1">
        <w:r w:rsidR="00CE3D77" w:rsidRPr="00AF5BC2">
          <w:rPr>
            <w:rStyle w:val="Hyperlink"/>
          </w:rPr>
          <w:t>NPCC/NYSRC Area Transmission Reviews</w:t>
        </w:r>
        <w:r w:rsidR="00CE3D77">
          <w:rPr>
            <w:webHidden/>
          </w:rPr>
          <w:tab/>
        </w:r>
        <w:r w:rsidR="00CE3D77">
          <w:rPr>
            <w:webHidden/>
          </w:rPr>
          <w:fldChar w:fldCharType="begin"/>
        </w:r>
        <w:r w:rsidR="00CE3D77">
          <w:rPr>
            <w:webHidden/>
          </w:rPr>
          <w:instrText xml:space="preserve"> PAGEREF _Toc81138739 \h </w:instrText>
        </w:r>
        <w:r w:rsidR="00CE3D77">
          <w:rPr>
            <w:webHidden/>
          </w:rPr>
        </w:r>
        <w:r w:rsidR="00CE3D77">
          <w:rPr>
            <w:webHidden/>
          </w:rPr>
          <w:fldChar w:fldCharType="separate"/>
        </w:r>
        <w:r w:rsidR="00CE3D77">
          <w:rPr>
            <w:webHidden/>
          </w:rPr>
          <w:t>155</w:t>
        </w:r>
        <w:r w:rsidR="00CE3D77">
          <w:rPr>
            <w:webHidden/>
          </w:rPr>
          <w:fldChar w:fldCharType="end"/>
        </w:r>
      </w:hyperlink>
    </w:p>
    <w:p w14:paraId="68EDD0A8" w14:textId="48026DA5" w:rsidR="00CE3D77" w:rsidRDefault="0008271B">
      <w:pPr>
        <w:pStyle w:val="TOC2"/>
        <w:rPr>
          <w:rFonts w:asciiTheme="minorHAnsi" w:eastAsiaTheme="minorEastAsia" w:hAnsiTheme="minorHAnsi" w:cstheme="minorBidi"/>
          <w:lang w:bidi="ar-SA"/>
        </w:rPr>
      </w:pPr>
      <w:hyperlink w:anchor="_Toc81138740" w:history="1">
        <w:r w:rsidR="00CE3D77" w:rsidRPr="00AF5BC2">
          <w:rPr>
            <w:rStyle w:val="Hyperlink"/>
          </w:rPr>
          <w:t>NERC Planning Assessments (TPL-001)</w:t>
        </w:r>
        <w:r w:rsidR="00CE3D77">
          <w:rPr>
            <w:webHidden/>
          </w:rPr>
          <w:tab/>
        </w:r>
        <w:r w:rsidR="00CE3D77">
          <w:rPr>
            <w:webHidden/>
          </w:rPr>
          <w:fldChar w:fldCharType="begin"/>
        </w:r>
        <w:r w:rsidR="00CE3D77">
          <w:rPr>
            <w:webHidden/>
          </w:rPr>
          <w:instrText xml:space="preserve"> PAGEREF _Toc81138740 \h </w:instrText>
        </w:r>
        <w:r w:rsidR="00CE3D77">
          <w:rPr>
            <w:webHidden/>
          </w:rPr>
        </w:r>
        <w:r w:rsidR="00CE3D77">
          <w:rPr>
            <w:webHidden/>
          </w:rPr>
          <w:fldChar w:fldCharType="separate"/>
        </w:r>
        <w:r w:rsidR="00CE3D77">
          <w:rPr>
            <w:webHidden/>
          </w:rPr>
          <w:t>157</w:t>
        </w:r>
        <w:r w:rsidR="00CE3D77">
          <w:rPr>
            <w:webHidden/>
          </w:rPr>
          <w:fldChar w:fldCharType="end"/>
        </w:r>
      </w:hyperlink>
    </w:p>
    <w:p w14:paraId="066AB2F9" w14:textId="0EF0C32B" w:rsidR="00CE3D77" w:rsidRDefault="0008271B">
      <w:pPr>
        <w:pStyle w:val="TOC2"/>
        <w:rPr>
          <w:rFonts w:asciiTheme="minorHAnsi" w:eastAsiaTheme="minorEastAsia" w:hAnsiTheme="minorHAnsi" w:cstheme="minorBidi"/>
          <w:lang w:bidi="ar-SA"/>
        </w:rPr>
      </w:pPr>
      <w:hyperlink w:anchor="_Toc81138741" w:history="1">
        <w:r w:rsidR="00CE3D77" w:rsidRPr="00AF5BC2">
          <w:rPr>
            <w:rStyle w:val="Hyperlink"/>
          </w:rPr>
          <w:t>Resource Adequacy Compliance Efforts</w:t>
        </w:r>
        <w:r w:rsidR="00CE3D77">
          <w:rPr>
            <w:webHidden/>
          </w:rPr>
          <w:tab/>
        </w:r>
        <w:r w:rsidR="00CE3D77">
          <w:rPr>
            <w:webHidden/>
          </w:rPr>
          <w:fldChar w:fldCharType="begin"/>
        </w:r>
        <w:r w:rsidR="00CE3D77">
          <w:rPr>
            <w:webHidden/>
          </w:rPr>
          <w:instrText xml:space="preserve"> PAGEREF _Toc81138741 \h </w:instrText>
        </w:r>
        <w:r w:rsidR="00CE3D77">
          <w:rPr>
            <w:webHidden/>
          </w:rPr>
        </w:r>
        <w:r w:rsidR="00CE3D77">
          <w:rPr>
            <w:webHidden/>
          </w:rPr>
          <w:fldChar w:fldCharType="separate"/>
        </w:r>
        <w:r w:rsidR="00CE3D77">
          <w:rPr>
            <w:webHidden/>
          </w:rPr>
          <w:t>159</w:t>
        </w:r>
        <w:r w:rsidR="00CE3D77">
          <w:rPr>
            <w:webHidden/>
          </w:rPr>
          <w:fldChar w:fldCharType="end"/>
        </w:r>
      </w:hyperlink>
    </w:p>
    <w:p w14:paraId="4660AA30" w14:textId="1C5B1E27" w:rsidR="00CE3D77" w:rsidRDefault="0008271B">
      <w:pPr>
        <w:pStyle w:val="TOC1"/>
        <w:rPr>
          <w:rFonts w:asciiTheme="minorHAnsi" w:eastAsiaTheme="minorEastAsia" w:hAnsiTheme="minorHAnsi" w:cstheme="minorBidi"/>
          <w:b w:val="0"/>
          <w:bCs w:val="0"/>
          <w:caps w:val="0"/>
          <w:noProof/>
          <w:sz w:val="22"/>
          <w:szCs w:val="22"/>
          <w:lang w:bidi="ar-SA"/>
        </w:rPr>
      </w:pPr>
      <w:hyperlink w:anchor="_Toc81138742" w:history="1">
        <w:r w:rsidR="00CE3D77" w:rsidRPr="00AF5BC2">
          <w:rPr>
            <w:rStyle w:val="Hyperlink"/>
            <w:noProof/>
          </w:rPr>
          <w:t>Appendix I - Bulk Power Transmission Facilities</w:t>
        </w:r>
        <w:r w:rsidR="00CE3D77">
          <w:rPr>
            <w:noProof/>
            <w:webHidden/>
          </w:rPr>
          <w:tab/>
        </w:r>
        <w:r w:rsidR="00CE3D77">
          <w:rPr>
            <w:noProof/>
            <w:webHidden/>
          </w:rPr>
          <w:fldChar w:fldCharType="begin"/>
        </w:r>
        <w:r w:rsidR="00CE3D77">
          <w:rPr>
            <w:noProof/>
            <w:webHidden/>
          </w:rPr>
          <w:instrText xml:space="preserve"> PAGEREF _Toc81138742 \h </w:instrText>
        </w:r>
        <w:r w:rsidR="00CE3D77">
          <w:rPr>
            <w:noProof/>
            <w:webHidden/>
          </w:rPr>
        </w:r>
        <w:r w:rsidR="00CE3D77">
          <w:rPr>
            <w:noProof/>
            <w:webHidden/>
          </w:rPr>
          <w:fldChar w:fldCharType="separate"/>
        </w:r>
        <w:r w:rsidR="00CE3D77">
          <w:rPr>
            <w:noProof/>
            <w:webHidden/>
          </w:rPr>
          <w:t>160</w:t>
        </w:r>
        <w:r w:rsidR="00CE3D77">
          <w:rPr>
            <w:noProof/>
            <w:webHidden/>
          </w:rPr>
          <w:fldChar w:fldCharType="end"/>
        </w:r>
      </w:hyperlink>
    </w:p>
    <w:p w14:paraId="42701ED5" w14:textId="056DC1F7" w:rsidR="0007199E" w:rsidRPr="007F4000" w:rsidRDefault="00F32BC7" w:rsidP="00CF5CB7">
      <w:pPr>
        <w:pStyle w:val="TOC2"/>
        <w:sectPr w:rsidR="0007199E" w:rsidRPr="007F4000" w:rsidSect="00B446AE">
          <w:headerReference w:type="default" r:id="rId12"/>
          <w:footerReference w:type="even" r:id="rId13"/>
          <w:footerReference w:type="default" r:id="rId14"/>
          <w:headerReference w:type="first" r:id="rId15"/>
          <w:footerReference w:type="first" r:id="rId16"/>
          <w:pgSz w:w="12240" w:h="15840" w:code="1"/>
          <w:pgMar w:top="1800" w:right="1080" w:bottom="1440" w:left="990" w:header="720" w:footer="58" w:gutter="0"/>
          <w:pgNumType w:fmt="lowerRoman" w:start="1"/>
          <w:cols w:space="720"/>
          <w:titlePg/>
          <w:docGrid w:linePitch="360"/>
        </w:sectPr>
      </w:pPr>
      <w:r>
        <w:fldChar w:fldCharType="end"/>
      </w:r>
    </w:p>
    <w:p w14:paraId="0C5A6701" w14:textId="2AA4719B" w:rsidR="00B94D38" w:rsidRPr="00F15B1B" w:rsidRDefault="00B94D38" w:rsidP="00B94D38">
      <w:pPr>
        <w:pStyle w:val="Heading1"/>
      </w:pPr>
      <w:bookmarkStart w:id="2" w:name="_Toc80032248"/>
      <w:bookmarkStart w:id="3" w:name="_Toc80191637"/>
      <w:bookmarkStart w:id="4" w:name="_Toc81138673"/>
      <w:bookmarkStart w:id="5" w:name="_Toc4757588"/>
      <w:r>
        <w:lastRenderedPageBreak/>
        <w:t>Executive Summary</w:t>
      </w:r>
      <w:bookmarkEnd w:id="2"/>
      <w:bookmarkEnd w:id="3"/>
      <w:bookmarkEnd w:id="4"/>
    </w:p>
    <w:p w14:paraId="6248114D" w14:textId="167B6347" w:rsidR="00B94D38" w:rsidRPr="007F4000" w:rsidRDefault="007F4000" w:rsidP="00B94D38">
      <w:pPr>
        <w:pStyle w:val="BodyText"/>
        <w:rPr>
          <w:color w:val="548DD4" w:themeColor="text2" w:themeTint="99"/>
        </w:rPr>
      </w:pPr>
      <w:r w:rsidRPr="007F4000">
        <w:rPr>
          <w:color w:val="548DD4" w:themeColor="text2" w:themeTint="99"/>
        </w:rPr>
        <w:t>[</w:t>
      </w:r>
      <w:r w:rsidR="00B94D38" w:rsidRPr="007F4000">
        <w:rPr>
          <w:color w:val="548DD4" w:themeColor="text2" w:themeTint="99"/>
        </w:rPr>
        <w:t>To be written</w:t>
      </w:r>
      <w:r w:rsidRPr="007F4000">
        <w:rPr>
          <w:color w:val="548DD4" w:themeColor="text2" w:themeTint="99"/>
        </w:rPr>
        <w:t>]</w:t>
      </w:r>
    </w:p>
    <w:p w14:paraId="3CCE60E3" w14:textId="6DD0C9D5" w:rsidR="00B94D38" w:rsidRDefault="00B94D38" w:rsidP="00B94D38">
      <w:pPr>
        <w:pStyle w:val="BodyText"/>
      </w:pPr>
    </w:p>
    <w:p w14:paraId="1E68C2F6" w14:textId="77777777" w:rsidR="00B94D38" w:rsidRDefault="00B94D38">
      <w:pPr>
        <w:rPr>
          <w:rFonts w:ascii="Franklin Gothic Medium" w:hAnsi="Franklin Gothic Medium"/>
          <w:bCs/>
          <w:color w:val="005F86"/>
          <w:sz w:val="32"/>
          <w:szCs w:val="28"/>
        </w:rPr>
      </w:pPr>
      <w:r>
        <w:br w:type="page"/>
      </w:r>
    </w:p>
    <w:p w14:paraId="0E294B4C" w14:textId="46BAF379" w:rsidR="0084324A" w:rsidRPr="00F15B1B" w:rsidRDefault="00F7282B" w:rsidP="00571CB8">
      <w:pPr>
        <w:pStyle w:val="Heading1"/>
      </w:pPr>
      <w:bookmarkStart w:id="6" w:name="_Toc80032249"/>
      <w:bookmarkStart w:id="7" w:name="_Toc80191638"/>
      <w:bookmarkStart w:id="8" w:name="_Toc81138674"/>
      <w:bookmarkEnd w:id="5"/>
      <w:r>
        <w:lastRenderedPageBreak/>
        <w:t>Background</w:t>
      </w:r>
      <w:bookmarkEnd w:id="6"/>
      <w:bookmarkEnd w:id="7"/>
      <w:bookmarkEnd w:id="8"/>
    </w:p>
    <w:p w14:paraId="7205853C" w14:textId="1031E18C" w:rsidR="002E1276" w:rsidRDefault="007B7643" w:rsidP="002E1276">
      <w:pPr>
        <w:pStyle w:val="BodyText"/>
      </w:pPr>
      <w:r w:rsidRPr="00091037">
        <w:t>The 20</w:t>
      </w:r>
      <w:r w:rsidR="00091037" w:rsidRPr="00091037">
        <w:t>20</w:t>
      </w:r>
      <w:r w:rsidRPr="00091037">
        <w:t xml:space="preserve"> Reliability Needs Assessment (RNA)</w:t>
      </w:r>
      <w:r w:rsidR="00846765" w:rsidRPr="00091037">
        <w:t xml:space="preserve"> </w:t>
      </w:r>
      <w:r w:rsidR="00727C90">
        <w:t>was</w:t>
      </w:r>
      <w:r w:rsidR="00727C90" w:rsidRPr="00091037">
        <w:t xml:space="preserve"> </w:t>
      </w:r>
      <w:r w:rsidR="00846765" w:rsidRPr="00091037">
        <w:t>the first step of the NYISO’s 20</w:t>
      </w:r>
      <w:r w:rsidR="00091037" w:rsidRPr="00091037">
        <w:t>20</w:t>
      </w:r>
      <w:r w:rsidR="00846765" w:rsidRPr="00091037">
        <w:t>-20</w:t>
      </w:r>
      <w:r w:rsidR="00091037" w:rsidRPr="00091037">
        <w:t>21</w:t>
      </w:r>
      <w:r w:rsidR="00846765" w:rsidRPr="00091037">
        <w:t xml:space="preserve"> </w:t>
      </w:r>
      <w:r w:rsidRPr="00091037">
        <w:t xml:space="preserve">Reliability Planning Process.  The </w:t>
      </w:r>
      <w:r w:rsidR="001F100D" w:rsidRPr="00091037">
        <w:t>20</w:t>
      </w:r>
      <w:r w:rsidR="00091037" w:rsidRPr="00091037">
        <w:t>20</w:t>
      </w:r>
      <w:r w:rsidR="001F100D" w:rsidRPr="00091037">
        <w:t xml:space="preserve"> RNA was approved by </w:t>
      </w:r>
      <w:r w:rsidRPr="00091037">
        <w:t xml:space="preserve">the NYISO Board of Directors in </w:t>
      </w:r>
      <w:r w:rsidR="00091037" w:rsidRPr="00091037">
        <w:t>November</w:t>
      </w:r>
      <w:r w:rsidRPr="00091037">
        <w:t xml:space="preserve"> 20</w:t>
      </w:r>
      <w:r w:rsidR="00091037" w:rsidRPr="00091037">
        <w:t>20 [</w:t>
      </w:r>
      <w:hyperlink r:id="rId17" w:history="1">
        <w:r w:rsidR="00091037" w:rsidRPr="00091037">
          <w:rPr>
            <w:rStyle w:val="Hyperlink"/>
            <w:color w:val="0070C0"/>
          </w:rPr>
          <w:t>link</w:t>
        </w:r>
      </w:hyperlink>
      <w:r w:rsidR="00091037" w:rsidRPr="00091037">
        <w:t>]</w:t>
      </w:r>
      <w:r w:rsidR="00F74D40" w:rsidRPr="00091037">
        <w:t>.</w:t>
      </w:r>
      <w:r w:rsidR="00D0632C">
        <w:t xml:space="preserve"> </w:t>
      </w:r>
      <w:r w:rsidRPr="00091037">
        <w:t xml:space="preserve"> </w:t>
      </w:r>
      <w:r w:rsidR="001F100D" w:rsidRPr="00091037">
        <w:t xml:space="preserve">This </w:t>
      </w:r>
      <w:r w:rsidR="00727C90">
        <w:t xml:space="preserve">2021-2030 </w:t>
      </w:r>
      <w:r w:rsidRPr="00091037">
        <w:t>Comprehensive Reliability Plan (CRP) follows the 20</w:t>
      </w:r>
      <w:r w:rsidR="00091037" w:rsidRPr="00091037">
        <w:t>20</w:t>
      </w:r>
      <w:r w:rsidRPr="00091037">
        <w:t xml:space="preserve"> RNA</w:t>
      </w:r>
      <w:r w:rsidR="005F55B9">
        <w:t xml:space="preserve"> and post-RNA updates</w:t>
      </w:r>
      <w:r w:rsidRPr="00091037">
        <w:t xml:space="preserve"> and completes the 20</w:t>
      </w:r>
      <w:r w:rsidR="00091037" w:rsidRPr="00091037">
        <w:t>20-2021</w:t>
      </w:r>
      <w:r w:rsidRPr="00091037">
        <w:t xml:space="preserve"> cycle of the</w:t>
      </w:r>
      <w:r w:rsidR="008C2291" w:rsidRPr="00091037">
        <w:t xml:space="preserve"> Reliability Planning Process. </w:t>
      </w:r>
      <w:r w:rsidR="0059769E" w:rsidRPr="00091037">
        <w:t xml:space="preserve"> </w:t>
      </w:r>
      <w:r w:rsidR="00727C90">
        <w:t>This CRP also incorporates findings and solutions from the quarterly Short-Term Reliability Process.</w:t>
      </w:r>
    </w:p>
    <w:p w14:paraId="631788EA" w14:textId="3488D347" w:rsidR="00727C90" w:rsidRPr="00D616E2" w:rsidRDefault="00727C90" w:rsidP="00727C90">
      <w:pPr>
        <w:pStyle w:val="Heading2"/>
      </w:pPr>
      <w:bookmarkStart w:id="9" w:name="_Toc80032250"/>
      <w:bookmarkStart w:id="10" w:name="_Toc80191639"/>
      <w:bookmarkStart w:id="11" w:name="_Toc81138675"/>
      <w:r>
        <w:t>2020 Reliability Needs Assessment</w:t>
      </w:r>
      <w:bookmarkEnd w:id="9"/>
      <w:bookmarkEnd w:id="10"/>
      <w:bookmarkEnd w:id="11"/>
    </w:p>
    <w:p w14:paraId="0188E39D" w14:textId="6D8189A7" w:rsidR="002E1276" w:rsidRDefault="002E1276" w:rsidP="002E1276">
      <w:pPr>
        <w:pStyle w:val="BodyText"/>
      </w:pPr>
      <w:r>
        <w:t xml:space="preserve">The 2020 RNA provided an evaluation and review of the reliability of the New York </w:t>
      </w:r>
      <w:r w:rsidR="004135E4">
        <w:t xml:space="preserve">Bulk Power Transmission Facilities (BPTF) </w:t>
      </w:r>
      <w:r w:rsidR="00AA6139">
        <w:t>for the Study Period (2024-</w:t>
      </w:r>
      <w:r>
        <w:t>2030</w:t>
      </w:r>
      <w:r w:rsidR="00AA6139">
        <w:t>)</w:t>
      </w:r>
      <w:r>
        <w:t xml:space="preserve">, considering forecasts of peak power demand, planned upgrades to the transmission system, and changes to the generation mix </w:t>
      </w:r>
      <w:r w:rsidR="00AA6139">
        <w:t xml:space="preserve">expected </w:t>
      </w:r>
      <w:r>
        <w:t>over the next ten years</w:t>
      </w:r>
      <w:r w:rsidR="00AA6139">
        <w:t xml:space="preserve"> (2021-2030)</w:t>
      </w:r>
      <w:r>
        <w:t xml:space="preserve">. </w:t>
      </w:r>
      <w:r w:rsidR="00D0632C">
        <w:t xml:space="preserve"> </w:t>
      </w:r>
      <w:r>
        <w:t xml:space="preserve">The RNA assessed an actionable “base case” set of assumptions, as well as various scenarios that are provided for information. </w:t>
      </w:r>
      <w:r w:rsidR="00D0632C">
        <w:t xml:space="preserve"> </w:t>
      </w:r>
      <w:r>
        <w:t>The 2020 RNA base case included projected impacts driven by limitations on generator emissions, while the scenarios include</w:t>
      </w:r>
      <w:r w:rsidR="00AA6139">
        <w:t>d</w:t>
      </w:r>
      <w:r>
        <w:t xml:space="preserve"> an in-depth look at certain policy goals from the Climate Leadership and Community Protection Act (CLCPA). </w:t>
      </w:r>
      <w:r w:rsidR="00D0632C">
        <w:t xml:space="preserve"> </w:t>
      </w:r>
      <w:r>
        <w:t>T</w:t>
      </w:r>
      <w:r w:rsidRPr="007F5C46">
        <w:t xml:space="preserve">he </w:t>
      </w:r>
      <w:r>
        <w:t>RNA</w:t>
      </w:r>
      <w:r w:rsidRPr="007F5C46">
        <w:t xml:space="preserve"> also discusse</w:t>
      </w:r>
      <w:r>
        <w:t>d</w:t>
      </w:r>
      <w:r w:rsidRPr="007F5C46">
        <w:t xml:space="preserve"> the reliability risks associated with the cumulative impact of environmental laws and regulations, which may affect the </w:t>
      </w:r>
      <w:r>
        <w:t xml:space="preserve">availability and </w:t>
      </w:r>
      <w:r w:rsidRPr="007F5C46">
        <w:t xml:space="preserve">flexibility </w:t>
      </w:r>
      <w:r>
        <w:t>of</w:t>
      </w:r>
      <w:r w:rsidRPr="007F5C46">
        <w:t xml:space="preserve"> </w:t>
      </w:r>
      <w:r>
        <w:t xml:space="preserve">power </w:t>
      </w:r>
      <w:r w:rsidRPr="007F5C46">
        <w:t>plant operation</w:t>
      </w:r>
      <w:r>
        <w:t xml:space="preserve">.       </w:t>
      </w:r>
    </w:p>
    <w:p w14:paraId="6427352E" w14:textId="5BB1C616" w:rsidR="002E1276" w:rsidRDefault="0086204B" w:rsidP="002E1276">
      <w:pPr>
        <w:pStyle w:val="BodyText"/>
      </w:pPr>
      <w:r>
        <w:t>The</w:t>
      </w:r>
      <w:r w:rsidR="002E1276" w:rsidRPr="00C015D1">
        <w:t xml:space="preserve"> 2020 </w:t>
      </w:r>
      <w:r w:rsidR="002E1276">
        <w:t>RNA</w:t>
      </w:r>
      <w:r w:rsidR="002E1276" w:rsidRPr="00C015D1">
        <w:t xml:space="preserve"> </w:t>
      </w:r>
      <w:r w:rsidR="002E1276">
        <w:t>identified violations or potential violations of reliability criteria</w:t>
      </w:r>
      <w:r w:rsidR="002E1276" w:rsidRPr="00C015D1">
        <w:t xml:space="preserve"> </w:t>
      </w:r>
      <w:r w:rsidR="002E1276">
        <w:t>(“</w:t>
      </w:r>
      <w:r w:rsidR="002E1276" w:rsidRPr="00C015D1">
        <w:t>Reliability Needs</w:t>
      </w:r>
      <w:r w:rsidR="002E1276">
        <w:t>”)</w:t>
      </w:r>
      <w:r w:rsidR="002E1276" w:rsidRPr="00C015D1">
        <w:t xml:space="preserve"> </w:t>
      </w:r>
      <w:r w:rsidR="002E1276">
        <w:t xml:space="preserve">in the </w:t>
      </w:r>
      <w:r w:rsidR="007871EE">
        <w:t xml:space="preserve">actionable </w:t>
      </w:r>
      <w:r w:rsidR="002E1276">
        <w:t xml:space="preserve">base case throughout </w:t>
      </w:r>
      <w:r w:rsidR="002E1276" w:rsidRPr="00C015D1">
        <w:t xml:space="preserve">the </w:t>
      </w:r>
      <w:r w:rsidR="002E1276">
        <w:t>entire s</w:t>
      </w:r>
      <w:r w:rsidR="002E1276" w:rsidRPr="00C015D1">
        <w:t xml:space="preserve">tudy </w:t>
      </w:r>
      <w:r w:rsidR="002E1276">
        <w:t>p</w:t>
      </w:r>
      <w:r w:rsidR="002E1276" w:rsidRPr="00C015D1">
        <w:t>eriod</w:t>
      </w:r>
      <w:r w:rsidR="002E1276">
        <w:t xml:space="preserve"> (2024-2030)</w:t>
      </w:r>
      <w:r w:rsidR="002E1276" w:rsidRPr="00C015D1">
        <w:t xml:space="preserve"> due to</w:t>
      </w:r>
      <w:r w:rsidR="002E1276">
        <w:t xml:space="preserve"> dynamic instability, </w:t>
      </w:r>
      <w:r w:rsidR="002E1276" w:rsidRPr="00C015D1">
        <w:t xml:space="preserve">transmission </w:t>
      </w:r>
      <w:r w:rsidR="002E1276">
        <w:t>overloads, and</w:t>
      </w:r>
      <w:r w:rsidR="00795876">
        <w:t>/or</w:t>
      </w:r>
      <w:r w:rsidR="002E1276">
        <w:t xml:space="preserve"> resource deficiencies.</w:t>
      </w:r>
      <w:r w:rsidR="002E1276">
        <w:rPr>
          <w:rStyle w:val="FootnoteReference"/>
        </w:rPr>
        <w:footnoteReference w:id="2"/>
      </w:r>
      <w:r w:rsidR="002E1276">
        <w:t xml:space="preserve">  </w:t>
      </w:r>
      <w:r w:rsidR="002E1276" w:rsidRPr="00C015D1">
        <w:t xml:space="preserve">The </w:t>
      </w:r>
      <w:r w:rsidR="002E1276">
        <w:t>issues</w:t>
      </w:r>
      <w:r w:rsidR="002E1276" w:rsidRPr="00C015D1">
        <w:t xml:space="preserve"> identified </w:t>
      </w:r>
      <w:r>
        <w:t>were</w:t>
      </w:r>
      <w:r w:rsidR="002E1276" w:rsidRPr="00C015D1">
        <w:t xml:space="preserve"> </w:t>
      </w:r>
      <w:r w:rsidR="002E1276">
        <w:t xml:space="preserve">primarily driven by a combination of forecasted peak demand and </w:t>
      </w:r>
      <w:r w:rsidR="002E1276" w:rsidRPr="00C015D1">
        <w:t xml:space="preserve">the assumed </w:t>
      </w:r>
      <w:r w:rsidR="002E1276">
        <w:t xml:space="preserve">unavailability of certain </w:t>
      </w:r>
      <w:r w:rsidR="002E1276" w:rsidRPr="00C015D1">
        <w:t xml:space="preserve">generation </w:t>
      </w:r>
      <w:r w:rsidR="002E1276">
        <w:t xml:space="preserve">in New York City </w:t>
      </w:r>
      <w:r w:rsidR="002E1276" w:rsidRPr="00C015D1">
        <w:t xml:space="preserve">affected by the </w:t>
      </w:r>
      <w:r w:rsidR="002E1276">
        <w:t>“</w:t>
      </w:r>
      <w:r w:rsidR="002E1276" w:rsidRPr="00C015D1">
        <w:t>Peaker Rule</w:t>
      </w:r>
      <w:r w:rsidR="002E1276">
        <w:t>.”</w:t>
      </w:r>
      <w:r w:rsidR="002E1276" w:rsidRPr="00C015D1">
        <w:t xml:space="preserve"> </w:t>
      </w:r>
    </w:p>
    <w:p w14:paraId="0DA94900" w14:textId="64A674A0" w:rsidR="00F3136F" w:rsidRPr="006B3D8C" w:rsidRDefault="00F3136F">
      <w:pPr>
        <w:pStyle w:val="BodyText"/>
      </w:pPr>
      <w:r>
        <w:t xml:space="preserve">In 2019, the New York State </w:t>
      </w:r>
      <w:r w:rsidRPr="00031101">
        <w:t>Department of Environmental Conservation adopted a regulation to limit nitrogen oxides (NOx) emissions from simple-cycle combustion turbines (referred to as the “</w:t>
      </w:r>
      <w:r>
        <w:t>Peaker Rule</w:t>
      </w:r>
      <w:r>
        <w:rPr>
          <w:rStyle w:val="FootnoteReference"/>
        </w:rPr>
        <w:footnoteReference w:id="3"/>
      </w:r>
      <w:r w:rsidRPr="00031101">
        <w:t>”)</w:t>
      </w:r>
      <w:r>
        <w:t xml:space="preserve">. Combustion turbines known as </w:t>
      </w:r>
      <w:r w:rsidRPr="00D21287">
        <w:t>“</w:t>
      </w:r>
      <w:proofErr w:type="spellStart"/>
      <w:r>
        <w:t>p</w:t>
      </w:r>
      <w:r w:rsidRPr="00D21287">
        <w:t>eakers</w:t>
      </w:r>
      <w:proofErr w:type="spellEnd"/>
      <w:r w:rsidRPr="00D21287">
        <w:t xml:space="preserve">” typically operate to maintain bulk power system reliability during the most stressful </w:t>
      </w:r>
      <w:r>
        <w:t xml:space="preserve">operating </w:t>
      </w:r>
      <w:r w:rsidRPr="00D21287">
        <w:t xml:space="preserve">conditions, such as periods of </w:t>
      </w:r>
      <w:r>
        <w:t xml:space="preserve">peak electricity </w:t>
      </w:r>
      <w:r w:rsidRPr="00D21287">
        <w:t>demand</w:t>
      </w:r>
      <w:r>
        <w:t xml:space="preserve">. </w:t>
      </w:r>
      <w:r w:rsidRPr="00D21287">
        <w:t>Many of these units also maintain transmission security</w:t>
      </w:r>
      <w:r>
        <w:t xml:space="preserve"> by supplying energy with</w:t>
      </w:r>
      <w:r w:rsidRPr="00D21287">
        <w:t xml:space="preserve">in certain </w:t>
      </w:r>
      <w:r>
        <w:t>constrained areas</w:t>
      </w:r>
      <w:r w:rsidRPr="00D21287">
        <w:t xml:space="preserve"> of New York City and Long Island — known as load pockets</w:t>
      </w:r>
      <w:r>
        <w:t xml:space="preserve">. The Peaker Rule, which phases in compliance obligations between 2023 and 2025, will impact turbines located mainly in the lower Hudson Valley, New York City, and Long Island. </w:t>
      </w:r>
      <w:r w:rsidRPr="00031101">
        <w:t>The Peaker Rule required all impacted plant owners to file compliance plans by March 2, 2020</w:t>
      </w:r>
      <w:r>
        <w:t xml:space="preserve">. The </w:t>
      </w:r>
      <w:r>
        <w:lastRenderedPageBreak/>
        <w:t xml:space="preserve">plans </w:t>
      </w:r>
      <w:r w:rsidR="00C940BA">
        <w:t xml:space="preserve">filed in 2020 </w:t>
      </w:r>
      <w:r>
        <w:t xml:space="preserve">indicate approximately 1,500 MW of </w:t>
      </w:r>
      <w:proofErr w:type="spellStart"/>
      <w:r>
        <w:t>peaker</w:t>
      </w:r>
      <w:proofErr w:type="spellEnd"/>
      <w:r>
        <w:t xml:space="preserve"> capability would be unavailable during the summer by 2025 to comply with the emissions requirements. </w:t>
      </w:r>
      <w:r w:rsidR="00D0632C">
        <w:t xml:space="preserve"> </w:t>
      </w:r>
      <w:r>
        <w:t>A subset of those generators would be unavailable starting in 2023.</w:t>
      </w:r>
    </w:p>
    <w:p w14:paraId="66866D51" w14:textId="0AAEF56A" w:rsidR="007A2EB8" w:rsidRDefault="007A2EB8" w:rsidP="007A2EB8">
      <w:pPr>
        <w:pStyle w:val="BodyText"/>
      </w:pPr>
      <w:r>
        <w:t>The 2020 RNA also discussed the coronavirus outbreak and its significant impact on New York’s economy due to reductions in commercial and industrial activity as New Yorkers adjust</w:t>
      </w:r>
      <w:r w:rsidR="00AA6139">
        <w:t>ed</w:t>
      </w:r>
      <w:r>
        <w:t xml:space="preserve"> their lives by working from home and limiting social interaction.  Due to the rapidly evolving nature of the pandemic, the demand forecasts utilized in the study reflected the NYISO’s perspective as of April 2020.  The sudden departure from historical behavioral patterns caused by New York’s response to COVID-19 is unprecedented and creates unique challenges to forecasting the state’s energy needs.  As the situation evolves and more data becomes available, the NYISO will continue to monitor these forecasts and adjust course accordingly.  As further described in the “Next Steps” section of the 2020 RNA, and also below, f</w:t>
      </w:r>
      <w:r w:rsidRPr="00C015D1">
        <w:t xml:space="preserve">ollowing </w:t>
      </w:r>
      <w:r>
        <w:t xml:space="preserve">approval of the RNA by the </w:t>
      </w:r>
      <w:r w:rsidRPr="00C015D1">
        <w:t>Board</w:t>
      </w:r>
      <w:r>
        <w:t xml:space="preserve"> and prior to any solicitation of solutions, the NYISO considered updates to the peak load forecasts and determined to what extent the forecasts impact</w:t>
      </w:r>
      <w:r w:rsidR="00AA6139">
        <w:t>ed</w:t>
      </w:r>
      <w:r>
        <w:t xml:space="preserve"> any identified system needs. </w:t>
      </w:r>
    </w:p>
    <w:p w14:paraId="6B57CC7D" w14:textId="2E158246" w:rsidR="007A2EB8" w:rsidRDefault="007A2EB8" w:rsidP="002E1276">
      <w:pPr>
        <w:pStyle w:val="BodyText"/>
      </w:pPr>
      <w:r>
        <w:t xml:space="preserve">A summary of the 2020 RNA Base Case findings </w:t>
      </w:r>
      <w:proofErr w:type="gramStart"/>
      <w:r>
        <w:t>are</w:t>
      </w:r>
      <w:proofErr w:type="gramEnd"/>
      <w:r>
        <w:t xml:space="preserve"> below:</w:t>
      </w:r>
    </w:p>
    <w:p w14:paraId="2CB8D56E" w14:textId="2ACCF374" w:rsidR="007A2EB8" w:rsidRPr="00C37A43" w:rsidRDefault="008550B5" w:rsidP="005A11DF">
      <w:pPr>
        <w:pStyle w:val="BodyText"/>
        <w:numPr>
          <w:ilvl w:val="0"/>
          <w:numId w:val="12"/>
        </w:numPr>
        <w:jc w:val="left"/>
      </w:pPr>
      <w:r>
        <w:t>D</w:t>
      </w:r>
      <w:r w:rsidR="007A2EB8" w:rsidRPr="00C37A43">
        <w:t xml:space="preserve">ynamic stability Reliability Needs </w:t>
      </w:r>
      <w:r w:rsidR="00AA6139">
        <w:t>were</w:t>
      </w:r>
      <w:r w:rsidR="007A2EB8" w:rsidRPr="00C37A43">
        <w:t xml:space="preserve"> observed for the entire Study Period. Following the initial phase of the Peaker Rule in 2023, instability of the grid may </w:t>
      </w:r>
      <w:r w:rsidR="00F3136F">
        <w:t xml:space="preserve">have </w:t>
      </w:r>
      <w:r w:rsidR="007A2EB8" w:rsidRPr="00C37A43">
        <w:t>occur</w:t>
      </w:r>
      <w:r w:rsidR="00F3136F">
        <w:t>red</w:t>
      </w:r>
      <w:r w:rsidR="007A2EB8" w:rsidRPr="00C37A43">
        <w:t xml:space="preserve"> due to a lack of dynamic reactive power capability and inertia available to parts of the New York City grid. The criteria violations include</w:t>
      </w:r>
      <w:r w:rsidR="00AA6139">
        <w:t>d</w:t>
      </w:r>
      <w:r w:rsidR="007A2EB8" w:rsidRPr="00C37A43">
        <w:t xml:space="preserve"> transient voltage response violations, loss of generator synchronism, and undamped voltage oscillations.    </w:t>
      </w:r>
    </w:p>
    <w:p w14:paraId="49E09C6D" w14:textId="2FE3EA1A" w:rsidR="007A2EB8" w:rsidRPr="00C37A43" w:rsidRDefault="007A2EB8" w:rsidP="005A11DF">
      <w:pPr>
        <w:pStyle w:val="BodyText"/>
        <w:numPr>
          <w:ilvl w:val="0"/>
          <w:numId w:val="12"/>
        </w:numPr>
        <w:jc w:val="left"/>
      </w:pPr>
      <w:r w:rsidRPr="00C37A43">
        <w:t xml:space="preserve">With full implementation of the Peaker Rule in 2025, several 345 kV circuits in the Con Edison service territory would </w:t>
      </w:r>
      <w:r w:rsidR="00F3136F">
        <w:t xml:space="preserve">have </w:t>
      </w:r>
      <w:r w:rsidRPr="00C37A43">
        <w:t>be</w:t>
      </w:r>
      <w:r w:rsidR="00F3136F">
        <w:t>en</w:t>
      </w:r>
      <w:r w:rsidRPr="00C37A43">
        <w:t xml:space="preserve"> overloaded</w:t>
      </w:r>
      <w:r w:rsidR="00EF7134">
        <w:t>,</w:t>
      </w:r>
      <w:r w:rsidRPr="00C37A43">
        <w:t xml:space="preserve"> </w:t>
      </w:r>
      <w:r w:rsidR="008550B5">
        <w:t xml:space="preserve">resulting in Reliability Needs </w:t>
      </w:r>
      <w:r w:rsidRPr="00C37A43">
        <w:t xml:space="preserve">equating to a deficiency of 700 MW and increasing to 1,075 MW by 2030. The duration of the deficiency ranges from nine hours in 2025 (3,853 MWh) to 12 hours in 2030 (7,672 MWh).  </w:t>
      </w:r>
    </w:p>
    <w:p w14:paraId="48DDD5AB" w14:textId="234465B6" w:rsidR="007A2EB8" w:rsidRDefault="007A2EB8" w:rsidP="005A11DF">
      <w:pPr>
        <w:pStyle w:val="BodyText"/>
        <w:numPr>
          <w:ilvl w:val="0"/>
          <w:numId w:val="12"/>
        </w:numPr>
        <w:jc w:val="left"/>
      </w:pPr>
      <w:r>
        <w:t xml:space="preserve">Similar transmission deficiencies would </w:t>
      </w:r>
      <w:r w:rsidR="00F3136F">
        <w:t xml:space="preserve">have </w:t>
      </w:r>
      <w:r>
        <w:t>also occur</w:t>
      </w:r>
      <w:r w:rsidR="00F3136F">
        <w:t>red</w:t>
      </w:r>
      <w:r>
        <w:t xml:space="preserve"> within pockets of Con Edison’s no</w:t>
      </w:r>
      <w:r w:rsidR="00296A95">
        <w:t>n</w:t>
      </w:r>
      <w:r>
        <w:t>-bulk system (138 kV) ranging in duration from 10 to 14 hours.</w:t>
      </w:r>
    </w:p>
    <w:p w14:paraId="015AD352" w14:textId="3AA44386" w:rsidR="007A2EB8" w:rsidRDefault="007A2EB8" w:rsidP="005A11DF">
      <w:pPr>
        <w:pStyle w:val="BodyText"/>
        <w:numPr>
          <w:ilvl w:val="0"/>
          <w:numId w:val="12"/>
        </w:numPr>
        <w:jc w:val="left"/>
      </w:pPr>
      <w:r w:rsidRPr="00CE3D39">
        <w:t xml:space="preserve">The </w:t>
      </w:r>
      <w:r w:rsidR="00296A95">
        <w:t xml:space="preserve">studied </w:t>
      </w:r>
      <w:r>
        <w:t>system exceed</w:t>
      </w:r>
      <w:r w:rsidR="008829B2">
        <w:t>ed</w:t>
      </w:r>
      <w:r>
        <w:t xml:space="preserve"> the </w:t>
      </w:r>
      <w:r w:rsidRPr="00CE3D39">
        <w:t xml:space="preserve">LOLE criterion of </w:t>
      </w:r>
      <w:r>
        <w:t>one</w:t>
      </w:r>
      <w:r w:rsidRPr="00CE3D39">
        <w:t xml:space="preserve"> day in 10 years, or 0.1 days per year, starting</w:t>
      </w:r>
      <w:r>
        <w:t xml:space="preserve"> in</w:t>
      </w:r>
      <w:r w:rsidRPr="00CE3D39">
        <w:t xml:space="preserve"> 202</w:t>
      </w:r>
      <w:r>
        <w:t>7, and increasing through 2030</w:t>
      </w:r>
      <w:r w:rsidR="00046C3B">
        <w:t xml:space="preserve"> resulting in a Reliability Need with a compensatory MW amount of 350</w:t>
      </w:r>
      <w:r w:rsidR="008829B2">
        <w:t xml:space="preserve"> </w:t>
      </w:r>
      <w:r w:rsidR="00046C3B">
        <w:t xml:space="preserve">MW in </w:t>
      </w:r>
      <w:r w:rsidR="00C940BA">
        <w:t>2030</w:t>
      </w:r>
      <w:r w:rsidR="00046C3B">
        <w:t>.</w:t>
      </w:r>
      <w:r>
        <w:t xml:space="preserve"> </w:t>
      </w:r>
    </w:p>
    <w:p w14:paraId="3BD5AB72" w14:textId="68FACDE1" w:rsidR="00727C90" w:rsidRPr="00D616E2" w:rsidRDefault="00727C90" w:rsidP="00727C90">
      <w:pPr>
        <w:pStyle w:val="Heading2"/>
      </w:pPr>
      <w:bookmarkStart w:id="12" w:name="_Toc80032251"/>
      <w:bookmarkStart w:id="13" w:name="_Toc80191640"/>
      <w:bookmarkStart w:id="14" w:name="_Toc81138676"/>
      <w:r>
        <w:t>Short-Term Reliability Process</w:t>
      </w:r>
      <w:bookmarkEnd w:id="12"/>
      <w:bookmarkEnd w:id="13"/>
      <w:bookmarkEnd w:id="14"/>
    </w:p>
    <w:p w14:paraId="31D9316C" w14:textId="2CA9AD78" w:rsidR="00A92BCE" w:rsidRDefault="00A92BCE" w:rsidP="00A92BCE">
      <w:pPr>
        <w:pStyle w:val="BodyText"/>
      </w:pPr>
      <w:r w:rsidRPr="00D8705F">
        <w:t xml:space="preserve">In </w:t>
      </w:r>
      <w:r>
        <w:t xml:space="preserve">parallel with the RNA and </w:t>
      </w:r>
      <w:r w:rsidR="00193185">
        <w:t>CRP</w:t>
      </w:r>
      <w:r>
        <w:t xml:space="preserve"> process</w:t>
      </w:r>
      <w:r w:rsidR="00EF7134">
        <w:t>,</w:t>
      </w:r>
      <w:r>
        <w:t xml:space="preserve"> </w:t>
      </w:r>
      <w:r w:rsidR="00B70F09">
        <w:t>the NYISO has implemented a new</w:t>
      </w:r>
      <w:r w:rsidRPr="00D8705F">
        <w:t xml:space="preserve"> </w:t>
      </w:r>
      <w:r>
        <w:t>quarterly Short-Term Reliability Process (“STRP”)</w:t>
      </w:r>
      <w:r w:rsidR="00B70F09">
        <w:t>,</w:t>
      </w:r>
      <w:r w:rsidRPr="00D8705F">
        <w:t xml:space="preserve"> with its requirements prescribed in Attachments Y and FF of the NYISO’s </w:t>
      </w:r>
      <w:r>
        <w:t xml:space="preserve">Open </w:t>
      </w:r>
      <w:r>
        <w:lastRenderedPageBreak/>
        <w:t>Access Transmission Tariff</w:t>
      </w:r>
      <w:r w:rsidRPr="00D8705F">
        <w:t xml:space="preserve">.  </w:t>
      </w:r>
      <w:r>
        <w:t>T</w:t>
      </w:r>
      <w:r w:rsidRPr="00D8705F">
        <w:t xml:space="preserve">he STRP evaluates </w:t>
      </w:r>
      <w:r>
        <w:t>the first five years of the planning horizon</w:t>
      </w:r>
      <w:r w:rsidRPr="00D8705F">
        <w:t xml:space="preserve">, with a focus on </w:t>
      </w:r>
      <w:r>
        <w:t>needs</w:t>
      </w:r>
      <w:r w:rsidRPr="00D8705F">
        <w:t xml:space="preserve"> arising in </w:t>
      </w:r>
      <w:r>
        <w:t xml:space="preserve">the first three years of the study period.  </w:t>
      </w:r>
      <w:r w:rsidRPr="00D8705F">
        <w:t xml:space="preserve">With this process in place, the </w:t>
      </w:r>
      <w:r>
        <w:t xml:space="preserve">biennial </w:t>
      </w:r>
      <w:r w:rsidRPr="00D8705F">
        <w:t xml:space="preserve">Reliability Planning Process </w:t>
      </w:r>
      <w:r>
        <w:t>focuses on solutions to longer term needs through the Reliability Needs Assessment (“RNA”) and the Comprehensive Reliability Plan (“CRP”)</w:t>
      </w:r>
      <w:r w:rsidRPr="00D8705F">
        <w:t xml:space="preserve">.  </w:t>
      </w:r>
    </w:p>
    <w:p w14:paraId="324C2EA3" w14:textId="7449B7A6" w:rsidR="00A92BCE" w:rsidRDefault="00A92BCE" w:rsidP="00A92BCE">
      <w:pPr>
        <w:pStyle w:val="BodyText"/>
        <w:jc w:val="left"/>
      </w:pPr>
      <w:r>
        <w:t>The first step in the STRP is the Short-Term Assessment of Reliability (“STAR”).  STARs are performed quarterly to proactively address reliability needs that may arise within five years (“Short-Term Reliability Needs”)</w:t>
      </w:r>
      <w:r>
        <w:rPr>
          <w:rStyle w:val="FootnoteReference"/>
        </w:rPr>
        <w:footnoteReference w:id="4"/>
      </w:r>
      <w:r>
        <w:t xml:space="preserve"> due to various changes to the grid such as generator deactivations, revised transmission plans, and updated load forecasts.  Transmission Owners also assess the impact of generator deactivations on their local systems.  A Short-Term Reliability Need that is observed within the first three years of the study period constitutes a “Near-Term Reliability Need.”</w:t>
      </w:r>
      <w:r>
        <w:rPr>
          <w:rStyle w:val="FootnoteReference"/>
        </w:rPr>
        <w:footnoteReference w:id="5"/>
      </w:r>
      <w:r>
        <w:t xml:space="preserve">  Should a Near-Term Reliability Need be identified in a STAR, the NYISO solicits and selects the solution to address the need.  If a need arises beyond the first three years of the study period, the NYISO may choose to address the need within the STRP or, if time permits, through the long-term Reliability Planning Process.</w:t>
      </w:r>
    </w:p>
    <w:p w14:paraId="7F1C3AD5" w14:textId="068E491F" w:rsidR="00A92BCE" w:rsidRDefault="0064483F" w:rsidP="00571CB8">
      <w:pPr>
        <w:pStyle w:val="BodyText"/>
        <w:jc w:val="left"/>
      </w:pPr>
      <w:r w:rsidRPr="00880ADE">
        <w:t>The 2020 Quarter 3 STAR</w:t>
      </w:r>
      <w:r>
        <w:rPr>
          <w:rStyle w:val="FootnoteReference"/>
        </w:rPr>
        <w:footnoteReference w:id="6"/>
      </w:r>
      <w:r w:rsidRPr="00880ADE">
        <w:t xml:space="preserve"> found Short-Term Reliability Needs on the Bulk Power Transmission Facilities (“BPTF”) starting in 2023 and increasing in scope and scale through 2025</w:t>
      </w:r>
      <w:r w:rsidRPr="00931D71">
        <w:t xml:space="preserve">.  </w:t>
      </w:r>
      <w:r>
        <w:t>Through the STRP</w:t>
      </w:r>
      <w:r w:rsidR="00EF7134">
        <w:t>,</w:t>
      </w:r>
      <w:r>
        <w:t xml:space="preserve"> the NYISO addressed the </w:t>
      </w:r>
      <w:r w:rsidR="00EF7134">
        <w:t>Near-Term Reliability N</w:t>
      </w:r>
      <w:r>
        <w:t xml:space="preserve">eeds arising in </w:t>
      </w:r>
      <w:proofErr w:type="gramStart"/>
      <w:r>
        <w:t>2023</w:t>
      </w:r>
      <w:r w:rsidR="00EF7134">
        <w:t>,</w:t>
      </w:r>
      <w:r>
        <w:t xml:space="preserve">  with</w:t>
      </w:r>
      <w:proofErr w:type="gramEnd"/>
      <w:r>
        <w:t xml:space="preserve"> the needs arising in 2024 and 2025 being addressed through the Reliability Planning Process.  On December 3, 2020, the NYISO issued a solution solicitation requesting the submission of proposed STRP Solutions to address </w:t>
      </w:r>
      <w:r w:rsidR="00EF7134">
        <w:t xml:space="preserve">the </w:t>
      </w:r>
      <w:r>
        <w:t>2023 needs.</w:t>
      </w:r>
    </w:p>
    <w:p w14:paraId="0663FB5B" w14:textId="7DBAFE76" w:rsidR="00727C90" w:rsidRPr="00D616E2" w:rsidRDefault="00727C90" w:rsidP="00727C90">
      <w:pPr>
        <w:pStyle w:val="Heading2"/>
      </w:pPr>
      <w:bookmarkStart w:id="15" w:name="_Toc80032252"/>
      <w:bookmarkStart w:id="16" w:name="_Toc80191641"/>
      <w:bookmarkStart w:id="17" w:name="_Toc81138677"/>
      <w:r>
        <w:t>Post-RNA Updates</w:t>
      </w:r>
      <w:bookmarkEnd w:id="15"/>
      <w:bookmarkEnd w:id="16"/>
      <w:bookmarkEnd w:id="17"/>
    </w:p>
    <w:p w14:paraId="1433B09E" w14:textId="1489F735" w:rsidR="007B7643" w:rsidRPr="00FB791B" w:rsidRDefault="009628BF" w:rsidP="00571CB8">
      <w:pPr>
        <w:pStyle w:val="BodyText"/>
        <w:jc w:val="left"/>
      </w:pPr>
      <w:r>
        <w:t xml:space="preserve">After the </w:t>
      </w:r>
      <w:r w:rsidR="009E1B5A">
        <w:t xml:space="preserve">2020 </w:t>
      </w:r>
      <w:r>
        <w:t xml:space="preserve">RNA </w:t>
      </w:r>
      <w:r w:rsidR="008829B2">
        <w:t>wa</w:t>
      </w:r>
      <w:r>
        <w:t xml:space="preserve">s approved and before a solicitation for solutions, </w:t>
      </w:r>
      <w:r w:rsidR="00254039">
        <w:t xml:space="preserve">the process </w:t>
      </w:r>
      <w:r w:rsidR="008829B2">
        <w:t>considered</w:t>
      </w:r>
      <w:r w:rsidR="00254039">
        <w:t xml:space="preserve"> subsequent base case updates </w:t>
      </w:r>
      <w:r>
        <w:t xml:space="preserve">that met the </w:t>
      </w:r>
      <w:r w:rsidR="00254039">
        <w:t xml:space="preserve">inclusion rules. The </w:t>
      </w:r>
      <w:r>
        <w:t xml:space="preserve">following </w:t>
      </w:r>
      <w:r w:rsidR="00254039">
        <w:t xml:space="preserve">updates </w:t>
      </w:r>
      <w:r>
        <w:t>were made</w:t>
      </w:r>
      <w:r w:rsidR="00254039">
        <w:t>:</w:t>
      </w:r>
    </w:p>
    <w:p w14:paraId="04FBE21B" w14:textId="4A97748E" w:rsidR="00E03438" w:rsidRPr="00F73A27" w:rsidRDefault="00254039" w:rsidP="00880E07">
      <w:pPr>
        <w:pStyle w:val="BodyText"/>
        <w:numPr>
          <w:ilvl w:val="0"/>
          <w:numId w:val="8"/>
        </w:numPr>
      </w:pPr>
      <w:r w:rsidRPr="00F73A27">
        <w:t xml:space="preserve">NYISO’s </w:t>
      </w:r>
      <w:r w:rsidR="00E03438" w:rsidRPr="00F73A27">
        <w:t>load forecast update</w:t>
      </w:r>
      <w:r w:rsidR="00F3495D" w:rsidRPr="00F3495D">
        <w:t xml:space="preserve"> </w:t>
      </w:r>
      <w:r w:rsidR="00F3495D">
        <w:t>to account for the expected impact of COVID-19 and the associated economic and societal effects</w:t>
      </w:r>
      <w:r w:rsidR="00E03438" w:rsidRPr="00F73A27">
        <w:t xml:space="preserve">, as presented at the November 19, 2020 ESPWG/TPAS/LFTF meeting </w:t>
      </w:r>
      <w:r w:rsidR="00E03438" w:rsidRPr="00E03438">
        <w:t>[</w:t>
      </w:r>
      <w:hyperlink r:id="rId18" w:history="1">
        <w:r w:rsidR="00E03438" w:rsidRPr="009628BF">
          <w:t>link</w:t>
        </w:r>
      </w:hyperlink>
      <w:r w:rsidR="00E03438" w:rsidRPr="00E03438">
        <w:t>]</w:t>
      </w:r>
    </w:p>
    <w:p w14:paraId="4E1DCC06" w14:textId="08190A08" w:rsidR="00E03438" w:rsidRPr="00E03438" w:rsidRDefault="00EC4A55" w:rsidP="00880E07">
      <w:pPr>
        <w:pStyle w:val="BodyText"/>
        <w:numPr>
          <w:ilvl w:val="1"/>
          <w:numId w:val="8"/>
        </w:numPr>
        <w:spacing w:line="276" w:lineRule="auto"/>
      </w:pPr>
      <w:r>
        <w:t>For example</w:t>
      </w:r>
      <w:r w:rsidR="00E03438" w:rsidRPr="00E03438">
        <w:t xml:space="preserve">, </w:t>
      </w:r>
      <w:r>
        <w:t xml:space="preserve">the </w:t>
      </w:r>
      <w:r w:rsidR="00E03438" w:rsidRPr="00E03438">
        <w:t>Zone J peak load forecast decreased by 392 MW in 2030</w:t>
      </w:r>
    </w:p>
    <w:p w14:paraId="6828CE14" w14:textId="15A587A9" w:rsidR="00E03438" w:rsidRPr="00F73A27" w:rsidRDefault="00C84976" w:rsidP="00880E07">
      <w:pPr>
        <w:pStyle w:val="BodyText"/>
        <w:numPr>
          <w:ilvl w:val="0"/>
          <w:numId w:val="8"/>
        </w:numPr>
      </w:pPr>
      <w:r>
        <w:t xml:space="preserve">Local Transmission Owner </w:t>
      </w:r>
      <w:r w:rsidR="00E03438" w:rsidRPr="00F73A27">
        <w:t>P</w:t>
      </w:r>
      <w:r w:rsidR="00254039" w:rsidRPr="00F73A27">
        <w:t xml:space="preserve">lans (LTPs) </w:t>
      </w:r>
      <w:r w:rsidR="00E03438" w:rsidRPr="00F73A27">
        <w:t xml:space="preserve">updates as presented by Con Edison at the January 25, </w:t>
      </w:r>
      <w:proofErr w:type="gramStart"/>
      <w:r w:rsidR="00E03438" w:rsidRPr="00F73A27">
        <w:t>2021</w:t>
      </w:r>
      <w:proofErr w:type="gramEnd"/>
      <w:r w:rsidR="00E03438" w:rsidRPr="00F73A27">
        <w:t xml:space="preserve"> ESPWG/TPAS </w:t>
      </w:r>
      <w:r w:rsidR="00E03438" w:rsidRPr="00E03438">
        <w:t>[</w:t>
      </w:r>
      <w:hyperlink r:id="rId19" w:history="1">
        <w:r w:rsidR="00E03438" w:rsidRPr="009628BF">
          <w:t>link</w:t>
        </w:r>
      </w:hyperlink>
      <w:r w:rsidR="00E03438" w:rsidRPr="00E03438">
        <w:t>]:</w:t>
      </w:r>
    </w:p>
    <w:p w14:paraId="0076D58C" w14:textId="0DAB600D" w:rsidR="00E03438" w:rsidRPr="00E03438" w:rsidRDefault="00E03438" w:rsidP="00880E07">
      <w:pPr>
        <w:pStyle w:val="BodyText"/>
        <w:numPr>
          <w:ilvl w:val="1"/>
          <w:numId w:val="8"/>
        </w:numPr>
        <w:spacing w:line="276" w:lineRule="auto"/>
      </w:pPr>
      <w:r w:rsidRPr="00E03438">
        <w:lastRenderedPageBreak/>
        <w:t>A new 345/138 kV PAR controlled 138 kV Rainey – Corona feeder</w:t>
      </w:r>
      <w:r w:rsidR="003A13FB">
        <w:t xml:space="preserve"> (ISD 2023)</w:t>
      </w:r>
    </w:p>
    <w:p w14:paraId="69EB0E22" w14:textId="202CA9A2" w:rsidR="00E03438" w:rsidRPr="00E03438" w:rsidRDefault="00E03438" w:rsidP="00880E07">
      <w:pPr>
        <w:pStyle w:val="BodyText"/>
        <w:numPr>
          <w:ilvl w:val="1"/>
          <w:numId w:val="8"/>
        </w:numPr>
        <w:spacing w:line="276" w:lineRule="auto"/>
      </w:pPr>
      <w:r w:rsidRPr="00E03438">
        <w:t>A new 345/138 kV PAR controlled 138 kV Gowanus – Greenwood feeder</w:t>
      </w:r>
      <w:r w:rsidR="003A13FB">
        <w:t xml:space="preserve"> (ISD 2025)</w:t>
      </w:r>
    </w:p>
    <w:p w14:paraId="798A29FB" w14:textId="615AA36D" w:rsidR="00E03438" w:rsidRPr="00E03438" w:rsidRDefault="00E03438" w:rsidP="00880E07">
      <w:pPr>
        <w:pStyle w:val="BodyText"/>
        <w:numPr>
          <w:ilvl w:val="1"/>
          <w:numId w:val="8"/>
        </w:numPr>
        <w:spacing w:line="276" w:lineRule="auto"/>
      </w:pPr>
      <w:r w:rsidRPr="00E03438">
        <w:t>A new 345/138 kV PAR controlled 138 kV Goethals – Fox Hills feeder</w:t>
      </w:r>
      <w:r w:rsidR="003A13FB">
        <w:t xml:space="preserve"> (ISD 2025)</w:t>
      </w:r>
    </w:p>
    <w:p w14:paraId="04948167" w14:textId="1B97ED7A" w:rsidR="00E03438" w:rsidRPr="00F73A27" w:rsidRDefault="00254039" w:rsidP="00880E07">
      <w:pPr>
        <w:pStyle w:val="BodyText"/>
        <w:numPr>
          <w:ilvl w:val="0"/>
          <w:numId w:val="8"/>
        </w:numPr>
      </w:pPr>
      <w:r w:rsidRPr="00F73A27">
        <w:t xml:space="preserve">Short Term Reliability </w:t>
      </w:r>
      <w:r w:rsidR="00380512">
        <w:t>Process</w:t>
      </w:r>
      <w:r w:rsidR="00380512" w:rsidRPr="00F73A27">
        <w:t xml:space="preserve"> </w:t>
      </w:r>
      <w:r w:rsidRPr="00F73A27">
        <w:t xml:space="preserve">solution </w:t>
      </w:r>
      <w:r w:rsidR="00E03438" w:rsidRPr="00F73A27">
        <w:t>for addressing the 2023 short-term need</w:t>
      </w:r>
      <w:r w:rsidR="00A962E4">
        <w:t xml:space="preserve"> identified in the Q3 STAR</w:t>
      </w:r>
      <w:r w:rsidR="00E03438" w:rsidRPr="00F73A27">
        <w:t xml:space="preserve"> [</w:t>
      </w:r>
      <w:hyperlink r:id="rId20" w:history="1">
        <w:r w:rsidR="00E03438" w:rsidRPr="009628BF">
          <w:t>link</w:t>
        </w:r>
      </w:hyperlink>
      <w:r w:rsidR="00E03438" w:rsidRPr="00F73A27">
        <w:t>]</w:t>
      </w:r>
      <w:r w:rsidR="00E836CA" w:rsidRPr="00F73A27">
        <w:t xml:space="preserve">.  The solution </w:t>
      </w:r>
      <w:r w:rsidR="008829B2">
        <w:t>changed</w:t>
      </w:r>
      <w:r w:rsidRPr="00F73A27">
        <w:t xml:space="preserve"> the planned operating status of existing series r</w:t>
      </w:r>
      <w:r w:rsidR="00E03438" w:rsidRPr="00F73A27">
        <w:t xml:space="preserve">eactors, starting summer 2023 through 2030: </w:t>
      </w:r>
    </w:p>
    <w:p w14:paraId="50350104" w14:textId="43A25D34" w:rsidR="00E03438" w:rsidRPr="00E03438" w:rsidRDefault="00254039" w:rsidP="00880E07">
      <w:pPr>
        <w:pStyle w:val="BodyText"/>
        <w:numPr>
          <w:ilvl w:val="2"/>
          <w:numId w:val="8"/>
        </w:numPr>
        <w:spacing w:line="276" w:lineRule="auto"/>
      </w:pPr>
      <w:r>
        <w:t>I</w:t>
      </w:r>
      <w:r w:rsidR="00E03438" w:rsidRPr="00E03438">
        <w:t>n</w:t>
      </w:r>
      <w:r>
        <w:t>-service: series reactors</w:t>
      </w:r>
      <w:r w:rsidR="00E03438" w:rsidRPr="00E03438">
        <w:t xml:space="preserve"> on the following 345 kV cables: 71, 72, M51, M52</w:t>
      </w:r>
    </w:p>
    <w:p w14:paraId="1C74E3ED" w14:textId="7AF3ACFC" w:rsidR="00E03438" w:rsidRDefault="00254039" w:rsidP="00880E07">
      <w:pPr>
        <w:pStyle w:val="BodyText"/>
        <w:numPr>
          <w:ilvl w:val="2"/>
          <w:numId w:val="8"/>
        </w:numPr>
        <w:spacing w:line="276" w:lineRule="auto"/>
      </w:pPr>
      <w:r>
        <w:t>Bypass:</w:t>
      </w:r>
      <w:r w:rsidR="00E03438" w:rsidRPr="00E03438">
        <w:t xml:space="preserve"> </w:t>
      </w:r>
      <w:r>
        <w:t>series reactors</w:t>
      </w:r>
      <w:r w:rsidR="00E03438" w:rsidRPr="00E03438">
        <w:t xml:space="preserve"> on the following 345 kV cables</w:t>
      </w:r>
      <w:r w:rsidR="00DE30BE">
        <w:rPr>
          <w:rStyle w:val="FootnoteReference"/>
        </w:rPr>
        <w:footnoteReference w:id="7"/>
      </w:r>
      <w:r w:rsidR="00E03438" w:rsidRPr="00E03438">
        <w:t>: 41, 42, Y49</w:t>
      </w:r>
    </w:p>
    <w:p w14:paraId="4C0F0A40" w14:textId="6EEE363F" w:rsidR="00B21403" w:rsidRDefault="00F714BB" w:rsidP="00942260">
      <w:pPr>
        <w:pStyle w:val="BodyText"/>
        <w:numPr>
          <w:ilvl w:val="0"/>
          <w:numId w:val="8"/>
        </w:numPr>
      </w:pPr>
      <w:r w:rsidRPr="009628BF">
        <w:t>T</w:t>
      </w:r>
      <w:r w:rsidR="0086204B" w:rsidRPr="009628BF">
        <w:t xml:space="preserve">he transient voltage response issues </w:t>
      </w:r>
      <w:r w:rsidR="00F73A27" w:rsidRPr="009628BF">
        <w:t>were</w:t>
      </w:r>
      <w:r w:rsidR="0086204B" w:rsidRPr="009628BF">
        <w:t xml:space="preserve"> observed on Con Edison’s non-BPT</w:t>
      </w:r>
      <w:r w:rsidRPr="009628BF">
        <w:t xml:space="preserve">F system </w:t>
      </w:r>
      <w:r w:rsidR="008829B2">
        <w:t>during</w:t>
      </w:r>
      <w:r w:rsidRPr="009628BF">
        <w:t xml:space="preserve"> 2025 through 2030</w:t>
      </w:r>
      <w:r w:rsidR="00A959A7" w:rsidRPr="009628BF">
        <w:t>, while the BPTF</w:t>
      </w:r>
      <w:r w:rsidR="001A328F" w:rsidRPr="009628BF">
        <w:t xml:space="preserve"> violations</w:t>
      </w:r>
      <w:r w:rsidR="00A959A7" w:rsidRPr="009628BF">
        <w:t xml:space="preserve"> </w:t>
      </w:r>
      <w:r w:rsidR="008829B2">
        <w:t>were</w:t>
      </w:r>
      <w:r w:rsidR="001A328F" w:rsidRPr="009628BF">
        <w:t xml:space="preserve"> observed</w:t>
      </w:r>
      <w:r w:rsidR="00A959A7" w:rsidRPr="009628BF">
        <w:t xml:space="preserve"> </w:t>
      </w:r>
      <w:r w:rsidR="008829B2">
        <w:t>starting in</w:t>
      </w:r>
      <w:r w:rsidR="008829B2" w:rsidRPr="009628BF">
        <w:t xml:space="preserve"> </w:t>
      </w:r>
      <w:r w:rsidR="00A959A7" w:rsidRPr="009628BF">
        <w:t>2029.</w:t>
      </w:r>
      <w:r w:rsidRPr="009628BF">
        <w:t xml:space="preserve"> </w:t>
      </w:r>
      <w:r w:rsidR="00D0632C">
        <w:t xml:space="preserve"> </w:t>
      </w:r>
      <w:r w:rsidRPr="009628BF">
        <w:t xml:space="preserve">Con Edison will address the non-BPTF violations with a Corrective Action Plan as required by NERC Standard TPL-001-4.  When the non-BPTF violations are addressed, the BPTF violations are no longer </w:t>
      </w:r>
      <w:r w:rsidR="00D0632C">
        <w:t>observed.</w:t>
      </w:r>
      <w:r w:rsidRPr="009628BF">
        <w:t>[</w:t>
      </w:r>
      <w:hyperlink r:id="rId21" w:history="1">
        <w:r w:rsidRPr="009628BF">
          <w:t>link</w:t>
        </w:r>
      </w:hyperlink>
      <w:r w:rsidRPr="009628BF">
        <w:t>]</w:t>
      </w:r>
    </w:p>
    <w:p w14:paraId="5AF00819" w14:textId="7D8D19F5" w:rsidR="00F714BB" w:rsidRDefault="00254039" w:rsidP="00F714BB">
      <w:pPr>
        <w:pStyle w:val="BodyText"/>
        <w:jc w:val="left"/>
      </w:pPr>
      <w:r>
        <w:t xml:space="preserve">With these base case updates, there is </w:t>
      </w:r>
      <w:r w:rsidRPr="00F714BB">
        <w:t>no remaining Reliability Need th</w:t>
      </w:r>
      <w:r w:rsidR="00F714BB" w:rsidRPr="00F714BB">
        <w:t xml:space="preserve">roughout the </w:t>
      </w:r>
      <w:r w:rsidR="008829B2">
        <w:t xml:space="preserve">2024-2030 </w:t>
      </w:r>
      <w:r w:rsidR="00F714BB" w:rsidRPr="00F714BB">
        <w:t>RNA study period, and the NYISO will not solicit solutions in the 2020-2021 cycle of the Reliability Planning Process</w:t>
      </w:r>
      <w:r w:rsidR="004D7973">
        <w:t>.</w:t>
      </w:r>
      <w:r w:rsidR="00811D5B">
        <w:t xml:space="preserve">  Additionally, besides the 2020 Quarter 3 STAR</w:t>
      </w:r>
      <w:r w:rsidR="00271C4C">
        <w:t>,</w:t>
      </w:r>
      <w:r w:rsidR="00811D5B">
        <w:t xml:space="preserve"> no other reliability needs have been identified </w:t>
      </w:r>
      <w:r w:rsidR="009E1B5A">
        <w:t xml:space="preserve">and addressed </w:t>
      </w:r>
      <w:r w:rsidR="00811D5B">
        <w:t xml:space="preserve">in </w:t>
      </w:r>
      <w:r w:rsidR="009E1B5A">
        <w:t xml:space="preserve">the </w:t>
      </w:r>
      <w:r w:rsidR="00E50D0E">
        <w:t>STARs</w:t>
      </w:r>
      <w:r w:rsidR="00D0632C">
        <w:t xml:space="preserve"> completed to date</w:t>
      </w:r>
      <w:r w:rsidR="00811D5B">
        <w:t>.</w:t>
      </w:r>
    </w:p>
    <w:p w14:paraId="3569592F" w14:textId="201510BE" w:rsidR="0027023B" w:rsidRPr="00254039" w:rsidRDefault="007C0FF4" w:rsidP="003A16F1">
      <w:pPr>
        <w:pStyle w:val="BodyText"/>
      </w:pPr>
      <w:r>
        <w:t xml:space="preserve"> </w:t>
      </w:r>
      <w:r w:rsidR="0027023B" w:rsidRPr="001F03B4">
        <w:rPr>
          <w:color w:val="FF0000"/>
        </w:rPr>
        <w:br w:type="page"/>
      </w:r>
    </w:p>
    <w:p w14:paraId="258F26E2" w14:textId="2E7E122D" w:rsidR="007B7643" w:rsidRPr="00F15B1B" w:rsidRDefault="00B641B7" w:rsidP="00D368A2">
      <w:pPr>
        <w:pStyle w:val="Heading1"/>
        <w:ind w:left="0" w:firstLine="0"/>
      </w:pPr>
      <w:bookmarkStart w:id="18" w:name="_Toc4757589"/>
      <w:bookmarkStart w:id="19" w:name="_Toc80032253"/>
      <w:bookmarkStart w:id="20" w:name="_Toc80191642"/>
      <w:bookmarkStart w:id="21" w:name="_Toc81138678"/>
      <w:r>
        <w:lastRenderedPageBreak/>
        <w:t xml:space="preserve">Comprehensive </w:t>
      </w:r>
      <w:r w:rsidR="00216DE6" w:rsidRPr="00F15B1B">
        <w:t>R</w:t>
      </w:r>
      <w:r w:rsidR="007B7643" w:rsidRPr="00F15B1B">
        <w:t>eliability Plan</w:t>
      </w:r>
      <w:r w:rsidR="001F100D" w:rsidRPr="00F15B1B">
        <w:t xml:space="preserve"> for 20</w:t>
      </w:r>
      <w:r w:rsidR="00734BDB">
        <w:t>2</w:t>
      </w:r>
      <w:r>
        <w:t>1</w:t>
      </w:r>
      <w:r w:rsidR="001F100D" w:rsidRPr="00F15B1B">
        <w:t>-20</w:t>
      </w:r>
      <w:bookmarkEnd w:id="18"/>
      <w:r w:rsidR="00734BDB">
        <w:t>30</w:t>
      </w:r>
      <w:bookmarkEnd w:id="19"/>
      <w:bookmarkEnd w:id="20"/>
      <w:bookmarkEnd w:id="21"/>
    </w:p>
    <w:p w14:paraId="5CF2A8E6" w14:textId="0F2AAC77" w:rsidR="006A33E3" w:rsidRDefault="006A33E3" w:rsidP="00571CB8">
      <w:pPr>
        <w:pStyle w:val="BodyText"/>
        <w:jc w:val="left"/>
      </w:pPr>
      <w:r>
        <w:t xml:space="preserve">The Comprehensive Reliability Plan to </w:t>
      </w:r>
      <w:r w:rsidR="00475870">
        <w:t>reliably serve New York demand</w:t>
      </w:r>
      <w:r>
        <w:t xml:space="preserve"> for the 2021-2030 timeframe </w:t>
      </w:r>
      <w:r w:rsidR="00615EE6">
        <w:t>incorporates forecasting</w:t>
      </w:r>
      <w:r>
        <w:t xml:space="preserve"> the balance between </w:t>
      </w:r>
      <w:r w:rsidR="00AC4CC8">
        <w:t>g</w:t>
      </w:r>
      <w:r>
        <w:t xml:space="preserve">eneration, </w:t>
      </w:r>
      <w:r w:rsidR="00AC4CC8">
        <w:t>l</w:t>
      </w:r>
      <w:r>
        <w:t xml:space="preserve">oad, and </w:t>
      </w:r>
      <w:r w:rsidR="00AC4CC8">
        <w:t>t</w:t>
      </w:r>
      <w:r>
        <w:t xml:space="preserve">ransmission. </w:t>
      </w:r>
      <w:r w:rsidR="00615EE6">
        <w:t xml:space="preserve">A key part of the reliability process is to apply </w:t>
      </w:r>
      <w:r w:rsidR="00AC4CC8">
        <w:t>conservative i</w:t>
      </w:r>
      <w:r>
        <w:t xml:space="preserve">nclusion rules </w:t>
      </w:r>
      <w:r w:rsidR="00615EE6">
        <w:t>so that only those pr</w:t>
      </w:r>
      <w:r>
        <w:t xml:space="preserve">ojects that </w:t>
      </w:r>
      <w:r w:rsidR="00615EE6">
        <w:t>have</w:t>
      </w:r>
      <w:r>
        <w:t xml:space="preserve"> a </w:t>
      </w:r>
      <w:r w:rsidR="00615EE6">
        <w:t>high</w:t>
      </w:r>
      <w:r>
        <w:t xml:space="preserve"> level of certainty </w:t>
      </w:r>
      <w:r w:rsidR="00615EE6">
        <w:t>of being completed</w:t>
      </w:r>
      <w:r w:rsidR="00AC4CC8">
        <w:t xml:space="preserve"> are planned for</w:t>
      </w:r>
      <w:r w:rsidR="00615EE6">
        <w:t>. This often results in only limited amount</w:t>
      </w:r>
      <w:r w:rsidR="009E1B5A">
        <w:t>s</w:t>
      </w:r>
      <w:r w:rsidR="00615EE6">
        <w:t xml:space="preserve"> of generation and transmission projects being included in the base case.</w:t>
      </w:r>
      <w:r w:rsidR="000E22D3">
        <w:t xml:space="preserve"> The following </w:t>
      </w:r>
      <w:r w:rsidR="00EE5D52">
        <w:t xml:space="preserve">section </w:t>
      </w:r>
      <w:r w:rsidR="00AC4CC8">
        <w:t xml:space="preserve">summarizes the key </w:t>
      </w:r>
      <w:r w:rsidR="000E22D3">
        <w:t xml:space="preserve">future projects </w:t>
      </w:r>
      <w:r w:rsidR="00AC4CC8">
        <w:t xml:space="preserve">and assumptions that </w:t>
      </w:r>
      <w:r w:rsidR="000E22D3">
        <w:t>have been included as part of the Comprehensive Reliability Plan</w:t>
      </w:r>
      <w:r w:rsidR="00EE5D52">
        <w:t>, and the resultant reliability metrics for the system as planned.</w:t>
      </w:r>
      <w:r w:rsidR="000E22D3">
        <w:t xml:space="preserve"> </w:t>
      </w:r>
    </w:p>
    <w:p w14:paraId="197691C2" w14:textId="40FA857D" w:rsidR="00811D5B" w:rsidRPr="00942260" w:rsidRDefault="00811D5B" w:rsidP="00942260">
      <w:pPr>
        <w:pStyle w:val="Heading2"/>
      </w:pPr>
      <w:bookmarkStart w:id="22" w:name="_Toc80032254"/>
      <w:bookmarkStart w:id="23" w:name="_Toc80191643"/>
      <w:bookmarkStart w:id="24" w:name="_Toc81138679"/>
      <w:r w:rsidRPr="00942260">
        <w:t>Generation</w:t>
      </w:r>
      <w:bookmarkEnd w:id="22"/>
      <w:bookmarkEnd w:id="23"/>
      <w:bookmarkEnd w:id="24"/>
    </w:p>
    <w:p w14:paraId="1D65F7DD" w14:textId="542A9596" w:rsidR="00811D5B" w:rsidRDefault="00811D5B" w:rsidP="00571CB8">
      <w:pPr>
        <w:pStyle w:val="BodyText"/>
        <w:jc w:val="left"/>
      </w:pPr>
      <w:r w:rsidRPr="008D249C">
        <w:t xml:space="preserve">Figure </w:t>
      </w:r>
      <w:r w:rsidRPr="00876063">
        <w:rPr>
          <w:highlight w:val="yellow"/>
        </w:rPr>
        <w:t>XX</w:t>
      </w:r>
      <w:r>
        <w:t xml:space="preserve"> shows the </w:t>
      </w:r>
      <w:r w:rsidR="008C4791">
        <w:t xml:space="preserve">planned additional </w:t>
      </w:r>
      <w:r>
        <w:t>generati</w:t>
      </w:r>
      <w:r w:rsidR="008C4791">
        <w:t>o</w:t>
      </w:r>
      <w:r>
        <w:t xml:space="preserve">n resources included as part of the CRP.  These </w:t>
      </w:r>
      <w:r w:rsidR="002726F8">
        <w:t>resources</w:t>
      </w:r>
      <w:r>
        <w:t xml:space="preserve"> include a total of 546.4 MW of land-based wind generation and 22.9 MW of solar generation planned to be in-service by summer 2022</w:t>
      </w:r>
      <w:r w:rsidR="009E1B5A">
        <w:t>,</w:t>
      </w:r>
      <w:r>
        <w:t xml:space="preserve"> with an additional 100 MW of land-based wind generation by summer 2023.</w:t>
      </w:r>
    </w:p>
    <w:p w14:paraId="07093F6E" w14:textId="63CBF42F" w:rsidR="00811D5B" w:rsidRDefault="00811D5B" w:rsidP="00876063">
      <w:pPr>
        <w:pStyle w:val="CommentText"/>
        <w:rPr>
          <w:b/>
        </w:rPr>
      </w:pPr>
      <w:r w:rsidRPr="00860337">
        <w:rPr>
          <w:b/>
        </w:rPr>
        <w:t xml:space="preserve">Figure </w:t>
      </w:r>
      <w:r w:rsidRPr="00860337">
        <w:rPr>
          <w:b/>
          <w:color w:val="FF0000"/>
        </w:rPr>
        <w:t>xx</w:t>
      </w:r>
      <w:r w:rsidRPr="00860337">
        <w:rPr>
          <w:b/>
        </w:rPr>
        <w:t xml:space="preserve">: </w:t>
      </w:r>
      <w:r w:rsidR="008C4791">
        <w:rPr>
          <w:b/>
        </w:rPr>
        <w:t xml:space="preserve">Planned Additional </w:t>
      </w:r>
      <w:r>
        <w:rPr>
          <w:b/>
        </w:rPr>
        <w:t xml:space="preserve">Generating Resources </w:t>
      </w:r>
      <w:r w:rsidR="00762D45">
        <w:rPr>
          <w:b/>
        </w:rPr>
        <w:t>(Nameplate MW)</w:t>
      </w:r>
      <w:r>
        <w:rPr>
          <w:b/>
        </w:rPr>
        <w:t xml:space="preserve"> </w:t>
      </w:r>
      <w:r w:rsidR="00D427BB">
        <w:rPr>
          <w:b/>
          <w:noProof/>
        </w:rPr>
        <w:drawing>
          <wp:inline distT="0" distB="0" distL="0" distR="0" wp14:anchorId="35E23FB9" wp14:editId="5472527A">
            <wp:extent cx="6358416" cy="2926080"/>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58416" cy="2926080"/>
                    </a:xfrm>
                    <a:prstGeom prst="rect">
                      <a:avLst/>
                    </a:prstGeom>
                    <a:noFill/>
                  </pic:spPr>
                </pic:pic>
              </a:graphicData>
            </a:graphic>
          </wp:inline>
        </w:drawing>
      </w:r>
    </w:p>
    <w:p w14:paraId="0EE36116" w14:textId="79E75581" w:rsidR="00811D5B" w:rsidRDefault="00811D5B" w:rsidP="00876063">
      <w:pPr>
        <w:pStyle w:val="CommentText"/>
      </w:pPr>
    </w:p>
    <w:p w14:paraId="1EB4AFA6" w14:textId="60B81EC9" w:rsidR="006A33E3" w:rsidRPr="00942260" w:rsidRDefault="006A33E3" w:rsidP="00942260">
      <w:pPr>
        <w:pStyle w:val="Heading2"/>
      </w:pPr>
      <w:bookmarkStart w:id="25" w:name="_Toc80032255"/>
      <w:bookmarkStart w:id="26" w:name="_Toc80191644"/>
      <w:bookmarkStart w:id="27" w:name="_Toc81138680"/>
      <w:r w:rsidRPr="00942260">
        <w:t>Load</w:t>
      </w:r>
      <w:bookmarkEnd w:id="25"/>
      <w:bookmarkEnd w:id="26"/>
      <w:bookmarkEnd w:id="27"/>
    </w:p>
    <w:p w14:paraId="2DEA78F4" w14:textId="431934F4" w:rsidR="00811D5B" w:rsidRDefault="002726F8" w:rsidP="00876063">
      <w:pPr>
        <w:pStyle w:val="BodyText"/>
        <w:jc w:val="left"/>
      </w:pPr>
      <w:r>
        <w:t>The 2020 Load and Capacity Data Report (“Gold Book”) provides an in-depth review of the load forecast and changing resource mix.  In general</w:t>
      </w:r>
      <w:r w:rsidR="009E1B5A">
        <w:t>,</w:t>
      </w:r>
      <w:r>
        <w:t xml:space="preserve"> the baseline forecast published in the 2021 Gold Book is lower than the </w:t>
      </w:r>
      <w:r w:rsidR="009E1B5A">
        <w:t>level</w:t>
      </w:r>
      <w:r>
        <w:t xml:space="preserve"> published in the 2020 Gold Book.  The lower forecasted growth in energy usage can be attributed primarily to increased projected load reductions due to energy efficiency programs, increased </w:t>
      </w:r>
      <w:r>
        <w:lastRenderedPageBreak/>
        <w:t>load reductions due to stronger projected growth in behind-the-meter solar PV, and continuing economic impacts caused by the</w:t>
      </w:r>
      <w:r w:rsidR="009E1B5A">
        <w:t xml:space="preserve"> recession brought on by the</w:t>
      </w:r>
      <w:r>
        <w:t xml:space="preserve"> COVID-19 </w:t>
      </w:r>
      <w:r w:rsidR="009E1B5A">
        <w:t>pandemic</w:t>
      </w:r>
      <w:r>
        <w:t xml:space="preserve">.  </w:t>
      </w:r>
      <w:r w:rsidRPr="00DE0FCC">
        <w:rPr>
          <w:highlight w:val="yellow"/>
        </w:rPr>
        <w:t>Figure XX</w:t>
      </w:r>
      <w:r>
        <w:t xml:space="preserve"> shows the forecasted NYCA load under baseline conditions as well as 90</w:t>
      </w:r>
      <w:r w:rsidRPr="00DE0FCC">
        <w:rPr>
          <w:vertAlign w:val="superscript"/>
        </w:rPr>
        <w:t>th</w:t>
      </w:r>
      <w:r>
        <w:t xml:space="preserve"> (1-in-10 or 90/10) and 1-in-100 peak forecasts due to weather variations.  The changing resource mix shown in </w:t>
      </w:r>
      <w:r w:rsidRPr="00DE0FCC">
        <w:rPr>
          <w:highlight w:val="yellow"/>
        </w:rPr>
        <w:t>Figure XX</w:t>
      </w:r>
      <w:r>
        <w:t xml:space="preserve"> includes the new generating resources (shown in </w:t>
      </w:r>
      <w:r w:rsidRPr="00DE0FCC">
        <w:rPr>
          <w:highlight w:val="yellow"/>
        </w:rPr>
        <w:t>Figure XX</w:t>
      </w:r>
      <w:r>
        <w:t>) as well as other planned generation removals.</w:t>
      </w:r>
    </w:p>
    <w:p w14:paraId="615A94E8" w14:textId="2D16CA4F" w:rsidR="00811D5B" w:rsidRDefault="00811D5B" w:rsidP="00DE0FCC">
      <w:pPr>
        <w:pStyle w:val="CommentText"/>
      </w:pPr>
      <w:r w:rsidRPr="00860337">
        <w:rPr>
          <w:b/>
        </w:rPr>
        <w:t xml:space="preserve">Figure </w:t>
      </w:r>
      <w:r w:rsidRPr="00860337">
        <w:rPr>
          <w:b/>
          <w:color w:val="FF0000"/>
        </w:rPr>
        <w:t>xx</w:t>
      </w:r>
      <w:r w:rsidRPr="00860337">
        <w:rPr>
          <w:b/>
        </w:rPr>
        <w:t xml:space="preserve">: </w:t>
      </w:r>
      <w:r>
        <w:rPr>
          <w:b/>
        </w:rPr>
        <w:t>Load and Generation Resources</w:t>
      </w:r>
      <w:r w:rsidR="00015159">
        <w:rPr>
          <w:rStyle w:val="FootnoteReference"/>
          <w:b/>
        </w:rPr>
        <w:footnoteReference w:id="8"/>
      </w:r>
      <w:r>
        <w:rPr>
          <w:b/>
        </w:rPr>
        <w:t xml:space="preserve"> </w:t>
      </w:r>
    </w:p>
    <w:p w14:paraId="2224FB0A" w14:textId="05EAC358" w:rsidR="00811D5B" w:rsidRDefault="00811D5B" w:rsidP="00DE0FCC">
      <w:pPr>
        <w:pStyle w:val="BodyText"/>
        <w:ind w:firstLine="0"/>
        <w:jc w:val="left"/>
      </w:pPr>
      <w:r>
        <w:rPr>
          <w:noProof/>
        </w:rPr>
        <w:drawing>
          <wp:inline distT="0" distB="0" distL="0" distR="0" wp14:anchorId="2EBD274D" wp14:editId="59134F6A">
            <wp:extent cx="6654089" cy="448056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654089" cy="4480560"/>
                    </a:xfrm>
                    <a:prstGeom prst="rect">
                      <a:avLst/>
                    </a:prstGeom>
                    <a:noFill/>
                  </pic:spPr>
                </pic:pic>
              </a:graphicData>
            </a:graphic>
          </wp:inline>
        </w:drawing>
      </w:r>
    </w:p>
    <w:p w14:paraId="735D017B" w14:textId="4E669CDE" w:rsidR="006A33E3" w:rsidRPr="00942260" w:rsidRDefault="006A33E3" w:rsidP="00942260">
      <w:pPr>
        <w:pStyle w:val="Heading2"/>
      </w:pPr>
      <w:bookmarkStart w:id="28" w:name="_Toc80032256"/>
      <w:bookmarkStart w:id="29" w:name="_Toc80191645"/>
      <w:bookmarkStart w:id="30" w:name="_Toc81138681"/>
      <w:r w:rsidRPr="00942260">
        <w:t>Transmission</w:t>
      </w:r>
      <w:bookmarkEnd w:id="28"/>
      <w:bookmarkEnd w:id="29"/>
      <w:bookmarkEnd w:id="30"/>
    </w:p>
    <w:p w14:paraId="31EC2609" w14:textId="456F331C" w:rsidR="009E1B5A" w:rsidRPr="009E1B5A" w:rsidRDefault="009E1B5A" w:rsidP="00571CB8">
      <w:pPr>
        <w:pStyle w:val="BodyText"/>
        <w:jc w:val="left"/>
      </w:pPr>
      <w:r w:rsidRPr="009E1B5A">
        <w:t xml:space="preserve">Planned additions to the New York </w:t>
      </w:r>
      <w:r>
        <w:t xml:space="preserve">transmission </w:t>
      </w:r>
      <w:r w:rsidRPr="009E1B5A">
        <w:t>system include the following:</w:t>
      </w:r>
    </w:p>
    <w:p w14:paraId="37FC7E46" w14:textId="560885D3" w:rsidR="006A33E3" w:rsidRPr="00B27D82" w:rsidRDefault="000736C6" w:rsidP="005A11DF">
      <w:pPr>
        <w:pStyle w:val="Default"/>
        <w:numPr>
          <w:ilvl w:val="0"/>
          <w:numId w:val="29"/>
        </w:numPr>
        <w:spacing w:after="120" w:line="360" w:lineRule="auto"/>
        <w:ind w:left="1152"/>
        <w:rPr>
          <w:rFonts w:eastAsia="Arial Narrow" w:cs="Times New Roman"/>
          <w:bCs/>
          <w:color w:val="auto"/>
          <w:sz w:val="22"/>
          <w:szCs w:val="22"/>
        </w:rPr>
      </w:pPr>
      <w:r w:rsidRPr="00A60499">
        <w:rPr>
          <w:sz w:val="22"/>
          <w:szCs w:val="22"/>
        </w:rPr>
        <w:t>June 2022</w:t>
      </w:r>
      <w:r>
        <w:t xml:space="preserve">: </w:t>
      </w:r>
      <w:r w:rsidR="006A33E3" w:rsidRPr="00B27D82">
        <w:rPr>
          <w:rFonts w:eastAsia="Arial Narrow" w:cs="Times New Roman"/>
          <w:bCs/>
          <w:color w:val="auto"/>
          <w:sz w:val="22"/>
          <w:szCs w:val="22"/>
        </w:rPr>
        <w:t xml:space="preserve">The NextEra Empire State Line Project that was selected by the NYISO Board of Directors in October 2017 to address the Western New York Public Policy Transmission Need. </w:t>
      </w:r>
    </w:p>
    <w:p w14:paraId="6C8507B0" w14:textId="2002C286" w:rsidR="006A33E3" w:rsidRPr="00B27D82" w:rsidRDefault="001C4899" w:rsidP="005A11DF">
      <w:pPr>
        <w:pStyle w:val="Default"/>
        <w:numPr>
          <w:ilvl w:val="0"/>
          <w:numId w:val="29"/>
        </w:numPr>
        <w:spacing w:after="120" w:line="360" w:lineRule="auto"/>
        <w:ind w:left="1152"/>
        <w:rPr>
          <w:rFonts w:eastAsia="Arial Narrow" w:cs="Times New Roman"/>
          <w:bCs/>
          <w:color w:val="auto"/>
          <w:sz w:val="22"/>
          <w:szCs w:val="22"/>
        </w:rPr>
      </w:pPr>
      <w:r>
        <w:rPr>
          <w:rFonts w:eastAsia="Arial Narrow" w:cs="Times New Roman"/>
          <w:bCs/>
          <w:color w:val="auto"/>
          <w:sz w:val="22"/>
          <w:szCs w:val="22"/>
        </w:rPr>
        <w:lastRenderedPageBreak/>
        <w:t xml:space="preserve">December 2023:  </w:t>
      </w:r>
      <w:r w:rsidR="006A33E3" w:rsidRPr="00B27D82">
        <w:rPr>
          <w:rFonts w:eastAsia="Arial Narrow" w:cs="Times New Roman"/>
          <w:bCs/>
          <w:color w:val="auto"/>
          <w:sz w:val="22"/>
          <w:szCs w:val="22"/>
        </w:rPr>
        <w:t xml:space="preserve">The Segment A, AC Transmission joint project, by LS Power and New York Power Authority (NYPA) that was selected by the NYISO Board of Directors in April 2019.  </w:t>
      </w:r>
    </w:p>
    <w:p w14:paraId="4684D6FC" w14:textId="24ED6479" w:rsidR="006A33E3" w:rsidRPr="00B27D82" w:rsidRDefault="001C4899" w:rsidP="005A11DF">
      <w:pPr>
        <w:pStyle w:val="Default"/>
        <w:numPr>
          <w:ilvl w:val="0"/>
          <w:numId w:val="29"/>
        </w:numPr>
        <w:spacing w:after="120" w:line="360" w:lineRule="auto"/>
        <w:ind w:left="1152"/>
        <w:rPr>
          <w:rFonts w:eastAsia="Arial Narrow" w:cs="Times New Roman"/>
          <w:bCs/>
          <w:color w:val="auto"/>
          <w:sz w:val="22"/>
          <w:szCs w:val="22"/>
        </w:rPr>
      </w:pPr>
      <w:r>
        <w:rPr>
          <w:rFonts w:eastAsia="Arial Narrow" w:cs="Times New Roman"/>
          <w:bCs/>
          <w:color w:val="auto"/>
          <w:sz w:val="22"/>
          <w:szCs w:val="22"/>
        </w:rPr>
        <w:t xml:space="preserve">December 2023:  </w:t>
      </w:r>
      <w:r w:rsidR="006A33E3" w:rsidRPr="00B27D82">
        <w:rPr>
          <w:rFonts w:eastAsia="Arial Narrow" w:cs="Times New Roman"/>
          <w:bCs/>
          <w:color w:val="auto"/>
          <w:sz w:val="22"/>
          <w:szCs w:val="22"/>
        </w:rPr>
        <w:t xml:space="preserve">The New York Transco Segment B, AC Transmission project, also was selected by the NYISO Board of Directors in April 2019.  </w:t>
      </w:r>
    </w:p>
    <w:p w14:paraId="22D8FA39" w14:textId="18AEE7FC" w:rsidR="00257B95" w:rsidRDefault="00257B95" w:rsidP="005A11DF">
      <w:pPr>
        <w:pStyle w:val="BodyText"/>
        <w:numPr>
          <w:ilvl w:val="0"/>
          <w:numId w:val="29"/>
        </w:numPr>
        <w:ind w:left="1152"/>
      </w:pPr>
      <w:r w:rsidRPr="00B27D82">
        <w:t>Transmission Owner Local Transmission Plans (LTP) that meet the Inclusion Rules</w:t>
      </w:r>
      <w:r>
        <w:t xml:space="preserve"> which includes:</w:t>
      </w:r>
    </w:p>
    <w:p w14:paraId="3710A2F7" w14:textId="3390973B" w:rsidR="00F53319" w:rsidRDefault="00F53319" w:rsidP="00F53319">
      <w:pPr>
        <w:pStyle w:val="BodyText"/>
        <w:numPr>
          <w:ilvl w:val="1"/>
          <w:numId w:val="29"/>
        </w:numPr>
      </w:pPr>
      <w:r>
        <w:t xml:space="preserve">Summer 2021:  </w:t>
      </w:r>
      <w:r w:rsidR="009048DA">
        <w:t xml:space="preserve">National Grid </w:t>
      </w:r>
      <w:r>
        <w:t>Clay #3 115 kV line uprate</w:t>
      </w:r>
    </w:p>
    <w:p w14:paraId="1448C163" w14:textId="1F4E997A" w:rsidR="00F53319" w:rsidRDefault="00F53319" w:rsidP="00F53319">
      <w:pPr>
        <w:pStyle w:val="BodyText"/>
        <w:numPr>
          <w:ilvl w:val="1"/>
          <w:numId w:val="29"/>
        </w:numPr>
      </w:pPr>
      <w:r>
        <w:t xml:space="preserve">Summer 2021:  </w:t>
      </w:r>
      <w:r w:rsidR="009048DA">
        <w:t xml:space="preserve">National Grid </w:t>
      </w:r>
      <w:r>
        <w:t>Clay #10 115 kV line uprate</w:t>
      </w:r>
    </w:p>
    <w:p w14:paraId="2BE6EDC5" w14:textId="45AE5E50" w:rsidR="00F53319" w:rsidRPr="00E03438" w:rsidRDefault="00F53319" w:rsidP="00F53319">
      <w:pPr>
        <w:pStyle w:val="BodyText"/>
        <w:numPr>
          <w:ilvl w:val="1"/>
          <w:numId w:val="29"/>
        </w:numPr>
      </w:pPr>
      <w:r>
        <w:t xml:space="preserve">Summer 2023:  </w:t>
      </w:r>
      <w:r w:rsidR="009048DA">
        <w:t xml:space="preserve">Orange &amp; Rockland </w:t>
      </w:r>
      <w:r>
        <w:t>Lovett 345/138 kV substation.</w:t>
      </w:r>
    </w:p>
    <w:p w14:paraId="2484A282" w14:textId="3D7F5ABB" w:rsidR="004637FC" w:rsidRPr="00E03438" w:rsidRDefault="002601D8" w:rsidP="006C571B">
      <w:pPr>
        <w:pStyle w:val="BodyText"/>
        <w:numPr>
          <w:ilvl w:val="1"/>
          <w:numId w:val="29"/>
        </w:numPr>
      </w:pPr>
      <w:r>
        <w:t>Summer</w:t>
      </w:r>
      <w:r w:rsidR="001C4899">
        <w:t xml:space="preserve"> 2023:  </w:t>
      </w:r>
      <w:r w:rsidR="006775D4">
        <w:t xml:space="preserve">Con Edison </w:t>
      </w:r>
      <w:r w:rsidR="004637FC" w:rsidRPr="00E03438">
        <w:t>new 345/138 kV PAR controlled 138 kV Rainey – Corona feeder</w:t>
      </w:r>
    </w:p>
    <w:p w14:paraId="0F5B1080" w14:textId="59C893B8" w:rsidR="004637FC" w:rsidRPr="00E03438" w:rsidRDefault="002601D8" w:rsidP="006C571B">
      <w:pPr>
        <w:pStyle w:val="BodyText"/>
        <w:numPr>
          <w:ilvl w:val="1"/>
          <w:numId w:val="29"/>
        </w:numPr>
      </w:pPr>
      <w:r>
        <w:t>Summer</w:t>
      </w:r>
      <w:r w:rsidR="00257B95">
        <w:t xml:space="preserve"> </w:t>
      </w:r>
      <w:r w:rsidR="001C4899">
        <w:t xml:space="preserve">2025:  </w:t>
      </w:r>
      <w:r w:rsidR="006775D4">
        <w:t xml:space="preserve">Con Edison </w:t>
      </w:r>
      <w:r w:rsidR="004637FC" w:rsidRPr="00E03438">
        <w:t>new 345/138 kV PAR controlled 138 kV Gowanus – Greenwood feeder</w:t>
      </w:r>
      <w:r w:rsidR="004637FC">
        <w:t xml:space="preserve"> </w:t>
      </w:r>
    </w:p>
    <w:p w14:paraId="23B51314" w14:textId="5B9B83E3" w:rsidR="00ED77C3" w:rsidRPr="00F47022" w:rsidRDefault="002601D8" w:rsidP="00F47022">
      <w:pPr>
        <w:pStyle w:val="BodyText"/>
        <w:numPr>
          <w:ilvl w:val="1"/>
          <w:numId w:val="29"/>
        </w:numPr>
      </w:pPr>
      <w:r>
        <w:t>Summer</w:t>
      </w:r>
      <w:r w:rsidR="001C4899">
        <w:t xml:space="preserve"> 2025:  </w:t>
      </w:r>
      <w:r w:rsidR="006775D4">
        <w:t xml:space="preserve">Con Edison </w:t>
      </w:r>
      <w:r w:rsidR="004637FC" w:rsidRPr="00E03438">
        <w:t>new 345/138 kV PAR controlled 138 kV Goethals – Fox Hills feeder</w:t>
      </w:r>
    </w:p>
    <w:p w14:paraId="5F2DA008" w14:textId="0F93C1A9" w:rsidR="00ED77C3" w:rsidRPr="009E1B5A" w:rsidRDefault="00ED77C3" w:rsidP="005A11DF">
      <w:pPr>
        <w:pStyle w:val="Default"/>
        <w:numPr>
          <w:ilvl w:val="0"/>
          <w:numId w:val="29"/>
        </w:numPr>
        <w:spacing w:after="120" w:line="360" w:lineRule="auto"/>
        <w:ind w:left="1152"/>
        <w:rPr>
          <w:rFonts w:eastAsia="Arial Narrow" w:cs="Times New Roman"/>
          <w:bCs/>
          <w:color w:val="auto"/>
          <w:sz w:val="22"/>
          <w:szCs w:val="22"/>
        </w:rPr>
      </w:pPr>
      <w:r w:rsidRPr="000736C6">
        <w:rPr>
          <w:sz w:val="22"/>
        </w:rPr>
        <w:t>In-service</w:t>
      </w:r>
      <w:r w:rsidR="000736C6">
        <w:rPr>
          <w:sz w:val="22"/>
        </w:rPr>
        <w:t>, starting summer 2025</w:t>
      </w:r>
      <w:r w:rsidRPr="000736C6">
        <w:rPr>
          <w:sz w:val="22"/>
        </w:rPr>
        <w:t xml:space="preserve">: series reactors on the following </w:t>
      </w:r>
      <w:r w:rsidR="005B47CF">
        <w:rPr>
          <w:sz w:val="22"/>
        </w:rPr>
        <w:t>Con</w:t>
      </w:r>
      <w:r w:rsidR="009048DA">
        <w:rPr>
          <w:sz w:val="22"/>
        </w:rPr>
        <w:t xml:space="preserve"> </w:t>
      </w:r>
      <w:r w:rsidR="005B47CF">
        <w:rPr>
          <w:sz w:val="22"/>
        </w:rPr>
        <w:t xml:space="preserve">Edison </w:t>
      </w:r>
      <w:r w:rsidRPr="000736C6">
        <w:rPr>
          <w:sz w:val="22"/>
        </w:rPr>
        <w:t>345 kV cables: 71, 72, M51, M52</w:t>
      </w:r>
      <w:r w:rsidR="00A60499">
        <w:rPr>
          <w:sz w:val="22"/>
        </w:rPr>
        <w:t>.</w:t>
      </w:r>
    </w:p>
    <w:p w14:paraId="2A9D5603" w14:textId="0B8CB076" w:rsidR="006A33E3" w:rsidRPr="00B27D82" w:rsidRDefault="00ED77C3" w:rsidP="005A11DF">
      <w:pPr>
        <w:pStyle w:val="Default"/>
        <w:numPr>
          <w:ilvl w:val="0"/>
          <w:numId w:val="29"/>
        </w:numPr>
        <w:spacing w:after="120" w:line="360" w:lineRule="auto"/>
        <w:ind w:left="1152"/>
        <w:rPr>
          <w:rFonts w:eastAsia="Arial Narrow" w:cs="Times New Roman"/>
          <w:bCs/>
          <w:color w:val="auto"/>
          <w:sz w:val="22"/>
          <w:szCs w:val="22"/>
        </w:rPr>
      </w:pPr>
      <w:r w:rsidRPr="000736C6">
        <w:rPr>
          <w:sz w:val="22"/>
        </w:rPr>
        <w:t>Bypass</w:t>
      </w:r>
      <w:r w:rsidR="002601D8">
        <w:rPr>
          <w:sz w:val="22"/>
        </w:rPr>
        <w:t>, starting summer 2025</w:t>
      </w:r>
      <w:r w:rsidRPr="000736C6">
        <w:rPr>
          <w:sz w:val="22"/>
        </w:rPr>
        <w:t xml:space="preserve">: series reactors on the following </w:t>
      </w:r>
      <w:r w:rsidR="005B47CF">
        <w:rPr>
          <w:sz w:val="22"/>
        </w:rPr>
        <w:t>Con</w:t>
      </w:r>
      <w:r w:rsidR="009048DA">
        <w:rPr>
          <w:sz w:val="22"/>
        </w:rPr>
        <w:t xml:space="preserve"> </w:t>
      </w:r>
      <w:r w:rsidR="005B47CF">
        <w:rPr>
          <w:sz w:val="22"/>
        </w:rPr>
        <w:t xml:space="preserve">Edison </w:t>
      </w:r>
      <w:r w:rsidRPr="000736C6">
        <w:rPr>
          <w:sz w:val="22"/>
        </w:rPr>
        <w:t>345 kV cables: 41, 42, Y49</w:t>
      </w:r>
      <w:r w:rsidR="00A60499">
        <w:rPr>
          <w:sz w:val="22"/>
        </w:rPr>
        <w:t>.</w:t>
      </w:r>
    </w:p>
    <w:p w14:paraId="6EC3B75F" w14:textId="24756AE6" w:rsidR="007B7643" w:rsidRDefault="001C4899" w:rsidP="00571CB8">
      <w:pPr>
        <w:pStyle w:val="Heading2"/>
      </w:pPr>
      <w:bookmarkStart w:id="31" w:name="_Toc80032257"/>
      <w:bookmarkStart w:id="32" w:name="_Toc80191646"/>
      <w:bookmarkStart w:id="33" w:name="_Toc81138682"/>
      <w:r>
        <w:t>Reliability Metrics</w:t>
      </w:r>
      <w:bookmarkEnd w:id="31"/>
      <w:bookmarkEnd w:id="32"/>
      <w:bookmarkEnd w:id="33"/>
    </w:p>
    <w:p w14:paraId="655E99BE" w14:textId="781F857C" w:rsidR="007B7643" w:rsidRPr="008B1F26" w:rsidRDefault="004C7A82" w:rsidP="00571CB8">
      <w:pPr>
        <w:pStyle w:val="BodyText"/>
        <w:jc w:val="left"/>
      </w:pPr>
      <w:r>
        <w:t xml:space="preserve">With the </w:t>
      </w:r>
      <w:r w:rsidR="00B27D82">
        <w:t xml:space="preserve">CRP </w:t>
      </w:r>
      <w:r>
        <w:t xml:space="preserve">base case </w:t>
      </w:r>
      <w:r w:rsidR="00865F65">
        <w:t xml:space="preserve">assumptions </w:t>
      </w:r>
      <w:r>
        <w:t>described above</w:t>
      </w:r>
      <w:r w:rsidR="00F02420">
        <w:t xml:space="preserve">, and in the Appendix </w:t>
      </w:r>
      <w:r w:rsidR="00F02420" w:rsidRPr="00F47022">
        <w:rPr>
          <w:highlight w:val="yellow"/>
        </w:rPr>
        <w:t>xx</w:t>
      </w:r>
      <w:r>
        <w:t xml:space="preserve">, </w:t>
      </w:r>
      <w:r w:rsidR="009727FF">
        <w:t xml:space="preserve">the system as planned meets all applicable reliability criteria </w:t>
      </w:r>
      <w:r w:rsidR="007B7643" w:rsidRPr="008B1F26">
        <w:t>for the</w:t>
      </w:r>
      <w:r w:rsidR="008B1F26" w:rsidRPr="008B1F26">
        <w:t xml:space="preserve"> entire</w:t>
      </w:r>
      <w:r w:rsidR="009B5CAB" w:rsidRPr="008B1F26">
        <w:t xml:space="preserve"> </w:t>
      </w:r>
      <w:r w:rsidR="00865F65">
        <w:t>s</w:t>
      </w:r>
      <w:r w:rsidR="009B5CAB" w:rsidRPr="008B1F26">
        <w:t xml:space="preserve">tudy </w:t>
      </w:r>
      <w:r w:rsidR="00865F65">
        <w:t>p</w:t>
      </w:r>
      <w:r w:rsidR="009B5CAB" w:rsidRPr="008B1F26">
        <w:t xml:space="preserve">eriod. </w:t>
      </w:r>
      <w:r w:rsidR="0059769E" w:rsidRPr="008B1F26">
        <w:t xml:space="preserve"> </w:t>
      </w:r>
      <w:r w:rsidR="007B7643" w:rsidRPr="008B1F26">
        <w:t xml:space="preserve">The </w:t>
      </w:r>
      <w:r w:rsidR="004D7973">
        <w:t xml:space="preserve">NYISO </w:t>
      </w:r>
      <w:r w:rsidR="007B7643" w:rsidRPr="008B1F26">
        <w:t xml:space="preserve">will </w:t>
      </w:r>
      <w:r w:rsidR="004D7973">
        <w:t xml:space="preserve">continue to evaluate whether </w:t>
      </w:r>
      <w:r w:rsidR="009727FF">
        <w:t>Reliability N</w:t>
      </w:r>
      <w:r w:rsidR="004D7973">
        <w:t xml:space="preserve">eeds arise </w:t>
      </w:r>
      <w:r w:rsidR="007B7643" w:rsidRPr="008B1F26">
        <w:t xml:space="preserve">in subsequent </w:t>
      </w:r>
      <w:r w:rsidR="00865F65">
        <w:t xml:space="preserve">biennial </w:t>
      </w:r>
      <w:r w:rsidR="007B7643" w:rsidRPr="008B1F26">
        <w:t>cycles of the Reliability Planning Process</w:t>
      </w:r>
      <w:r w:rsidR="00DE7E62">
        <w:t xml:space="preserve">, as well as in the </w:t>
      </w:r>
      <w:r w:rsidR="00865F65">
        <w:t xml:space="preserve">quarterly </w:t>
      </w:r>
      <w:r w:rsidR="00DE7E62">
        <w:t>Short Term Reliability Process (STRP)</w:t>
      </w:r>
      <w:r w:rsidR="007B7643" w:rsidRPr="008B1F26">
        <w:t>.</w:t>
      </w:r>
    </w:p>
    <w:p w14:paraId="58AE583B" w14:textId="293E3129" w:rsidR="00724DE4" w:rsidRPr="00023E15" w:rsidRDefault="008B1F26" w:rsidP="00724DE4">
      <w:pPr>
        <w:pStyle w:val="Heading3"/>
      </w:pPr>
      <w:bookmarkStart w:id="34" w:name="_Toc80032258"/>
      <w:bookmarkStart w:id="35" w:name="_Toc80191647"/>
      <w:bookmarkStart w:id="36" w:name="_Toc81138683"/>
      <w:r>
        <w:t>Loss of Load Ex</w:t>
      </w:r>
      <w:r w:rsidR="004C7A82">
        <w:t>pectation</w:t>
      </w:r>
      <w:bookmarkEnd w:id="34"/>
      <w:bookmarkEnd w:id="35"/>
      <w:bookmarkEnd w:id="36"/>
    </w:p>
    <w:p w14:paraId="793CECF4" w14:textId="07A26FD7" w:rsidR="001463DE" w:rsidRDefault="001463DE" w:rsidP="003242E3">
      <w:pPr>
        <w:pStyle w:val="BodyText"/>
      </w:pPr>
      <w:r w:rsidRPr="008B1F26">
        <w:t xml:space="preserve">The </w:t>
      </w:r>
      <w:r w:rsidR="008B1F26">
        <w:t xml:space="preserve">NYCA </w:t>
      </w:r>
      <w:r w:rsidR="0003770F">
        <w:t>l</w:t>
      </w:r>
      <w:r w:rsidR="008B1F26">
        <w:t xml:space="preserve">oss of </w:t>
      </w:r>
      <w:r w:rsidR="0003770F">
        <w:t>l</w:t>
      </w:r>
      <w:r w:rsidR="008B1F26">
        <w:t xml:space="preserve">oad </w:t>
      </w:r>
      <w:r w:rsidR="0003770F">
        <w:t>e</w:t>
      </w:r>
      <w:r w:rsidR="008B1F26">
        <w:t>x</w:t>
      </w:r>
      <w:r w:rsidR="004C7A82">
        <w:t>pectation (</w:t>
      </w:r>
      <w:r w:rsidR="008B1F26">
        <w:t>LOLE</w:t>
      </w:r>
      <w:r w:rsidR="00BF48B0">
        <w:t xml:space="preserve"> in days/year</w:t>
      </w:r>
      <w:r w:rsidR="004C7A82">
        <w:t>)</w:t>
      </w:r>
      <w:r w:rsidR="008B1F26">
        <w:t xml:space="preserve"> results</w:t>
      </w:r>
      <w:r w:rsidR="004C7A82">
        <w:t xml:space="preserve"> are </w:t>
      </w:r>
      <w:r w:rsidR="004D7973">
        <w:t xml:space="preserve">provided </w:t>
      </w:r>
      <w:r w:rsidR="00892AD8">
        <w:t xml:space="preserve">in Figure </w:t>
      </w:r>
      <w:r w:rsidR="00892AD8" w:rsidRPr="00F47022">
        <w:rPr>
          <w:highlight w:val="yellow"/>
        </w:rPr>
        <w:t>##</w:t>
      </w:r>
      <w:r w:rsidRPr="00C15718">
        <w:t xml:space="preserve">. </w:t>
      </w:r>
      <w:r w:rsidR="00865C8C">
        <w:t xml:space="preserve"> </w:t>
      </w:r>
      <w:r w:rsidR="0003770F">
        <w:t xml:space="preserve">For reference, the previous results from the 2020 RNA are provided along with the current results for this 2021-2030 CRP. </w:t>
      </w:r>
      <w:r w:rsidRPr="00C15718">
        <w:t xml:space="preserve"> </w:t>
      </w:r>
      <w:r w:rsidR="00783DAE" w:rsidRPr="00F47022">
        <w:t>LOLE accounts for events but does not account for the magnitude (MW) or duration (hours) of the deficit.</w:t>
      </w:r>
      <w:r w:rsidR="00783DAE">
        <w:t xml:space="preserve">  Therefore, </w:t>
      </w:r>
      <w:r w:rsidR="00A959A7" w:rsidRPr="00C15718">
        <w:t xml:space="preserve">two additional reliability indices are added for information purposes: </w:t>
      </w:r>
      <w:r w:rsidR="005B47CF">
        <w:t>l</w:t>
      </w:r>
      <w:r w:rsidR="00BF48B0" w:rsidRPr="00C15718">
        <w:t xml:space="preserve">oss of </w:t>
      </w:r>
      <w:r w:rsidR="005B47CF">
        <w:t>l</w:t>
      </w:r>
      <w:r w:rsidR="00BF48B0" w:rsidRPr="00C15718">
        <w:t xml:space="preserve">oad </w:t>
      </w:r>
      <w:r w:rsidR="005B47CF">
        <w:t>h</w:t>
      </w:r>
      <w:r w:rsidR="00C15718">
        <w:t>ours</w:t>
      </w:r>
      <w:r w:rsidR="00BF48B0" w:rsidRPr="00C15718">
        <w:t xml:space="preserve"> (LOLH in </w:t>
      </w:r>
      <w:r w:rsidR="00BF48B0" w:rsidRPr="00C15718">
        <w:lastRenderedPageBreak/>
        <w:t>hours/year</w:t>
      </w:r>
      <w:proofErr w:type="gramStart"/>
      <w:r w:rsidR="00BF48B0" w:rsidRPr="00C15718">
        <w:t>), and</w:t>
      </w:r>
      <w:proofErr w:type="gramEnd"/>
      <w:r w:rsidR="00BF48B0" w:rsidRPr="00C15718">
        <w:t xml:space="preserve"> </w:t>
      </w:r>
      <w:r w:rsidR="005B47CF">
        <w:t>e</w:t>
      </w:r>
      <w:r w:rsidR="00BF48B0" w:rsidRPr="00C15718">
        <w:t xml:space="preserve">xpected </w:t>
      </w:r>
      <w:r w:rsidR="005B47CF">
        <w:t>u</w:t>
      </w:r>
      <w:r w:rsidR="00BF48B0" w:rsidRPr="00C15718">
        <w:t xml:space="preserve">nserved </w:t>
      </w:r>
      <w:r w:rsidR="005B47CF">
        <w:t>e</w:t>
      </w:r>
      <w:r w:rsidR="00BF48B0" w:rsidRPr="00C15718">
        <w:t>nergy (EUE in MWh/year).</w:t>
      </w:r>
      <w:r w:rsidR="0003770F">
        <w:t xml:space="preserve">  </w:t>
      </w:r>
    </w:p>
    <w:p w14:paraId="0376D3B0" w14:textId="43669B28" w:rsidR="0063356F" w:rsidRPr="00F47022" w:rsidRDefault="001C051B" w:rsidP="003F4774">
      <w:pPr>
        <w:pStyle w:val="BodyText"/>
      </w:pPr>
      <w:r w:rsidRPr="00F47022">
        <w:t xml:space="preserve">LOLE is generally defined as </w:t>
      </w:r>
      <w:r w:rsidR="0010618F" w:rsidRPr="00F47022">
        <w:t xml:space="preserve">the expected </w:t>
      </w:r>
      <w:r w:rsidR="000E1CD1" w:rsidRPr="00F47022">
        <w:t xml:space="preserve">(weighted average) </w:t>
      </w:r>
      <w:r w:rsidR="0010618F" w:rsidRPr="00F47022">
        <w:t>number of days in a given period (</w:t>
      </w:r>
      <w:r w:rsidR="0010618F" w:rsidRPr="00F47022">
        <w:rPr>
          <w:i/>
        </w:rPr>
        <w:t>e.g.</w:t>
      </w:r>
      <w:r w:rsidRPr="00F47022">
        <w:rPr>
          <w:i/>
        </w:rPr>
        <w:t>,</w:t>
      </w:r>
      <w:r w:rsidR="0010618F" w:rsidRPr="00F47022">
        <w:t xml:space="preserve"> one study year) when at least one hour from that day</w:t>
      </w:r>
      <w:r w:rsidR="00E230F5" w:rsidRPr="00F47022">
        <w:t xml:space="preserve">, </w:t>
      </w:r>
      <w:r w:rsidR="0010618F" w:rsidRPr="00F47022">
        <w:t>the hourly demand is projected to exceed the zonal resources</w:t>
      </w:r>
      <w:r w:rsidRPr="00F47022">
        <w:t xml:space="preserve"> (event</w:t>
      </w:r>
      <w:r w:rsidR="000E1CD1" w:rsidRPr="00F47022">
        <w:t xml:space="preserve"> </w:t>
      </w:r>
      <w:r w:rsidRPr="00F47022">
        <w:t>day)</w:t>
      </w:r>
      <w:r w:rsidR="0010618F" w:rsidRPr="00F47022">
        <w:t xml:space="preserve">. </w:t>
      </w:r>
      <w:r w:rsidRPr="00F47022">
        <w:t xml:space="preserve"> </w:t>
      </w:r>
      <w:r w:rsidR="000E1CD1" w:rsidRPr="00F47022">
        <w:t xml:space="preserve">Within a </w:t>
      </w:r>
      <w:r w:rsidR="002138CA" w:rsidRPr="00F47022">
        <w:t xml:space="preserve">day, </w:t>
      </w:r>
      <w:r w:rsidR="000E1CD1" w:rsidRPr="00F47022">
        <w:t xml:space="preserve">if </w:t>
      </w:r>
      <w:r w:rsidR="002138CA" w:rsidRPr="00F47022">
        <w:t>the</w:t>
      </w:r>
      <w:r w:rsidR="00E230F5" w:rsidRPr="00F47022">
        <w:t xml:space="preserve"> zonal</w:t>
      </w:r>
      <w:r w:rsidR="002138CA" w:rsidRPr="00F47022">
        <w:t xml:space="preserve"> demand exceeds the resources in </w:t>
      </w:r>
      <w:r w:rsidR="00E230F5" w:rsidRPr="00F47022">
        <w:t xml:space="preserve">at least </w:t>
      </w:r>
      <w:r w:rsidR="00783DAE" w:rsidRPr="00F47022">
        <w:t xml:space="preserve">one </w:t>
      </w:r>
      <w:r w:rsidR="002138CA" w:rsidRPr="00F47022">
        <w:t>hour</w:t>
      </w:r>
      <w:r w:rsidR="00E230F5" w:rsidRPr="00F47022">
        <w:t xml:space="preserve"> of that day</w:t>
      </w:r>
      <w:r w:rsidR="002138CA" w:rsidRPr="00F47022">
        <w:t>, this will be counted as one event</w:t>
      </w:r>
      <w:r w:rsidR="000E1CD1" w:rsidRPr="00F47022">
        <w:t xml:space="preserve"> </w:t>
      </w:r>
      <w:r w:rsidR="002138CA" w:rsidRPr="00F47022">
        <w:t xml:space="preserve">day.  </w:t>
      </w:r>
      <w:r w:rsidR="00783DAE" w:rsidRPr="00F47022">
        <w:t xml:space="preserve">The </w:t>
      </w:r>
      <w:r w:rsidR="0010618F" w:rsidRPr="00F47022">
        <w:t xml:space="preserve">criterion is </w:t>
      </w:r>
      <w:r w:rsidR="00BF603C" w:rsidRPr="00F47022">
        <w:t>that the LOLE</w:t>
      </w:r>
      <w:r w:rsidR="0010618F" w:rsidRPr="00F47022">
        <w:t xml:space="preserve"> not exceed one day in 10 years, or LOLE &lt; 0.1 days/year.</w:t>
      </w:r>
      <w:r w:rsidR="00110778" w:rsidRPr="00F47022">
        <w:t xml:space="preserve"> </w:t>
      </w:r>
      <w:r w:rsidR="00B532FF" w:rsidRPr="00F47022">
        <w:t xml:space="preserve"> </w:t>
      </w:r>
    </w:p>
    <w:p w14:paraId="48018F0D" w14:textId="01800BF8" w:rsidR="00955DAC" w:rsidRPr="00F47022" w:rsidRDefault="003242E3" w:rsidP="00955DAC">
      <w:pPr>
        <w:pStyle w:val="BodyText"/>
        <w:rPr>
          <w:rStyle w:val="BodyTextChar"/>
        </w:rPr>
      </w:pPr>
      <w:r w:rsidRPr="00F47022">
        <w:t>LOLH is generally defined</w:t>
      </w:r>
      <w:r w:rsidRPr="00F47022">
        <w:rPr>
          <w:rStyle w:val="FootnoteReference"/>
        </w:rPr>
        <w:footnoteReference w:id="9"/>
      </w:r>
      <w:r w:rsidRPr="00F47022">
        <w:t xml:space="preserve"> as the expected number of hours per period (</w:t>
      </w:r>
      <w:r w:rsidRPr="00F47022">
        <w:rPr>
          <w:i/>
        </w:rPr>
        <w:t>e.g.</w:t>
      </w:r>
      <w:r w:rsidR="00D97754" w:rsidRPr="00F47022">
        <w:rPr>
          <w:i/>
        </w:rPr>
        <w:t>,</w:t>
      </w:r>
      <w:r w:rsidRPr="00F47022">
        <w:rPr>
          <w:i/>
        </w:rPr>
        <w:t xml:space="preserve"> </w:t>
      </w:r>
      <w:r w:rsidRPr="00F47022">
        <w:t xml:space="preserve">one study year) when a system’s hourly demand is projected to exceed the </w:t>
      </w:r>
      <w:r w:rsidR="00D51F4D" w:rsidRPr="00F47022">
        <w:t xml:space="preserve">zonal </w:t>
      </w:r>
      <w:r w:rsidRPr="00F47022">
        <w:t xml:space="preserve">resources </w:t>
      </w:r>
      <w:r w:rsidR="001C051B" w:rsidRPr="00F47022">
        <w:t>(even</w:t>
      </w:r>
      <w:r w:rsidR="00E230F5" w:rsidRPr="00F47022">
        <w:t>t</w:t>
      </w:r>
      <w:r w:rsidR="00955DAC" w:rsidRPr="00F47022">
        <w:t xml:space="preserve"> </w:t>
      </w:r>
      <w:r w:rsidR="001C051B" w:rsidRPr="00F47022">
        <w:t>hour)</w:t>
      </w:r>
      <w:r w:rsidRPr="00F47022">
        <w:t xml:space="preserve">. </w:t>
      </w:r>
      <w:r w:rsidR="00865C8C" w:rsidRPr="00F47022">
        <w:t xml:space="preserve"> </w:t>
      </w:r>
      <w:r w:rsidR="002138CA" w:rsidRPr="00F47022">
        <w:t>Within an hour, if the</w:t>
      </w:r>
      <w:r w:rsidR="00E230F5" w:rsidRPr="00F47022">
        <w:t xml:space="preserve"> zonal</w:t>
      </w:r>
      <w:r w:rsidR="002138CA" w:rsidRPr="00F47022">
        <w:t xml:space="preserve"> demand exceeds the resources, this will be counted as one event</w:t>
      </w:r>
      <w:r w:rsidR="00955DAC" w:rsidRPr="00F47022">
        <w:t xml:space="preserve"> </w:t>
      </w:r>
      <w:r w:rsidR="002138CA" w:rsidRPr="00F47022">
        <w:t xml:space="preserve">hour.  </w:t>
      </w:r>
    </w:p>
    <w:p w14:paraId="6665C44A" w14:textId="59D44D05" w:rsidR="008144B2" w:rsidRPr="003F4774" w:rsidRDefault="00DD1693" w:rsidP="008144B2">
      <w:pPr>
        <w:pStyle w:val="BodyText"/>
        <w:rPr>
          <w:rStyle w:val="BodyTextChar"/>
        </w:rPr>
      </w:pPr>
      <w:r w:rsidRPr="00F47022">
        <w:t>EUE</w:t>
      </w:r>
      <w:r w:rsidR="008144B2" w:rsidRPr="00F47022">
        <w:t>, also referred to as loss of energy expectation (LOEE),</w:t>
      </w:r>
      <w:r w:rsidRPr="00F47022">
        <w:t xml:space="preserve"> is generally defined</w:t>
      </w:r>
      <w:r w:rsidRPr="00F47022">
        <w:rPr>
          <w:rStyle w:val="FootnoteReference"/>
        </w:rPr>
        <w:footnoteReference w:id="10"/>
      </w:r>
      <w:r w:rsidRPr="00F47022">
        <w:t xml:space="preserve"> as the expected energy (MWh) </w:t>
      </w:r>
      <w:r w:rsidR="00291DC0" w:rsidRPr="00F47022">
        <w:t xml:space="preserve">per </w:t>
      </w:r>
      <w:r w:rsidRPr="00F47022">
        <w:t>period (</w:t>
      </w:r>
      <w:r w:rsidRPr="00F47022">
        <w:rPr>
          <w:i/>
        </w:rPr>
        <w:t xml:space="preserve">e.g., </w:t>
      </w:r>
      <w:r w:rsidRPr="00F47022">
        <w:t>one study year) when the summation of the system’s hourly demand is projected to exceed the zonal resources.  Within an hour, if the zonal demand exceeds the resources, this deficit will be counted toward the system’s EUE.</w:t>
      </w:r>
      <w:r w:rsidR="008144B2" w:rsidRPr="00F47022">
        <w:t xml:space="preserve">  </w:t>
      </w:r>
    </w:p>
    <w:p w14:paraId="2C8B5C19" w14:textId="0BFDE0A3" w:rsidR="00876063" w:rsidRDefault="00834FF5" w:rsidP="00C15718">
      <w:pPr>
        <w:pStyle w:val="BodyText"/>
        <w:jc w:val="left"/>
        <w:rPr>
          <w:b/>
          <w:lang w:bidi="en-US"/>
        </w:rPr>
      </w:pPr>
      <w:bookmarkStart w:id="37" w:name="_Toc4757591"/>
      <w:r>
        <w:t>W</w:t>
      </w:r>
      <w:r w:rsidR="001851BB">
        <w:t xml:space="preserve">hile the resource adequacy reliability criterion </w:t>
      </w:r>
      <w:r w:rsidR="00510688">
        <w:t xml:space="preserve">of 0.1 days/year </w:t>
      </w:r>
      <w:r w:rsidR="004D7973">
        <w:t xml:space="preserve">established by </w:t>
      </w:r>
      <w:r w:rsidR="00D97754">
        <w:t xml:space="preserve">the </w:t>
      </w:r>
      <w:r w:rsidR="004D7973">
        <w:t xml:space="preserve">NYSRC and </w:t>
      </w:r>
      <w:r w:rsidR="00D97754">
        <w:t xml:space="preserve">the </w:t>
      </w:r>
      <w:r w:rsidR="004D7973">
        <w:t xml:space="preserve">NPCC </w:t>
      </w:r>
      <w:r w:rsidR="001851BB">
        <w:t>is compared with the loss of load expectation (LOLE in days/year)</w:t>
      </w:r>
      <w:r w:rsidR="00510688">
        <w:t xml:space="preserve"> calculation</w:t>
      </w:r>
      <w:r w:rsidR="001851BB">
        <w:t xml:space="preserve">, </w:t>
      </w:r>
      <w:r w:rsidR="0003770F">
        <w:t>c</w:t>
      </w:r>
      <w:r w:rsidR="00510688">
        <w:t xml:space="preserve">urrently there is no criteria for </w:t>
      </w:r>
      <w:r w:rsidR="00892AD8">
        <w:t xml:space="preserve">determining a reliable system based on </w:t>
      </w:r>
      <w:r w:rsidR="00C15718">
        <w:t>the</w:t>
      </w:r>
      <w:r w:rsidR="00510688">
        <w:t xml:space="preserve"> </w:t>
      </w:r>
      <w:r w:rsidR="00C15718">
        <w:t>LOLH and EUE</w:t>
      </w:r>
      <w:r w:rsidR="00510688">
        <w:t xml:space="preserve"> reliability indices. </w:t>
      </w:r>
    </w:p>
    <w:p w14:paraId="57C7641E" w14:textId="77777777" w:rsidR="00785274" w:rsidRDefault="00785274">
      <w:pPr>
        <w:rPr>
          <w:rFonts w:ascii="Cambria" w:eastAsia="Arial Narrow" w:hAnsi="Cambria"/>
          <w:b/>
          <w:bCs/>
          <w:sz w:val="22"/>
        </w:rPr>
      </w:pPr>
      <w:r>
        <w:rPr>
          <w:b/>
        </w:rPr>
        <w:br w:type="page"/>
      </w:r>
    </w:p>
    <w:p w14:paraId="057CEE83" w14:textId="6D6F095F" w:rsidR="00C77716" w:rsidRDefault="00C77716" w:rsidP="00C15718">
      <w:pPr>
        <w:pStyle w:val="BodyText"/>
        <w:jc w:val="left"/>
      </w:pPr>
      <w:r w:rsidRPr="002E7E22">
        <w:rPr>
          <w:b/>
          <w:lang w:bidi="en-US"/>
        </w:rPr>
        <w:lastRenderedPageBreak/>
        <w:t xml:space="preserve">Figure </w:t>
      </w:r>
      <w:r w:rsidRPr="002E7E22">
        <w:rPr>
          <w:b/>
          <w:color w:val="FF0000"/>
          <w:lang w:bidi="en-US"/>
        </w:rPr>
        <w:t>xx</w:t>
      </w:r>
      <w:r w:rsidRPr="002E7E22">
        <w:rPr>
          <w:b/>
          <w:lang w:bidi="en-US"/>
        </w:rPr>
        <w:t>:</w:t>
      </w:r>
      <w:r>
        <w:rPr>
          <w:b/>
          <w:lang w:bidi="en-US"/>
        </w:rPr>
        <w:t xml:space="preserve"> LOLE, LOLH, </w:t>
      </w:r>
      <w:r w:rsidR="00D66C4D">
        <w:rPr>
          <w:b/>
          <w:lang w:bidi="en-US"/>
        </w:rPr>
        <w:t xml:space="preserve">and </w:t>
      </w:r>
      <w:r>
        <w:rPr>
          <w:b/>
          <w:lang w:bidi="en-US"/>
        </w:rPr>
        <w:t>EUE Results</w:t>
      </w:r>
    </w:p>
    <w:p w14:paraId="114514AC" w14:textId="22266FA1" w:rsidR="00C10996" w:rsidRDefault="00C10996" w:rsidP="00504667">
      <w:pPr>
        <w:pStyle w:val="BodyText"/>
      </w:pPr>
      <w:bookmarkStart w:id="38" w:name="_Toc80032259"/>
      <w:r w:rsidRPr="00345129">
        <w:rPr>
          <w:noProof/>
        </w:rPr>
        <w:drawing>
          <wp:inline distT="0" distB="0" distL="0" distR="0" wp14:anchorId="03B12A82" wp14:editId="3EB86BAF">
            <wp:extent cx="5698022" cy="24993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06176" cy="2502937"/>
                    </a:xfrm>
                    <a:prstGeom prst="rect">
                      <a:avLst/>
                    </a:prstGeom>
                    <a:noFill/>
                    <a:ln>
                      <a:noFill/>
                    </a:ln>
                  </pic:spPr>
                </pic:pic>
              </a:graphicData>
            </a:graphic>
          </wp:inline>
        </w:drawing>
      </w:r>
    </w:p>
    <w:p w14:paraId="3A3CEC88" w14:textId="6C3CD1CF" w:rsidR="006B1DC7" w:rsidRDefault="006B1DC7" w:rsidP="000A4A15">
      <w:pPr>
        <w:pStyle w:val="Heading3"/>
      </w:pPr>
      <w:bookmarkStart w:id="39" w:name="_Toc80191648"/>
      <w:bookmarkStart w:id="40" w:name="_Toc81138684"/>
      <w:r>
        <w:t>Zonal Resource Adequacy Margin</w:t>
      </w:r>
      <w:r w:rsidR="006010DD">
        <w:t xml:space="preserve"> (ZRAM)</w:t>
      </w:r>
      <w:bookmarkEnd w:id="38"/>
      <w:bookmarkEnd w:id="39"/>
      <w:bookmarkEnd w:id="40"/>
    </w:p>
    <w:p w14:paraId="173B7B2E" w14:textId="77777777" w:rsidR="008F6BC1" w:rsidRDefault="00776D3D" w:rsidP="006010DD">
      <w:pPr>
        <w:pStyle w:val="BodyText"/>
        <w:jc w:val="left"/>
        <w:rPr>
          <w:lang w:bidi="en-US"/>
        </w:rPr>
      </w:pPr>
      <w:r>
        <w:rPr>
          <w:lang w:bidi="en-US"/>
        </w:rPr>
        <w:t>Resource adequacy</w:t>
      </w:r>
      <w:r w:rsidR="002E7E22">
        <w:rPr>
          <w:lang w:bidi="en-US"/>
        </w:rPr>
        <w:t xml:space="preserve"> simulations were performed to </w:t>
      </w:r>
      <w:r w:rsidR="002E7E22" w:rsidRPr="00B6699B">
        <w:rPr>
          <w:lang w:bidi="en-US"/>
        </w:rPr>
        <w:t xml:space="preserve">determine the amount of </w:t>
      </w:r>
      <w:r>
        <w:rPr>
          <w:lang w:bidi="en-US"/>
        </w:rPr>
        <w:t>“</w:t>
      </w:r>
      <w:r w:rsidR="002E7E22">
        <w:rPr>
          <w:lang w:bidi="en-US"/>
        </w:rPr>
        <w:t>perfect</w:t>
      </w:r>
      <w:r w:rsidR="003E6EB4">
        <w:rPr>
          <w:lang w:bidi="en-US"/>
        </w:rPr>
        <w:t>”</w:t>
      </w:r>
      <w:r w:rsidR="002E7E22">
        <w:rPr>
          <w:lang w:bidi="en-US"/>
        </w:rPr>
        <w:t xml:space="preserve"> </w:t>
      </w:r>
      <w:r w:rsidR="002E7E22" w:rsidRPr="00B6699B">
        <w:rPr>
          <w:lang w:bidi="en-US"/>
        </w:rPr>
        <w:t>capacity</w:t>
      </w:r>
      <w:r w:rsidR="009904E0">
        <w:rPr>
          <w:lang w:bidi="en-US"/>
        </w:rPr>
        <w:t>”</w:t>
      </w:r>
      <w:r w:rsidR="002E7E22" w:rsidRPr="00B6699B">
        <w:rPr>
          <w:lang w:bidi="en-US"/>
        </w:rPr>
        <w:t xml:space="preserve"> i</w:t>
      </w:r>
      <w:r w:rsidR="002E7E22">
        <w:rPr>
          <w:lang w:bidi="en-US"/>
        </w:rPr>
        <w:t>n each zone that could be removed before the NYCA LOLE reaches</w:t>
      </w:r>
      <w:r w:rsidR="002E7E22" w:rsidRPr="00B6699B">
        <w:rPr>
          <w:lang w:bidi="en-US"/>
        </w:rPr>
        <w:t xml:space="preserve"> 0.1</w:t>
      </w:r>
      <w:r w:rsidR="002E7E22">
        <w:rPr>
          <w:lang w:bidi="en-US"/>
        </w:rPr>
        <w:t xml:space="preserve"> days/year</w:t>
      </w:r>
      <w:r w:rsidR="00FA4531">
        <w:rPr>
          <w:lang w:bidi="en-US"/>
        </w:rPr>
        <w:t xml:space="preserve"> (</w:t>
      </w:r>
      <w:r w:rsidR="003E6EB4">
        <w:rPr>
          <w:lang w:bidi="en-US"/>
        </w:rPr>
        <w:t>””</w:t>
      </w:r>
      <w:r w:rsidR="00FA4531">
        <w:rPr>
          <w:lang w:bidi="en-US"/>
        </w:rPr>
        <w:t>one-event-day-in-ten-years</w:t>
      </w:r>
      <w:r w:rsidR="003E6EB4">
        <w:rPr>
          <w:lang w:bidi="en-US"/>
        </w:rPr>
        <w:t>”</w:t>
      </w:r>
      <w:r w:rsidR="00FA4531">
        <w:rPr>
          <w:lang w:bidi="en-US"/>
        </w:rPr>
        <w:t>)</w:t>
      </w:r>
      <w:r w:rsidR="002E7E22">
        <w:rPr>
          <w:lang w:bidi="en-US"/>
        </w:rPr>
        <w:t xml:space="preserve">, and </w:t>
      </w:r>
      <w:r w:rsidR="003972B6">
        <w:rPr>
          <w:lang w:bidi="en-US"/>
        </w:rPr>
        <w:t xml:space="preserve">to </w:t>
      </w:r>
      <w:r w:rsidR="002E7E22">
        <w:rPr>
          <w:lang w:bidi="en-US"/>
        </w:rPr>
        <w:t xml:space="preserve">offer another relative measure of how close the system is from </w:t>
      </w:r>
      <w:r>
        <w:rPr>
          <w:lang w:bidi="en-US"/>
        </w:rPr>
        <w:t>not having adequate resources to reliably serve load</w:t>
      </w:r>
      <w:r w:rsidR="002E7E22">
        <w:rPr>
          <w:lang w:bidi="en-US"/>
        </w:rPr>
        <w:t xml:space="preserve">. </w:t>
      </w:r>
      <w:r w:rsidR="008F6BC1">
        <w:rPr>
          <w:lang w:bidi="en-US"/>
        </w:rPr>
        <w:t>This analysis found tightening margins across the New York grid through time, with a margin of only 200 MW in New York City (Zone J) by 2030.</w:t>
      </w:r>
    </w:p>
    <w:p w14:paraId="24BEAACB" w14:textId="091F7796" w:rsidR="002E7E22" w:rsidRDefault="009904E0" w:rsidP="006010DD">
      <w:pPr>
        <w:pStyle w:val="BodyText"/>
        <w:jc w:val="left"/>
        <w:rPr>
          <w:lang w:bidi="en-US"/>
        </w:rPr>
      </w:pPr>
      <w:r>
        <w:rPr>
          <w:lang w:bidi="en-US"/>
        </w:rPr>
        <w:t xml:space="preserve">Resource capacity is </w:t>
      </w:r>
      <w:r w:rsidR="002E7E22" w:rsidRPr="00B6699B">
        <w:rPr>
          <w:lang w:bidi="en-US"/>
        </w:rPr>
        <w:t xml:space="preserve">reduced </w:t>
      </w:r>
      <w:r w:rsidR="002E7E22">
        <w:rPr>
          <w:lang w:bidi="en-US"/>
        </w:rPr>
        <w:t>one zone at a time</w:t>
      </w:r>
      <w:r w:rsidR="002E7E22" w:rsidRPr="00B6699B">
        <w:rPr>
          <w:lang w:bidi="en-US"/>
        </w:rPr>
        <w:t xml:space="preserve"> to determine when violations occur</w:t>
      </w:r>
      <w:r w:rsidR="002E7E22">
        <w:rPr>
          <w:lang w:bidi="en-US"/>
        </w:rPr>
        <w:t>,</w:t>
      </w:r>
      <w:r w:rsidR="002E7E22" w:rsidRPr="00B6699B">
        <w:rPr>
          <w:lang w:bidi="en-US"/>
        </w:rPr>
        <w:t xml:space="preserve"> in the same manner as the compensatory </w:t>
      </w:r>
      <w:r w:rsidR="002E7E22">
        <w:rPr>
          <w:lang w:bidi="en-US"/>
        </w:rPr>
        <w:t xml:space="preserve">“perfect” </w:t>
      </w:r>
      <w:r w:rsidR="002E7E22" w:rsidRPr="00B6699B">
        <w:rPr>
          <w:lang w:bidi="en-US"/>
        </w:rPr>
        <w:t>MW are added to mitigate resource adequacy violations, but with the opposite impact</w:t>
      </w:r>
      <w:r w:rsidR="006010DD">
        <w:rPr>
          <w:lang w:bidi="en-US"/>
        </w:rPr>
        <w:t xml:space="preserve">.  </w:t>
      </w:r>
      <w:proofErr w:type="gramStart"/>
      <w:r w:rsidR="003E6EB4">
        <w:t>”</w:t>
      </w:r>
      <w:r w:rsidR="002E7E22" w:rsidRPr="007521D7">
        <w:t>Perfect</w:t>
      </w:r>
      <w:proofErr w:type="gramEnd"/>
      <w:r w:rsidR="002E7E22" w:rsidRPr="007521D7">
        <w:t xml:space="preserve"> capacity</w:t>
      </w:r>
      <w:r w:rsidR="003E6EB4">
        <w:t>”</w:t>
      </w:r>
      <w:r w:rsidR="002E7E22" w:rsidRPr="007521D7">
        <w:t xml:space="preserve"> is capacity that is not derated (</w:t>
      </w:r>
      <w:r w:rsidR="002E7E22" w:rsidRPr="007D7A6B">
        <w:rPr>
          <w:i/>
        </w:rPr>
        <w:t>e.g.,</w:t>
      </w:r>
      <w:r w:rsidR="002E7E22" w:rsidRPr="007521D7">
        <w:t xml:space="preserve"> due to ambient temperature or unit unavailability)</w:t>
      </w:r>
      <w:r w:rsidR="002E7E22">
        <w:t xml:space="preserve">, </w:t>
      </w:r>
      <w:r w:rsidR="002E7E22" w:rsidRPr="0056224C">
        <w:t>not subject to energy durations limitations</w:t>
      </w:r>
      <w:r w:rsidR="00D379C2">
        <w:t xml:space="preserve"> </w:t>
      </w:r>
      <w:r w:rsidR="00D379C2" w:rsidRPr="001F3F9C">
        <w:t>(</w:t>
      </w:r>
      <w:r w:rsidR="00D379C2" w:rsidRPr="001F3F9C">
        <w:rPr>
          <w:i/>
        </w:rPr>
        <w:t>i.e.</w:t>
      </w:r>
      <w:r w:rsidR="00D379C2" w:rsidRPr="001F3F9C">
        <w:t>, available at maximum capacity every hour of the study year)</w:t>
      </w:r>
      <w:r w:rsidR="002E7E22" w:rsidRPr="001F3F9C">
        <w:t>,</w:t>
      </w:r>
      <w:r w:rsidR="002E7E22" w:rsidRPr="007521D7">
        <w:t xml:space="preserve"> and not tested for transmission security or interface impacts.  </w:t>
      </w:r>
      <w:r w:rsidR="002E7E22" w:rsidRPr="00B6699B">
        <w:rPr>
          <w:lang w:bidi="en-US"/>
        </w:rPr>
        <w:t xml:space="preserve">The zonal </w:t>
      </w:r>
      <w:r w:rsidR="002E7E22">
        <w:rPr>
          <w:lang w:bidi="en-US"/>
        </w:rPr>
        <w:t>resource margin</w:t>
      </w:r>
      <w:r w:rsidR="002E7E22" w:rsidRPr="00B6699B">
        <w:rPr>
          <w:lang w:bidi="en-US"/>
        </w:rPr>
        <w:t xml:space="preserve"> analysis is </w:t>
      </w:r>
      <w:r w:rsidR="002E7E22" w:rsidRPr="007D4483">
        <w:rPr>
          <w:lang w:bidi="en-US"/>
        </w:rPr>
        <w:t>summarized in</w:t>
      </w:r>
      <w:r w:rsidR="002E7E22">
        <w:rPr>
          <w:lang w:bidi="en-US"/>
        </w:rPr>
        <w:t xml:space="preserve"> </w:t>
      </w:r>
      <w:r w:rsidR="001F3F9C">
        <w:rPr>
          <w:lang w:bidi="en-US"/>
        </w:rPr>
        <w:fldChar w:fldCharType="begin"/>
      </w:r>
      <w:r w:rsidR="001F3F9C">
        <w:rPr>
          <w:lang w:bidi="en-US"/>
        </w:rPr>
        <w:instrText xml:space="preserve"> REF _Ref49441370 \h  \* MERGEFORMAT </w:instrText>
      </w:r>
      <w:r w:rsidR="001F3F9C">
        <w:rPr>
          <w:lang w:bidi="en-US"/>
        </w:rPr>
      </w:r>
      <w:r w:rsidR="001F3F9C">
        <w:rPr>
          <w:lang w:bidi="en-US"/>
        </w:rPr>
        <w:fldChar w:fldCharType="separate"/>
      </w:r>
      <w:r w:rsidR="00904B96">
        <w:rPr>
          <w:b/>
          <w:bCs w:val="0"/>
          <w:lang w:bidi="en-US"/>
        </w:rPr>
        <w:t>Figure xx</w:t>
      </w:r>
      <w:r w:rsidR="001F3F9C">
        <w:rPr>
          <w:lang w:bidi="en-US"/>
        </w:rPr>
        <w:fldChar w:fldCharType="end"/>
      </w:r>
      <w:r w:rsidR="00904B96">
        <w:rPr>
          <w:lang w:bidi="en-US"/>
        </w:rPr>
        <w:t>.</w:t>
      </w:r>
    </w:p>
    <w:p w14:paraId="5C325655" w14:textId="77777777" w:rsidR="00785274" w:rsidRDefault="00785274">
      <w:pPr>
        <w:rPr>
          <w:rFonts w:ascii="Cambria" w:eastAsia="Arial Narrow" w:hAnsi="Cambria"/>
          <w:b/>
          <w:bCs/>
          <w:sz w:val="22"/>
        </w:rPr>
      </w:pPr>
      <w:r>
        <w:rPr>
          <w:b/>
        </w:rPr>
        <w:br w:type="page"/>
      </w:r>
    </w:p>
    <w:p w14:paraId="2706C0B1" w14:textId="4F6B2334" w:rsidR="006B1DC7" w:rsidRPr="00CB7CA7" w:rsidRDefault="002E7E22" w:rsidP="00CB7CA7">
      <w:pPr>
        <w:pStyle w:val="BodyText"/>
        <w:rPr>
          <w:b/>
        </w:rPr>
      </w:pPr>
      <w:r w:rsidRPr="002E7E22">
        <w:rPr>
          <w:b/>
          <w:lang w:bidi="en-US"/>
        </w:rPr>
        <w:lastRenderedPageBreak/>
        <w:t xml:space="preserve">Figure </w:t>
      </w:r>
      <w:r w:rsidRPr="002E7E22">
        <w:rPr>
          <w:b/>
          <w:color w:val="FF0000"/>
          <w:lang w:bidi="en-US"/>
        </w:rPr>
        <w:t>xx</w:t>
      </w:r>
      <w:r w:rsidRPr="002E7E22">
        <w:rPr>
          <w:b/>
          <w:lang w:bidi="en-US"/>
        </w:rPr>
        <w:t>: Zonal Resource Adequacy Margin</w:t>
      </w:r>
    </w:p>
    <w:p w14:paraId="7BB99C0B" w14:textId="254C728F" w:rsidR="006B1DC7" w:rsidRDefault="00CB7CA7" w:rsidP="00CB7CA7">
      <w:pPr>
        <w:ind w:left="360"/>
        <w:jc w:val="both"/>
      </w:pPr>
      <w:r w:rsidRPr="00CB7CA7">
        <w:rPr>
          <w:noProof/>
          <w:lang w:bidi="ar-SA"/>
        </w:rPr>
        <w:drawing>
          <wp:inline distT="0" distB="0" distL="0" distR="0" wp14:anchorId="2081DD5C" wp14:editId="4DEC98C1">
            <wp:extent cx="6769942" cy="14249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88718" cy="1428892"/>
                    </a:xfrm>
                    <a:prstGeom prst="rect">
                      <a:avLst/>
                    </a:prstGeom>
                    <a:noFill/>
                    <a:ln>
                      <a:noFill/>
                    </a:ln>
                  </pic:spPr>
                </pic:pic>
              </a:graphicData>
            </a:graphic>
          </wp:inline>
        </w:drawing>
      </w:r>
    </w:p>
    <w:p w14:paraId="5E3B75CB" w14:textId="77777777" w:rsidR="000402AB" w:rsidRDefault="000402AB" w:rsidP="000402AB">
      <w:pPr>
        <w:pStyle w:val="Bulletstyle"/>
        <w:spacing w:after="0"/>
        <w:ind w:left="360"/>
        <w:rPr>
          <w:rStyle w:val="caption1Char"/>
          <w:rFonts w:ascii="Cambria" w:hAnsi="Cambria"/>
          <w:bCs/>
          <w:sz w:val="20"/>
          <w:szCs w:val="20"/>
        </w:rPr>
      </w:pPr>
      <w:r>
        <w:rPr>
          <w:rStyle w:val="caption1Char"/>
          <w:rFonts w:ascii="Cambria" w:hAnsi="Cambria"/>
          <w:bCs/>
          <w:sz w:val="20"/>
          <w:szCs w:val="20"/>
        </w:rPr>
        <w:t xml:space="preserve">Notes: </w:t>
      </w:r>
    </w:p>
    <w:p w14:paraId="6A52230B" w14:textId="4317BB0C" w:rsidR="000402AB" w:rsidRPr="000402AB" w:rsidRDefault="000402AB" w:rsidP="000402AB">
      <w:pPr>
        <w:pStyle w:val="Bulletstyle"/>
        <w:spacing w:after="0"/>
        <w:ind w:left="360"/>
        <w:rPr>
          <w:rStyle w:val="caption1Char"/>
          <w:rFonts w:ascii="Cambria" w:hAnsi="Cambria"/>
          <w:bCs/>
          <w:sz w:val="20"/>
          <w:szCs w:val="20"/>
        </w:rPr>
      </w:pPr>
      <w:r w:rsidRPr="000402AB">
        <w:rPr>
          <w:rStyle w:val="caption1Char"/>
          <w:rFonts w:ascii="Cambria" w:hAnsi="Cambria"/>
          <w:bCs/>
          <w:sz w:val="20"/>
          <w:szCs w:val="20"/>
        </w:rPr>
        <w:t xml:space="preserve">•Negative numbers indicate the amount of </w:t>
      </w:r>
      <w:r w:rsidR="0087112A">
        <w:rPr>
          <w:rStyle w:val="caption1Char"/>
          <w:rFonts w:ascii="Cambria" w:hAnsi="Cambria"/>
          <w:bCs/>
          <w:sz w:val="20"/>
          <w:szCs w:val="20"/>
        </w:rPr>
        <w:t xml:space="preserve">“perfect </w:t>
      </w:r>
      <w:r w:rsidRPr="000402AB">
        <w:rPr>
          <w:rStyle w:val="caption1Char"/>
          <w:rFonts w:ascii="Cambria" w:hAnsi="Cambria"/>
          <w:bCs/>
          <w:sz w:val="20"/>
          <w:szCs w:val="20"/>
        </w:rPr>
        <w:t>MW</w:t>
      </w:r>
      <w:r w:rsidR="0087112A">
        <w:rPr>
          <w:rStyle w:val="caption1Char"/>
          <w:rFonts w:ascii="Cambria" w:hAnsi="Cambria"/>
          <w:bCs/>
          <w:sz w:val="20"/>
          <w:szCs w:val="20"/>
        </w:rPr>
        <w:t>”</w:t>
      </w:r>
      <w:r w:rsidRPr="000402AB">
        <w:rPr>
          <w:rStyle w:val="caption1Char"/>
          <w:rFonts w:ascii="Cambria" w:hAnsi="Cambria"/>
          <w:bCs/>
          <w:sz w:val="20"/>
          <w:szCs w:val="20"/>
        </w:rPr>
        <w:t xml:space="preserve"> that can be removed from a zone without causing a violation</w:t>
      </w:r>
      <w:r w:rsidR="003972B6">
        <w:rPr>
          <w:rStyle w:val="caption1Char"/>
          <w:rFonts w:ascii="Cambria" w:hAnsi="Cambria"/>
          <w:bCs/>
          <w:sz w:val="20"/>
          <w:szCs w:val="20"/>
        </w:rPr>
        <w:t>.</w:t>
      </w:r>
    </w:p>
    <w:p w14:paraId="6C17593A" w14:textId="39230134" w:rsidR="000402AB" w:rsidRPr="000402AB" w:rsidRDefault="000402AB" w:rsidP="000402AB">
      <w:pPr>
        <w:pStyle w:val="Bulletstyle"/>
        <w:spacing w:after="0"/>
        <w:ind w:left="360"/>
        <w:rPr>
          <w:rStyle w:val="caption1Char"/>
          <w:rFonts w:ascii="Cambria" w:hAnsi="Cambria"/>
          <w:bCs/>
          <w:sz w:val="20"/>
          <w:szCs w:val="20"/>
        </w:rPr>
      </w:pPr>
      <w:r w:rsidRPr="000402AB">
        <w:rPr>
          <w:rStyle w:val="caption1Char"/>
          <w:rFonts w:ascii="Cambria" w:hAnsi="Cambria"/>
          <w:bCs/>
          <w:sz w:val="20"/>
          <w:szCs w:val="20"/>
        </w:rPr>
        <w:t>•EZR - exceeds zonal resources (all generation can be removed without causing a violation)</w:t>
      </w:r>
      <w:r w:rsidR="003972B6">
        <w:rPr>
          <w:rStyle w:val="caption1Char"/>
          <w:rFonts w:ascii="Cambria" w:hAnsi="Cambria"/>
          <w:bCs/>
          <w:sz w:val="20"/>
          <w:szCs w:val="20"/>
        </w:rPr>
        <w:t>.</w:t>
      </w:r>
      <w:r w:rsidRPr="000402AB">
        <w:rPr>
          <w:rStyle w:val="caption1Char"/>
          <w:rFonts w:ascii="Cambria" w:hAnsi="Cambria"/>
          <w:bCs/>
          <w:sz w:val="20"/>
          <w:szCs w:val="20"/>
        </w:rPr>
        <w:t xml:space="preserve"> </w:t>
      </w:r>
    </w:p>
    <w:p w14:paraId="05F3499A" w14:textId="7447BF77" w:rsidR="002E7E22" w:rsidRPr="000402AB" w:rsidRDefault="000402AB" w:rsidP="000402AB">
      <w:pPr>
        <w:pStyle w:val="Bulletstyle"/>
        <w:spacing w:after="0"/>
        <w:ind w:left="360"/>
        <w:rPr>
          <w:rStyle w:val="caption1Char"/>
          <w:rFonts w:ascii="Cambria" w:hAnsi="Cambria"/>
          <w:bCs/>
          <w:sz w:val="20"/>
          <w:szCs w:val="20"/>
        </w:rPr>
      </w:pPr>
      <w:r w:rsidRPr="000402AB">
        <w:rPr>
          <w:rStyle w:val="caption1Char"/>
          <w:rFonts w:ascii="Cambria" w:hAnsi="Cambria"/>
          <w:bCs/>
          <w:sz w:val="20"/>
          <w:szCs w:val="20"/>
        </w:rPr>
        <w:t xml:space="preserve">•The generation pockets in Zone J and Zone K are not modeled in detail in MARS and the </w:t>
      </w:r>
      <w:r w:rsidR="0087112A">
        <w:rPr>
          <w:rStyle w:val="caption1Char"/>
          <w:rFonts w:ascii="Cambria" w:hAnsi="Cambria"/>
          <w:bCs/>
          <w:sz w:val="20"/>
          <w:szCs w:val="20"/>
        </w:rPr>
        <w:t>margins</w:t>
      </w:r>
      <w:r w:rsidR="0087112A" w:rsidRPr="000402AB">
        <w:rPr>
          <w:rStyle w:val="caption1Char"/>
          <w:rFonts w:ascii="Cambria" w:hAnsi="Cambria"/>
          <w:bCs/>
          <w:sz w:val="20"/>
          <w:szCs w:val="20"/>
        </w:rPr>
        <w:t xml:space="preserve"> </w:t>
      </w:r>
      <w:r w:rsidRPr="000402AB">
        <w:rPr>
          <w:rStyle w:val="caption1Char"/>
          <w:rFonts w:ascii="Cambria" w:hAnsi="Cambria"/>
          <w:bCs/>
          <w:sz w:val="20"/>
          <w:szCs w:val="20"/>
        </w:rPr>
        <w:t xml:space="preserve">identified here may be </w:t>
      </w:r>
      <w:r w:rsidR="0087112A">
        <w:rPr>
          <w:rStyle w:val="caption1Char"/>
          <w:rFonts w:ascii="Cambria" w:hAnsi="Cambria"/>
          <w:bCs/>
          <w:sz w:val="20"/>
          <w:szCs w:val="20"/>
        </w:rPr>
        <w:t>smaller</w:t>
      </w:r>
      <w:r w:rsidR="00095D35" w:rsidRPr="000402AB">
        <w:rPr>
          <w:rStyle w:val="caption1Char"/>
          <w:rFonts w:ascii="Cambria" w:hAnsi="Cambria"/>
          <w:bCs/>
          <w:sz w:val="20"/>
          <w:szCs w:val="20"/>
        </w:rPr>
        <w:t xml:space="preserve"> </w:t>
      </w:r>
      <w:r w:rsidRPr="000402AB">
        <w:rPr>
          <w:rStyle w:val="caption1Char"/>
          <w:rFonts w:ascii="Cambria" w:hAnsi="Cambria"/>
          <w:bCs/>
          <w:sz w:val="20"/>
          <w:szCs w:val="20"/>
        </w:rPr>
        <w:t>as a result</w:t>
      </w:r>
      <w:r w:rsidR="003972B6">
        <w:rPr>
          <w:rStyle w:val="caption1Char"/>
          <w:rFonts w:ascii="Cambria" w:hAnsi="Cambria"/>
          <w:bCs/>
          <w:sz w:val="20"/>
          <w:szCs w:val="20"/>
        </w:rPr>
        <w:t>.</w:t>
      </w:r>
    </w:p>
    <w:p w14:paraId="7901CC4D" w14:textId="77777777" w:rsidR="002E7E22" w:rsidRPr="006B1DC7" w:rsidRDefault="002E7E22" w:rsidP="006B1DC7"/>
    <w:p w14:paraId="43E2E182" w14:textId="08A86D1A" w:rsidR="002E7E22" w:rsidRPr="007D6C02" w:rsidRDefault="002E7E22" w:rsidP="002E7E22">
      <w:pPr>
        <w:pStyle w:val="BodyText"/>
        <w:rPr>
          <w:color w:val="000000" w:themeColor="text1"/>
        </w:rPr>
      </w:pPr>
      <w:r w:rsidRPr="007D6C02">
        <w:rPr>
          <w:color w:val="000000" w:themeColor="text1"/>
        </w:rPr>
        <w:t xml:space="preserve">The </w:t>
      </w:r>
      <w:r>
        <w:rPr>
          <w:color w:val="000000" w:themeColor="text1"/>
        </w:rPr>
        <w:t>ZRAM</w:t>
      </w:r>
      <w:r w:rsidRPr="007D6C02">
        <w:rPr>
          <w:color w:val="000000" w:themeColor="text1"/>
        </w:rPr>
        <w:t xml:space="preserve"> assessment identifies a maximum level of </w:t>
      </w:r>
      <w:r w:rsidR="009904E0">
        <w:rPr>
          <w:color w:val="000000" w:themeColor="text1"/>
        </w:rPr>
        <w:t>“</w:t>
      </w:r>
      <w:r>
        <w:rPr>
          <w:color w:val="000000" w:themeColor="text1"/>
        </w:rPr>
        <w:t xml:space="preserve">perfect </w:t>
      </w:r>
      <w:r w:rsidRPr="007D6C02">
        <w:rPr>
          <w:color w:val="000000" w:themeColor="text1"/>
        </w:rPr>
        <w:t>capacity</w:t>
      </w:r>
      <w:r w:rsidR="00D379C2">
        <w:rPr>
          <w:color w:val="000000" w:themeColor="text1"/>
        </w:rPr>
        <w:t>”</w:t>
      </w:r>
      <w:r w:rsidRPr="007D6C02">
        <w:rPr>
          <w:color w:val="000000" w:themeColor="text1"/>
        </w:rPr>
        <w:t xml:space="preserve"> that can be removed from each zone without causing NYCA LOLE criterion violations</w:t>
      </w:r>
      <w:r>
        <w:rPr>
          <w:color w:val="000000" w:themeColor="text1"/>
        </w:rPr>
        <w:t xml:space="preserve">. </w:t>
      </w:r>
      <w:r w:rsidRPr="007D6C02">
        <w:rPr>
          <w:color w:val="000000" w:themeColor="text1"/>
        </w:rPr>
        <w:t>However, the impacts of removing capacity on the reliability of the transmission system and on transfer capability are highly location dependent</w:t>
      </w:r>
      <w:r>
        <w:rPr>
          <w:color w:val="000000" w:themeColor="text1"/>
        </w:rPr>
        <w:t xml:space="preserve">. </w:t>
      </w:r>
      <w:r w:rsidRPr="007D6C02">
        <w:rPr>
          <w:color w:val="000000" w:themeColor="text1"/>
        </w:rPr>
        <w:t>Thus, in reality, lower amounts of capacity removal are likely to result in reliability issues at specific transmission locations</w:t>
      </w:r>
      <w:r>
        <w:rPr>
          <w:color w:val="000000" w:themeColor="text1"/>
        </w:rPr>
        <w:t xml:space="preserve">. </w:t>
      </w:r>
      <w:r w:rsidR="005A4A26">
        <w:rPr>
          <w:color w:val="000000" w:themeColor="text1"/>
        </w:rPr>
        <w:t xml:space="preserve"> </w:t>
      </w:r>
      <w:r w:rsidR="009F66C9">
        <w:rPr>
          <w:color w:val="000000" w:themeColor="text1"/>
        </w:rPr>
        <w:t>With these simulations, t</w:t>
      </w:r>
      <w:r w:rsidRPr="007D6C02">
        <w:rPr>
          <w:color w:val="000000" w:themeColor="text1"/>
        </w:rPr>
        <w:t>he NYISO did not attempt to assess a comprehensive set of potential scenarios that might arise from specific unit retirements</w:t>
      </w:r>
      <w:r>
        <w:rPr>
          <w:color w:val="000000" w:themeColor="text1"/>
        </w:rPr>
        <w:t xml:space="preserve">. </w:t>
      </w:r>
      <w:r w:rsidRPr="007D6C02">
        <w:rPr>
          <w:color w:val="000000" w:themeColor="text1"/>
        </w:rPr>
        <w:t xml:space="preserve">Therefore, actual proposed capacity removal from any of these </w:t>
      </w:r>
      <w:r>
        <w:rPr>
          <w:color w:val="000000" w:themeColor="text1"/>
        </w:rPr>
        <w:t>z</w:t>
      </w:r>
      <w:r w:rsidRPr="007D6C02">
        <w:rPr>
          <w:color w:val="000000" w:themeColor="text1"/>
        </w:rPr>
        <w:t>ones would need to be further studied in light of the specific capacity locations in the transmission network to determine whether any additional violations of reliability criteria would result</w:t>
      </w:r>
      <w:r>
        <w:rPr>
          <w:color w:val="000000" w:themeColor="text1"/>
        </w:rPr>
        <w:t xml:space="preserve">. </w:t>
      </w:r>
      <w:r w:rsidRPr="007D6C02">
        <w:rPr>
          <w:color w:val="000000" w:themeColor="text1"/>
        </w:rPr>
        <w:t xml:space="preserve">Additional transmission security analysis, such as N-1-1 </w:t>
      </w:r>
      <w:r w:rsidR="009F66C9">
        <w:rPr>
          <w:color w:val="000000" w:themeColor="text1"/>
        </w:rPr>
        <w:t xml:space="preserve">steady-state </w:t>
      </w:r>
      <w:r w:rsidRPr="007D6C02">
        <w:rPr>
          <w:color w:val="000000" w:themeColor="text1"/>
        </w:rPr>
        <w:t>analysis</w:t>
      </w:r>
      <w:r w:rsidR="009F66C9">
        <w:rPr>
          <w:color w:val="000000" w:themeColor="text1"/>
        </w:rPr>
        <w:t xml:space="preserve">, transient stability, </w:t>
      </w:r>
      <w:r w:rsidR="003E6EB4">
        <w:rPr>
          <w:color w:val="000000" w:themeColor="text1"/>
        </w:rPr>
        <w:t xml:space="preserve">and </w:t>
      </w:r>
      <w:r w:rsidR="009F66C9">
        <w:rPr>
          <w:color w:val="000000" w:themeColor="text1"/>
        </w:rPr>
        <w:t>short circuit</w:t>
      </w:r>
      <w:r w:rsidRPr="007D6C02">
        <w:rPr>
          <w:color w:val="000000" w:themeColor="text1"/>
        </w:rPr>
        <w:t xml:space="preserve">, would </w:t>
      </w:r>
      <w:r w:rsidR="009904E0">
        <w:rPr>
          <w:color w:val="000000" w:themeColor="text1"/>
        </w:rPr>
        <w:t>be necessary</w:t>
      </w:r>
      <w:r w:rsidRPr="007D6C02">
        <w:rPr>
          <w:color w:val="000000" w:themeColor="text1"/>
        </w:rPr>
        <w:t xml:space="preserve"> </w:t>
      </w:r>
      <w:r w:rsidR="009B2318">
        <w:rPr>
          <w:color w:val="000000" w:themeColor="text1"/>
        </w:rPr>
        <w:t>under the applicable process f</w:t>
      </w:r>
      <w:r w:rsidRPr="007D6C02">
        <w:rPr>
          <w:color w:val="000000" w:themeColor="text1"/>
        </w:rPr>
        <w:t xml:space="preserve">or any contemplated plant retirement in any </w:t>
      </w:r>
      <w:r>
        <w:rPr>
          <w:color w:val="000000" w:themeColor="text1"/>
        </w:rPr>
        <w:t>z</w:t>
      </w:r>
      <w:r w:rsidRPr="007D6C02">
        <w:rPr>
          <w:color w:val="000000" w:themeColor="text1"/>
        </w:rPr>
        <w:t>one.</w:t>
      </w:r>
    </w:p>
    <w:p w14:paraId="5B21067F" w14:textId="0008AD27" w:rsidR="006B1DC7" w:rsidRDefault="00724DE4" w:rsidP="000A4A15">
      <w:pPr>
        <w:pStyle w:val="Heading3"/>
      </w:pPr>
      <w:bookmarkStart w:id="41" w:name="_Toc80032260"/>
      <w:bookmarkStart w:id="42" w:name="_Toc80191649"/>
      <w:bookmarkStart w:id="43" w:name="_Toc81138685"/>
      <w:r>
        <w:t>Binding Interface</w:t>
      </w:r>
      <w:r w:rsidR="00ED78F8">
        <w:t>s</w:t>
      </w:r>
      <w:bookmarkEnd w:id="41"/>
      <w:bookmarkEnd w:id="42"/>
      <w:bookmarkEnd w:id="43"/>
    </w:p>
    <w:p w14:paraId="5EE6BD94" w14:textId="3445AF3C" w:rsidR="00927EF0" w:rsidRPr="0098448D" w:rsidRDefault="009576E0" w:rsidP="0098448D">
      <w:pPr>
        <w:pStyle w:val="BodyText"/>
      </w:pPr>
      <w:r w:rsidRPr="00CB4426">
        <w:t>To</w:t>
      </w:r>
      <w:r w:rsidR="00CB4426" w:rsidRPr="00CB4426">
        <w:t xml:space="preserve"> determine whether or not a specific </w:t>
      </w:r>
      <w:r w:rsidR="008A04A5">
        <w:t>transmission</w:t>
      </w:r>
      <w:r w:rsidR="008A04A5" w:rsidRPr="00CB4426">
        <w:t xml:space="preserve"> </w:t>
      </w:r>
      <w:r w:rsidR="00CB4426" w:rsidRPr="00CB4426">
        <w:t xml:space="preserve">interface impacts </w:t>
      </w:r>
      <w:r w:rsidR="009904E0">
        <w:t>system resource adequacy</w:t>
      </w:r>
      <w:r w:rsidR="00CB4426" w:rsidRPr="00CB4426">
        <w:t xml:space="preserve">, </w:t>
      </w:r>
      <w:r w:rsidR="007C5860">
        <w:t>‘</w:t>
      </w:r>
      <w:r w:rsidR="00CB4426" w:rsidRPr="00CB4426">
        <w:t>free-flow</w:t>
      </w:r>
      <w:r w:rsidR="007C5860">
        <w:t>’</w:t>
      </w:r>
      <w:r w:rsidR="00CB4426" w:rsidRPr="00CB4426">
        <w:t xml:space="preserve"> simulations were performed</w:t>
      </w:r>
      <w:r w:rsidR="008A04A5">
        <w:t xml:space="preserve"> for targeted interfaces</w:t>
      </w:r>
      <w:r w:rsidR="00CB4426">
        <w:t xml:space="preserve">.  </w:t>
      </w:r>
      <w:r w:rsidR="00E532D7">
        <w:t xml:space="preserve">This is implemented in </w:t>
      </w:r>
      <w:r w:rsidR="009904E0">
        <w:t>resource adequacy</w:t>
      </w:r>
      <w:r w:rsidR="008A04A5">
        <w:t xml:space="preserve"> models </w:t>
      </w:r>
      <w:r w:rsidR="00E532D7">
        <w:t xml:space="preserve">by removing the limit on various </w:t>
      </w:r>
      <w:r w:rsidR="009904E0">
        <w:t xml:space="preserve">transmission </w:t>
      </w:r>
      <w:r w:rsidR="00E532D7">
        <w:t xml:space="preserve">interfaces, either one at the time, or </w:t>
      </w:r>
      <w:r w:rsidR="003E6EB4">
        <w:t xml:space="preserve">in various </w:t>
      </w:r>
      <w:r w:rsidR="00CB4426">
        <w:t>combinations</w:t>
      </w:r>
      <w:r w:rsidR="003972B6">
        <w:t xml:space="preserve"> </w:t>
      </w:r>
      <w:r w:rsidR="00E532D7">
        <w:t>(</w:t>
      </w:r>
      <w:proofErr w:type="gramStart"/>
      <w:r w:rsidR="00E532D7" w:rsidRPr="00CB4426">
        <w:rPr>
          <w:i/>
        </w:rPr>
        <w:t>i.e.</w:t>
      </w:r>
      <w:proofErr w:type="gramEnd"/>
      <w:r w:rsidR="00E532D7" w:rsidRPr="00CB4426">
        <w:rPr>
          <w:i/>
        </w:rPr>
        <w:t xml:space="preserve"> </w:t>
      </w:r>
      <w:r w:rsidR="00E532D7">
        <w:t xml:space="preserve">“free flow”).  </w:t>
      </w:r>
      <w:r w:rsidR="00CC0C02">
        <w:t xml:space="preserve">A decrease in the </w:t>
      </w:r>
      <w:r w:rsidR="00CB4426">
        <w:t xml:space="preserve">NYCA </w:t>
      </w:r>
      <w:r w:rsidR="00CC0C02">
        <w:t xml:space="preserve">LOLE </w:t>
      </w:r>
      <w:r w:rsidR="00724DE4">
        <w:t xml:space="preserve">resulting from removal of an interface limit </w:t>
      </w:r>
      <w:r w:rsidR="00CB4426" w:rsidRPr="00CB4426">
        <w:t xml:space="preserve">is an indication </w:t>
      </w:r>
      <w:r w:rsidR="003E6EB4">
        <w:t xml:space="preserve">that </w:t>
      </w:r>
      <w:r w:rsidR="00724DE4">
        <w:t>the flow of power across the</w:t>
      </w:r>
      <w:r w:rsidR="00D77411">
        <w:t xml:space="preserve"> </w:t>
      </w:r>
      <w:r w:rsidR="00CB4426" w:rsidRPr="00CB4426">
        <w:t>interface</w:t>
      </w:r>
      <w:r w:rsidR="003E6EB4">
        <w:t xml:space="preserve"> </w:t>
      </w:r>
      <w:r w:rsidR="00CA5722">
        <w:t>is</w:t>
      </w:r>
      <w:r w:rsidR="005A4A26">
        <w:t xml:space="preserve"> </w:t>
      </w:r>
      <w:r w:rsidR="008A04A5">
        <w:t>“</w:t>
      </w:r>
      <w:r w:rsidR="00CB4426" w:rsidRPr="00CB4426">
        <w:t>binding</w:t>
      </w:r>
      <w:r w:rsidR="003E6EB4">
        <w:t>”</w:t>
      </w:r>
      <w:r w:rsidR="00CC0C02">
        <w:t xml:space="preserve"> </w:t>
      </w:r>
      <w:r w:rsidR="008A04A5">
        <w:t>due to transmission constraints</w:t>
      </w:r>
      <w:r w:rsidR="00CC0C02">
        <w:t>.</w:t>
      </w:r>
      <w:r w:rsidR="008A04A5">
        <w:t xml:space="preserve">  </w:t>
      </w:r>
      <w:r w:rsidR="00E532D7">
        <w:t xml:space="preserve">The results of these simulations are </w:t>
      </w:r>
      <w:r w:rsidR="008A04A5">
        <w:t>shown in Figure ##</w:t>
      </w:r>
      <w:r w:rsidR="00E532D7">
        <w:t>.</w:t>
      </w:r>
    </w:p>
    <w:p w14:paraId="232806A5" w14:textId="77777777" w:rsidR="00785274" w:rsidRDefault="00785274">
      <w:pPr>
        <w:rPr>
          <w:rFonts w:ascii="Cambria" w:eastAsia="Arial Narrow" w:hAnsi="Cambria"/>
          <w:b/>
          <w:bCs/>
          <w:sz w:val="22"/>
          <w:lang w:bidi="ar-SA"/>
        </w:rPr>
      </w:pPr>
      <w:r>
        <w:rPr>
          <w:b/>
        </w:rPr>
        <w:br w:type="page"/>
      </w:r>
    </w:p>
    <w:p w14:paraId="5D572C81" w14:textId="1F4E8A9A" w:rsidR="001F3F9C" w:rsidRPr="007F4000" w:rsidRDefault="00E532D7" w:rsidP="007F4000">
      <w:pPr>
        <w:pStyle w:val="BodyText"/>
        <w:rPr>
          <w:b/>
        </w:rPr>
      </w:pPr>
      <w:r w:rsidRPr="007F4000">
        <w:rPr>
          <w:b/>
        </w:rPr>
        <w:lastRenderedPageBreak/>
        <w:t xml:space="preserve">Figure </w:t>
      </w:r>
      <w:r w:rsidRPr="007F4000">
        <w:rPr>
          <w:b/>
          <w:color w:val="FF0000"/>
        </w:rPr>
        <w:t>xx</w:t>
      </w:r>
      <w:r w:rsidRPr="007F4000">
        <w:rPr>
          <w:b/>
        </w:rPr>
        <w:t xml:space="preserve">: </w:t>
      </w:r>
      <w:r w:rsidR="009727FF" w:rsidRPr="007F4000">
        <w:rPr>
          <w:b/>
        </w:rPr>
        <w:t>Binding Interface Analysis</w:t>
      </w:r>
    </w:p>
    <w:p w14:paraId="4FA5310C" w14:textId="5C330BC7" w:rsidR="00B92B4C" w:rsidRDefault="0087112A" w:rsidP="007F4000">
      <w:pPr>
        <w:pStyle w:val="BodyText"/>
      </w:pPr>
      <w:r w:rsidRPr="0087112A">
        <w:rPr>
          <w:noProof/>
        </w:rPr>
        <w:drawing>
          <wp:inline distT="0" distB="0" distL="0" distR="0" wp14:anchorId="1CB5EE40" wp14:editId="75E7123A">
            <wp:extent cx="3560618" cy="2679640"/>
            <wp:effectExtent l="0" t="0" r="1905" b="698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72213" cy="2688366"/>
                    </a:xfrm>
                    <a:prstGeom prst="rect">
                      <a:avLst/>
                    </a:prstGeom>
                    <a:noFill/>
                    <a:ln>
                      <a:noFill/>
                    </a:ln>
                  </pic:spPr>
                </pic:pic>
              </a:graphicData>
            </a:graphic>
          </wp:inline>
        </w:drawing>
      </w:r>
    </w:p>
    <w:p w14:paraId="199FEE72" w14:textId="2D57CAFA" w:rsidR="00CB4426" w:rsidRDefault="00CB4426" w:rsidP="007F4000">
      <w:pPr>
        <w:pStyle w:val="BodyText"/>
      </w:pPr>
      <w:r w:rsidRPr="00CB4426">
        <w:t>The results show that:</w:t>
      </w:r>
    </w:p>
    <w:p w14:paraId="28BFBFBB" w14:textId="3F2F7225" w:rsidR="00CB4426" w:rsidRPr="00CB4426" w:rsidRDefault="003A190A" w:rsidP="00A217C0">
      <w:pPr>
        <w:pStyle w:val="BodyText"/>
        <w:numPr>
          <w:ilvl w:val="0"/>
          <w:numId w:val="10"/>
        </w:numPr>
      </w:pPr>
      <w:r>
        <w:t xml:space="preserve">The </w:t>
      </w:r>
      <w:r w:rsidR="00CF3571">
        <w:t xml:space="preserve">system </w:t>
      </w:r>
      <w:r w:rsidR="00462313">
        <w:t>resource adequacy improves</w:t>
      </w:r>
      <w:r w:rsidR="00CF3571">
        <w:t xml:space="preserve"> when the </w:t>
      </w:r>
      <w:proofErr w:type="spellStart"/>
      <w:r w:rsidR="00CB4426" w:rsidRPr="00CB4426">
        <w:t>Dunwoodie</w:t>
      </w:r>
      <w:proofErr w:type="spellEnd"/>
      <w:r w:rsidR="00CB4426" w:rsidRPr="00CB4426">
        <w:t xml:space="preserve"> South interface </w:t>
      </w:r>
      <w:r w:rsidR="00CF3571">
        <w:t xml:space="preserve">constraints (Zone I to Zone J) are alleviated, </w:t>
      </w:r>
      <w:r w:rsidR="00927EF0">
        <w:t xml:space="preserve">which is an indication </w:t>
      </w:r>
      <w:r>
        <w:t xml:space="preserve">that the </w:t>
      </w:r>
      <w:r w:rsidR="00CF3571">
        <w:t xml:space="preserve">transmission </w:t>
      </w:r>
      <w:r>
        <w:t>interface</w:t>
      </w:r>
      <w:r w:rsidR="00927EF0">
        <w:t xml:space="preserve"> is </w:t>
      </w:r>
      <w:r w:rsidR="00CF3571">
        <w:t>“</w:t>
      </w:r>
      <w:r w:rsidR="00927EF0">
        <w:t>binding</w:t>
      </w:r>
      <w:r>
        <w:t>.”</w:t>
      </w:r>
      <w:r w:rsidR="00927EF0">
        <w:t xml:space="preserve"> In other words, if </w:t>
      </w:r>
      <w:r w:rsidR="00CF3571">
        <w:t xml:space="preserve">the </w:t>
      </w:r>
      <w:proofErr w:type="spellStart"/>
      <w:r w:rsidR="00CF3571">
        <w:t>Dunwoodie</w:t>
      </w:r>
      <w:proofErr w:type="spellEnd"/>
      <w:r w:rsidR="00CF3571">
        <w:t xml:space="preserve"> South</w:t>
      </w:r>
      <w:r w:rsidR="00927EF0">
        <w:t xml:space="preserve"> interface limits increase</w:t>
      </w:r>
      <w:r w:rsidR="00CF3571">
        <w:t xml:space="preserve"> due to a system change such as a transmission upgrade</w:t>
      </w:r>
      <w:r w:rsidR="00927EF0">
        <w:t xml:space="preserve">, </w:t>
      </w:r>
      <w:r w:rsidR="001F33AA">
        <w:t>grid</w:t>
      </w:r>
      <w:r w:rsidR="00CF3571">
        <w:t xml:space="preserve"> </w:t>
      </w:r>
      <w:r>
        <w:t>resource adequacy</w:t>
      </w:r>
      <w:r w:rsidR="00CF3571">
        <w:t xml:space="preserve"> would improve</w:t>
      </w:r>
      <w:r w:rsidR="00927EF0">
        <w:t>.</w:t>
      </w:r>
      <w:r w:rsidR="001F33AA">
        <w:t xml:space="preserve">  The extent of improvement to resource adequacy would depend on the nature of the system change</w:t>
      </w:r>
      <w:r w:rsidR="00927EF0">
        <w:t>.</w:t>
      </w:r>
    </w:p>
    <w:p w14:paraId="5F2B313D" w14:textId="1A3AC564" w:rsidR="00CB4426" w:rsidRDefault="003A190A" w:rsidP="00A217C0">
      <w:pPr>
        <w:pStyle w:val="BodyText"/>
        <w:numPr>
          <w:ilvl w:val="0"/>
          <w:numId w:val="10"/>
        </w:numPr>
      </w:pPr>
      <w:r>
        <w:t xml:space="preserve">The </w:t>
      </w:r>
      <w:r w:rsidR="001F33AA">
        <w:t>grid</w:t>
      </w:r>
      <w:r w:rsidR="00CF3571">
        <w:t xml:space="preserve"> </w:t>
      </w:r>
      <w:r w:rsidR="001F33AA">
        <w:t>resource adequacy</w:t>
      </w:r>
      <w:r w:rsidR="00CF3571">
        <w:t xml:space="preserve"> is not materially impacted by the </w:t>
      </w:r>
      <w:r w:rsidR="00CB4426" w:rsidRPr="00CB4426">
        <w:t>UPNY-</w:t>
      </w:r>
      <w:proofErr w:type="spellStart"/>
      <w:r w:rsidR="00CB4426" w:rsidRPr="00CB4426">
        <w:t>ConEd</w:t>
      </w:r>
      <w:proofErr w:type="spellEnd"/>
      <w:r>
        <w:t xml:space="preserve"> </w:t>
      </w:r>
      <w:r w:rsidR="00CF3571">
        <w:t xml:space="preserve">constraints (Zone G to Zone H), </w:t>
      </w:r>
      <w:r w:rsidR="00CB4426" w:rsidRPr="00CB4426">
        <w:t xml:space="preserve">due to the fact that most of the </w:t>
      </w:r>
      <w:r w:rsidR="00CF3571">
        <w:t>loss-of-load</w:t>
      </w:r>
      <w:r w:rsidR="00CF3571" w:rsidRPr="00CB4426">
        <w:t xml:space="preserve"> </w:t>
      </w:r>
      <w:r w:rsidR="00CB4426" w:rsidRPr="00CB4426">
        <w:t xml:space="preserve">events are in Zone J, and the </w:t>
      </w:r>
      <w:proofErr w:type="spellStart"/>
      <w:r w:rsidR="00CF3571">
        <w:t>Dunwoodie</w:t>
      </w:r>
      <w:proofErr w:type="spellEnd"/>
      <w:r w:rsidR="00CF3571">
        <w:t xml:space="preserve"> South</w:t>
      </w:r>
      <w:r w:rsidR="00CB4426" w:rsidRPr="00CB4426">
        <w:t xml:space="preserve"> interface ‘binds’ first</w:t>
      </w:r>
      <w:r w:rsidR="008A04A5">
        <w:t>.  Therefore</w:t>
      </w:r>
      <w:r w:rsidR="008F6BC1">
        <w:t>,</w:t>
      </w:r>
      <w:r w:rsidR="008A04A5">
        <w:t xml:space="preserve"> an upgrade to only UPNY-</w:t>
      </w:r>
      <w:proofErr w:type="spellStart"/>
      <w:r w:rsidR="008A04A5">
        <w:t>ConEd</w:t>
      </w:r>
      <w:proofErr w:type="spellEnd"/>
      <w:r w:rsidR="008A04A5">
        <w:t xml:space="preserve"> and not </w:t>
      </w:r>
      <w:proofErr w:type="spellStart"/>
      <w:r w:rsidR="008A04A5">
        <w:t>Dunwoodie</w:t>
      </w:r>
      <w:proofErr w:type="spellEnd"/>
      <w:r w:rsidR="008A04A5">
        <w:t xml:space="preserve"> South would not provide a material resource adequacy benefit</w:t>
      </w:r>
      <w:r w:rsidR="00F26FC9">
        <w:t>.</w:t>
      </w:r>
    </w:p>
    <w:p w14:paraId="5299F93E" w14:textId="72B3C7B9" w:rsidR="006B1DC7" w:rsidRDefault="00CB4426" w:rsidP="00A217C0">
      <w:pPr>
        <w:pStyle w:val="BodyText"/>
        <w:numPr>
          <w:ilvl w:val="0"/>
          <w:numId w:val="10"/>
        </w:numPr>
      </w:pPr>
      <w:r>
        <w:t xml:space="preserve">When </w:t>
      </w:r>
      <w:r w:rsidR="00CF3571">
        <w:t>both</w:t>
      </w:r>
      <w:r>
        <w:t xml:space="preserve"> the </w:t>
      </w:r>
      <w:proofErr w:type="spellStart"/>
      <w:r>
        <w:t>Dunwoodie</w:t>
      </w:r>
      <w:proofErr w:type="spellEnd"/>
      <w:r>
        <w:t xml:space="preserve"> South </w:t>
      </w:r>
      <w:r w:rsidR="00CF3571">
        <w:t>and</w:t>
      </w:r>
      <w:r w:rsidR="00A26496">
        <w:t xml:space="preserve"> </w:t>
      </w:r>
      <w:r>
        <w:t>UPNY-</w:t>
      </w:r>
      <w:proofErr w:type="spellStart"/>
      <w:r>
        <w:t>ConEd</w:t>
      </w:r>
      <w:proofErr w:type="spellEnd"/>
      <w:r>
        <w:t xml:space="preserve"> interface </w:t>
      </w:r>
      <w:r w:rsidR="008A04A5">
        <w:t xml:space="preserve">constraints are alleviated together, </w:t>
      </w:r>
      <w:r w:rsidR="001F33AA">
        <w:t>grid</w:t>
      </w:r>
      <w:r w:rsidR="008A04A5">
        <w:t xml:space="preserve"> </w:t>
      </w:r>
      <w:r w:rsidR="001F33AA">
        <w:t>resource adequacy</w:t>
      </w:r>
      <w:r w:rsidR="008A04A5">
        <w:t xml:space="preserve"> is improved more so than if </w:t>
      </w:r>
      <w:proofErr w:type="spellStart"/>
      <w:r w:rsidR="008A04A5">
        <w:t>Dunwoodie</w:t>
      </w:r>
      <w:proofErr w:type="spellEnd"/>
      <w:r w:rsidR="008A04A5">
        <w:t xml:space="preserve"> South alone is upgraded.</w:t>
      </w:r>
      <w:r>
        <w:t xml:space="preserve"> </w:t>
      </w:r>
    </w:p>
    <w:p w14:paraId="241C87ED" w14:textId="49782C33" w:rsidR="00B97758" w:rsidRPr="001921EA" w:rsidRDefault="00B97758" w:rsidP="00B97758">
      <w:pPr>
        <w:pStyle w:val="BodyText"/>
        <w:numPr>
          <w:ilvl w:val="0"/>
          <w:numId w:val="10"/>
        </w:numPr>
      </w:pPr>
      <w:bookmarkStart w:id="44" w:name="_Toc80191650"/>
      <w:r w:rsidRPr="001921EA">
        <w:t xml:space="preserve">The difference in LOLE between the “NYCA free flow” case and the case when </w:t>
      </w:r>
      <w:proofErr w:type="spellStart"/>
      <w:r w:rsidRPr="001921EA">
        <w:t>Dunwoodie</w:t>
      </w:r>
      <w:proofErr w:type="spellEnd"/>
      <w:r w:rsidRPr="001921EA">
        <w:t xml:space="preserve"> South and UPNY-</w:t>
      </w:r>
      <w:proofErr w:type="spellStart"/>
      <w:r w:rsidRPr="001921EA">
        <w:t>ConEd</w:t>
      </w:r>
      <w:proofErr w:type="spellEnd"/>
      <w:r w:rsidRPr="001921EA">
        <w:t xml:space="preserve"> are unlimited is </w:t>
      </w:r>
      <w:r w:rsidR="00462313" w:rsidRPr="001921EA">
        <w:t xml:space="preserve">only </w:t>
      </w:r>
      <w:r w:rsidR="009576E0" w:rsidRPr="001921EA">
        <w:t xml:space="preserve">approximately </w:t>
      </w:r>
      <w:r w:rsidRPr="001921EA">
        <w:t xml:space="preserve">0.005, which indicates that there is almost no further </w:t>
      </w:r>
      <w:r w:rsidR="009576E0" w:rsidRPr="001921EA">
        <w:t xml:space="preserve">resource adequacy </w:t>
      </w:r>
      <w:r w:rsidRPr="001921EA">
        <w:t xml:space="preserve">improvement that would be achieved from </w:t>
      </w:r>
      <w:r w:rsidR="00FC29B3" w:rsidRPr="001921EA">
        <w:t xml:space="preserve">increasing </w:t>
      </w:r>
      <w:r w:rsidRPr="001921EA">
        <w:t>additional interface limits</w:t>
      </w:r>
      <w:r w:rsidR="009576E0" w:rsidRPr="001921EA">
        <w:t xml:space="preserve"> </w:t>
      </w:r>
      <w:r w:rsidR="00FC29B3" w:rsidRPr="001921EA">
        <w:t>for the planned base case conditions</w:t>
      </w:r>
      <w:r w:rsidRPr="001921EA">
        <w:t xml:space="preserve">. </w:t>
      </w:r>
    </w:p>
    <w:p w14:paraId="112974E0" w14:textId="77777777" w:rsidR="00785274" w:rsidRDefault="00785274">
      <w:pPr>
        <w:rPr>
          <w:rFonts w:ascii="Franklin Gothic Demi Cond" w:hAnsi="Franklin Gothic Demi Cond"/>
          <w:bCs/>
          <w:sz w:val="22"/>
        </w:rPr>
      </w:pPr>
      <w:bookmarkStart w:id="45" w:name="_Toc80032261"/>
      <w:r>
        <w:br w:type="page"/>
      </w:r>
    </w:p>
    <w:p w14:paraId="315B522A" w14:textId="71FCFAAB" w:rsidR="007B7643" w:rsidRPr="00865BC4" w:rsidRDefault="007B7643" w:rsidP="004333E0">
      <w:pPr>
        <w:pStyle w:val="Heading3"/>
      </w:pPr>
      <w:bookmarkStart w:id="46" w:name="_Toc81138686"/>
      <w:r w:rsidRPr="00865BC4">
        <w:lastRenderedPageBreak/>
        <w:t>Transmission Security</w:t>
      </w:r>
      <w:bookmarkEnd w:id="37"/>
      <w:bookmarkEnd w:id="44"/>
      <w:bookmarkEnd w:id="45"/>
      <w:r w:rsidRPr="00865BC4">
        <w:t xml:space="preserve"> </w:t>
      </w:r>
      <w:r w:rsidR="005E6E37">
        <w:t>Margins</w:t>
      </w:r>
      <w:bookmarkEnd w:id="46"/>
    </w:p>
    <w:p w14:paraId="73DCA58D" w14:textId="6554945C" w:rsidR="00597E9F" w:rsidRDefault="00B63A12" w:rsidP="00597E9F">
      <w:pPr>
        <w:pStyle w:val="BodyText"/>
      </w:pPr>
      <w:r w:rsidRPr="00F3495D">
        <w:t xml:space="preserve">With the </w:t>
      </w:r>
      <w:r w:rsidR="00E72680">
        <w:t xml:space="preserve">CRP </w:t>
      </w:r>
      <w:r w:rsidRPr="00F3495D">
        <w:t xml:space="preserve">base case </w:t>
      </w:r>
      <w:r w:rsidR="00724DE4">
        <w:t>assumptions</w:t>
      </w:r>
      <w:r w:rsidRPr="00F3495D">
        <w:t>, all</w:t>
      </w:r>
      <w:r w:rsidR="00992A4A" w:rsidRPr="00F3495D">
        <w:t xml:space="preserve"> dynamic stability and steady state thermal loading criteria violations</w:t>
      </w:r>
      <w:r w:rsidRPr="00F3495D">
        <w:t xml:space="preserve"> </w:t>
      </w:r>
      <w:r w:rsidR="00724DE4">
        <w:t xml:space="preserve">previously </w:t>
      </w:r>
      <w:r w:rsidRPr="00F3495D">
        <w:t>identified in the 2020 RNA are resolved</w:t>
      </w:r>
      <w:r w:rsidR="00992A4A" w:rsidRPr="00F3495D">
        <w:t xml:space="preserve">.  </w:t>
      </w:r>
      <w:r w:rsidR="00A9135C" w:rsidRPr="008B1F26">
        <w:t xml:space="preserve">The </w:t>
      </w:r>
      <w:r w:rsidR="00A9135C">
        <w:t xml:space="preserve">NYISO </w:t>
      </w:r>
      <w:r w:rsidR="00A9135C" w:rsidRPr="008B1F26">
        <w:t xml:space="preserve">will </w:t>
      </w:r>
      <w:r w:rsidR="00A9135C">
        <w:t xml:space="preserve">continue to evaluate whether </w:t>
      </w:r>
      <w:r w:rsidR="00724DE4">
        <w:t>Reliability Needs</w:t>
      </w:r>
      <w:r w:rsidR="00A9135C">
        <w:t xml:space="preserve"> arise </w:t>
      </w:r>
      <w:r w:rsidR="00A9135C" w:rsidRPr="008B1F26">
        <w:t xml:space="preserve">in subsequent cycles of the </w:t>
      </w:r>
      <w:r w:rsidR="00724DE4">
        <w:t xml:space="preserve">biennial </w:t>
      </w:r>
      <w:r w:rsidR="00A9135C" w:rsidRPr="008B1F26">
        <w:t>Reliability Planning Process</w:t>
      </w:r>
      <w:r w:rsidR="00A9135C">
        <w:t xml:space="preserve">, as well as in the </w:t>
      </w:r>
      <w:r w:rsidR="00724DE4">
        <w:t xml:space="preserve">quarterly </w:t>
      </w:r>
      <w:r w:rsidR="00A9135C">
        <w:t>Short Term Reliability Process (STRP)</w:t>
      </w:r>
      <w:r w:rsidR="00A9135C" w:rsidRPr="008B1F26">
        <w:t>.</w:t>
      </w:r>
    </w:p>
    <w:p w14:paraId="64A68AAA" w14:textId="4E94D06F" w:rsidR="00F3495D" w:rsidRDefault="00F3495D" w:rsidP="00597E9F">
      <w:pPr>
        <w:pStyle w:val="BodyText"/>
      </w:pPr>
      <w:r>
        <w:t>The impacts of the updates on transmission security are described below.</w:t>
      </w:r>
    </w:p>
    <w:p w14:paraId="72C7FF04" w14:textId="7412A9D2" w:rsidR="00597E9F" w:rsidRDefault="00597E9F" w:rsidP="00A217C0">
      <w:pPr>
        <w:pStyle w:val="BodyText"/>
        <w:numPr>
          <w:ilvl w:val="0"/>
          <w:numId w:val="28"/>
        </w:numPr>
      </w:pPr>
      <w:r>
        <w:t xml:space="preserve">The first update involved </w:t>
      </w:r>
      <w:r w:rsidR="00F3495D">
        <w:t>the</w:t>
      </w:r>
      <w:r>
        <w:t xml:space="preserve"> reduction of the load forecast.  The total NYCA reduction in forecast for the summer 2025 peak </w:t>
      </w:r>
      <w:r w:rsidR="00A9135C">
        <w:t xml:space="preserve">load </w:t>
      </w:r>
      <w:r>
        <w:t>is 240 MW</w:t>
      </w:r>
      <w:r w:rsidR="00A9135C">
        <w:t>,</w:t>
      </w:r>
      <w:r w:rsidR="00021476">
        <w:t xml:space="preserve"> and for </w:t>
      </w:r>
      <w:r w:rsidR="00A9135C">
        <w:t xml:space="preserve">the </w:t>
      </w:r>
      <w:r w:rsidR="00021476">
        <w:t xml:space="preserve">2030 peak </w:t>
      </w:r>
      <w:r w:rsidR="00A9135C">
        <w:t xml:space="preserve">load the reduction </w:t>
      </w:r>
      <w:r w:rsidR="00021476">
        <w:t>is 383 MW</w:t>
      </w:r>
      <w:r>
        <w:t>.  Specifically, the Zone J peak load forecast decreased by 323 MW</w:t>
      </w:r>
      <w:r w:rsidR="00021476">
        <w:t xml:space="preserve"> in 2025 and 392 MW in 2030</w:t>
      </w:r>
      <w:r>
        <w:t xml:space="preserve">.  </w:t>
      </w:r>
      <w:r w:rsidR="00F3495D">
        <w:t>This decreases the thermal load and transient voltage response issues.</w:t>
      </w:r>
    </w:p>
    <w:p w14:paraId="7D8F32C3" w14:textId="0DAE060D" w:rsidR="00597E9F" w:rsidRDefault="00597E9F" w:rsidP="00A217C0">
      <w:pPr>
        <w:pStyle w:val="BodyText"/>
        <w:numPr>
          <w:ilvl w:val="0"/>
          <w:numId w:val="28"/>
        </w:numPr>
      </w:pPr>
      <w:r>
        <w:t xml:space="preserve">The second update involved </w:t>
      </w:r>
      <w:r w:rsidR="00F3495D">
        <w:t xml:space="preserve">the </w:t>
      </w:r>
      <w:r>
        <w:t>Con Edison Local Transmission Plan (LTP) updates.  Con Edison update</w:t>
      </w:r>
      <w:r w:rsidR="008A2F17">
        <w:t>d</w:t>
      </w:r>
      <w:r>
        <w:t xml:space="preserve"> their Local Transmission Plan (LTP) to address thermal deficiencies in their Astoria East/Corona 138 kV Transmission Load Area (TLA) and Greenwood/Fox Hills 138 kV TLA.  The Con Edison LTP update</w:t>
      </w:r>
      <w:r w:rsidR="00156200">
        <w:t xml:space="preserve"> included</w:t>
      </w:r>
      <w:r>
        <w:t xml:space="preserve"> three new 345/138 kV PAR</w:t>
      </w:r>
      <w:r w:rsidR="00156200">
        <w:t>-</w:t>
      </w:r>
      <w:r>
        <w:t>controlled 13</w:t>
      </w:r>
      <w:r w:rsidR="008A2F17">
        <w:t>8 kV feeders at Rainey – Corona</w:t>
      </w:r>
      <w:r>
        <w:t>, Gowanus – Greenwood</w:t>
      </w:r>
      <w:r w:rsidR="008A2F17">
        <w:t>,</w:t>
      </w:r>
      <w:r>
        <w:t xml:space="preserve"> and Goethals – Fox Hills.</w:t>
      </w:r>
      <w:r w:rsidR="008A2F17">
        <w:t xml:space="preserve">  The impacts of these projects </w:t>
      </w:r>
      <w:proofErr w:type="gramStart"/>
      <w:r w:rsidR="008A2F17">
        <w:t>is</w:t>
      </w:r>
      <w:proofErr w:type="gramEnd"/>
      <w:r w:rsidR="008A2F17">
        <w:t xml:space="preserve"> to reduce the transient voltage response issue</w:t>
      </w:r>
      <w:r w:rsidR="00A9135C">
        <w:t>,</w:t>
      </w:r>
      <w:r w:rsidR="008A2F17">
        <w:t xml:space="preserve"> as well as the Goethal</w:t>
      </w:r>
      <w:r w:rsidR="00CA5722">
        <w:t>s</w:t>
      </w:r>
      <w:r w:rsidR="008A2F17">
        <w:t xml:space="preserve"> – Fox Hill feeder unbottling Staten Island resources.</w:t>
      </w:r>
    </w:p>
    <w:p w14:paraId="799B5BD9" w14:textId="4DFBDB9F" w:rsidR="00597E9F" w:rsidRDefault="00597E9F" w:rsidP="00A217C0">
      <w:pPr>
        <w:pStyle w:val="BodyText"/>
        <w:numPr>
          <w:ilvl w:val="0"/>
          <w:numId w:val="28"/>
        </w:numPr>
      </w:pPr>
      <w:r>
        <w:t xml:space="preserve">The third update was </w:t>
      </w:r>
      <w:r w:rsidR="008A2F17">
        <w:t>the Con</w:t>
      </w:r>
      <w:r w:rsidR="00A9135C">
        <w:t xml:space="preserve"> </w:t>
      </w:r>
      <w:r w:rsidR="008A2F17">
        <w:t xml:space="preserve">Edison series reactor status change </w:t>
      </w:r>
      <w:r w:rsidR="00A9135C">
        <w:t xml:space="preserve">that </w:t>
      </w:r>
      <w:r w:rsidR="008A2F17">
        <w:t>balanced the flows on the BPTF and also resulted in a reduction of the transient voltage response issue.</w:t>
      </w:r>
    </w:p>
    <w:p w14:paraId="799021A1" w14:textId="33FEC287" w:rsidR="0033617D" w:rsidRDefault="0033617D" w:rsidP="0033617D">
      <w:pPr>
        <w:pStyle w:val="BodyText"/>
      </w:pPr>
      <w:r>
        <w:t>Including these projects resulted in a transmission security margin of 50 MW in Zone J before thermal overloads may occur.</w:t>
      </w:r>
      <w:r>
        <w:rPr>
          <w:rStyle w:val="FootnoteReference"/>
        </w:rPr>
        <w:footnoteReference w:id="11"/>
      </w:r>
      <w:r>
        <w:t xml:space="preserve">  Due to the narrow margin</w:t>
      </w:r>
      <w:r w:rsidR="00F26FC9">
        <w:t>,</w:t>
      </w:r>
      <w:r>
        <w:t xml:space="preserve"> it is plausible for changes in these conditions or assumptions to “tip” the system into a violation of transmission security </w:t>
      </w:r>
      <w:r w:rsidR="00392CE0">
        <w:t>design criteria</w:t>
      </w:r>
      <w:r>
        <w:t xml:space="preserve">.  Within the Con Edison service territory, the 345 kV transmission system along with specific portions of the 138 kV transmission system are designed for the occurrence of two non-simultaneous contingencies and a return to normal </w:t>
      </w:r>
      <w:r w:rsidR="00392CE0">
        <w:t xml:space="preserve">ratings </w:t>
      </w:r>
      <w:r>
        <w:t>(N-1-1-0).</w:t>
      </w:r>
      <w:r w:rsidRPr="00004E28">
        <w:rPr>
          <w:vertAlign w:val="superscript"/>
        </w:rPr>
        <w:footnoteReference w:id="12"/>
      </w:r>
      <w:r>
        <w:t xml:space="preserve">  Figure XX provides a summary of the </w:t>
      </w:r>
      <w:r w:rsidR="00392CE0">
        <w:t>Z</w:t>
      </w:r>
      <w:r>
        <w:t xml:space="preserve">one J transmission security margin.  </w:t>
      </w:r>
      <w:r>
        <w:rPr>
          <w:bCs w:val="0"/>
        </w:rPr>
        <w:t xml:space="preserve">The tipping point occurs when the transmission security margin is a negative value.  Details of the tipping point evaluations are provided in </w:t>
      </w:r>
      <w:r w:rsidRPr="00F12899">
        <w:rPr>
          <w:bCs w:val="0"/>
          <w:highlight w:val="yellow"/>
        </w:rPr>
        <w:t>Appendix XX</w:t>
      </w:r>
      <w:r>
        <w:rPr>
          <w:bCs w:val="0"/>
        </w:rPr>
        <w:t>.</w:t>
      </w:r>
    </w:p>
    <w:p w14:paraId="296716E0" w14:textId="04B90DCC" w:rsidR="0033617D" w:rsidRDefault="0033617D" w:rsidP="0033617D">
      <w:pPr>
        <w:pStyle w:val="BodyText"/>
      </w:pPr>
      <w:r>
        <w:t xml:space="preserve">The tipping points for Zone J are evaluated under the most limiting N-1-1-0 contingency combination to the transmission security margin, which is loss of Ravenswood 3 followed by the loss of Mott Haven – Rainey </w:t>
      </w:r>
      <w:r>
        <w:lastRenderedPageBreak/>
        <w:t xml:space="preserve">345 kV (Q12).  </w:t>
      </w:r>
      <w:r w:rsidRPr="00004E28">
        <w:rPr>
          <w:highlight w:val="yellow"/>
        </w:rPr>
        <w:t>Figure XX</w:t>
      </w:r>
      <w:r>
        <w:t xml:space="preserve"> shows the transmission security margin (</w:t>
      </w:r>
      <w:proofErr w:type="gramStart"/>
      <w:r>
        <w:t>line item</w:t>
      </w:r>
      <w:proofErr w:type="gramEnd"/>
      <w:r>
        <w:t xml:space="preserve"> M) under baseline load conditions with this contingency combination, which ranges from 1,714 MW in 2022 to 42 MW in 2031. </w:t>
      </w:r>
    </w:p>
    <w:p w14:paraId="72E54CBD" w14:textId="77777777" w:rsidR="0033617D" w:rsidRDefault="0033617D" w:rsidP="0033617D">
      <w:pPr>
        <w:pStyle w:val="BodyText"/>
      </w:pPr>
      <w:r>
        <w:t xml:space="preserve">Considering the baseline peak load transmission security margin (42 MW observed in 2031), many different </w:t>
      </w:r>
      <w:proofErr w:type="gramStart"/>
      <w:r>
        <w:t>loss</w:t>
      </w:r>
      <w:proofErr w:type="gramEnd"/>
      <w:r>
        <w:t xml:space="preserve"> of generation or load increases will exceed the transmission security margin.  For example, as can be seen in </w:t>
      </w:r>
      <w:r w:rsidRPr="00C51FEE">
        <w:rPr>
          <w:highlight w:val="yellow"/>
        </w:rPr>
        <w:t>Figure XX</w:t>
      </w:r>
      <w:r>
        <w:t xml:space="preserve">, loss of any generator, load increase, or combination that creates an outage combination of 394 MW will tip Zone J over its security margin by 2025.  The fluctuations in transmission security margin are a combination of the impact of the </w:t>
      </w:r>
      <w:proofErr w:type="spellStart"/>
      <w:r>
        <w:t>peaker</w:t>
      </w:r>
      <w:proofErr w:type="spellEnd"/>
      <w:r>
        <w:t xml:space="preserve"> rule and load forecast.  </w:t>
      </w:r>
    </w:p>
    <w:p w14:paraId="61BDE5CB" w14:textId="292672BF" w:rsidR="0033617D" w:rsidRDefault="0033617D" w:rsidP="0033617D">
      <w:pPr>
        <w:pStyle w:val="BodyText"/>
        <w:jc w:val="left"/>
      </w:pPr>
      <w:r>
        <w:rPr>
          <w:rFonts w:ascii="Franklin Gothic Demi" w:hAnsi="Franklin Gothic Demi"/>
          <w:sz w:val="20"/>
          <w:highlight w:val="yellow"/>
          <w:lang w:bidi="en-US"/>
        </w:rPr>
        <w:t>Figure XX</w:t>
      </w:r>
      <w:r w:rsidRPr="001F0469">
        <w:rPr>
          <w:rFonts w:ascii="Franklin Gothic Demi" w:hAnsi="Franklin Gothic Demi"/>
          <w:sz w:val="20"/>
          <w:lang w:bidi="en-US"/>
        </w:rPr>
        <w:t>:  Zone J Summer Transmission Security Margin (</w:t>
      </w:r>
      <w:r>
        <w:rPr>
          <w:rFonts w:ascii="Franklin Gothic Demi" w:hAnsi="Franklin Gothic Demi"/>
          <w:sz w:val="20"/>
          <w:lang w:bidi="en-US"/>
        </w:rPr>
        <w:t>Summer Baseline Peak Forecast - Normal</w:t>
      </w:r>
      <w:r w:rsidRPr="001F0469">
        <w:rPr>
          <w:rFonts w:ascii="Franklin Gothic Demi" w:hAnsi="Franklin Gothic Demi"/>
          <w:sz w:val="20"/>
          <w:lang w:bidi="en-US"/>
        </w:rPr>
        <w:t>)</w:t>
      </w:r>
      <w:r w:rsidRPr="000B6373">
        <w:rPr>
          <w:noProof/>
        </w:rPr>
        <w:drawing>
          <wp:anchor distT="0" distB="0" distL="114300" distR="114300" simplePos="0" relativeHeight="251685888" behindDoc="0" locked="0" layoutInCell="1" allowOverlap="1" wp14:anchorId="22419EF4" wp14:editId="2FD18D91">
            <wp:simplePos x="0" y="0"/>
            <wp:positionH relativeFrom="column">
              <wp:posOffset>0</wp:posOffset>
            </wp:positionH>
            <wp:positionV relativeFrom="paragraph">
              <wp:posOffset>219075</wp:posOffset>
            </wp:positionV>
            <wp:extent cx="6400800" cy="2223135"/>
            <wp:effectExtent l="0" t="0" r="0" b="5715"/>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00800" cy="2223135"/>
                    </a:xfrm>
                    <a:prstGeom prst="rect">
                      <a:avLst/>
                    </a:prstGeom>
                    <a:noFill/>
                    <a:ln>
                      <a:noFill/>
                    </a:ln>
                  </pic:spPr>
                </pic:pic>
              </a:graphicData>
            </a:graphic>
          </wp:anchor>
        </w:drawing>
      </w:r>
    </w:p>
    <w:p w14:paraId="60E4A84F" w14:textId="77777777" w:rsidR="0072556F" w:rsidRDefault="0072556F" w:rsidP="0033617D">
      <w:pPr>
        <w:pStyle w:val="BodyText"/>
        <w:jc w:val="left"/>
      </w:pPr>
    </w:p>
    <w:p w14:paraId="4D2595C1" w14:textId="4D5ABA54" w:rsidR="0033617D" w:rsidRDefault="0033617D" w:rsidP="0033617D">
      <w:pPr>
        <w:pStyle w:val="BodyText"/>
        <w:jc w:val="left"/>
      </w:pPr>
      <w:r>
        <w:t xml:space="preserve">The most limiting contingency combination </w:t>
      </w:r>
      <w:r w:rsidR="00ED2DD2">
        <w:t xml:space="preserve">for the design criteria </w:t>
      </w:r>
      <w:r>
        <w:t xml:space="preserve">transmission security margin in Zone J is the loss of Ravenswood 3 and </w:t>
      </w:r>
      <w:proofErr w:type="spellStart"/>
      <w:r>
        <w:t>Dunwoodie</w:t>
      </w:r>
      <w:proofErr w:type="spellEnd"/>
      <w:r>
        <w:t xml:space="preserve">-Mott Haven (Q12) 345 kV.  </w:t>
      </w:r>
      <w:r w:rsidR="00ED2DD2">
        <w:t>Following those outages, t</w:t>
      </w:r>
      <w:r>
        <w:t xml:space="preserve">he power flowing into </w:t>
      </w:r>
      <w:r w:rsidR="00ED2DD2">
        <w:t xml:space="preserve">Zone </w:t>
      </w:r>
      <w:r>
        <w:t xml:space="preserve">J from other </w:t>
      </w:r>
      <w:r w:rsidR="00ED2DD2">
        <w:t xml:space="preserve">New York </w:t>
      </w:r>
      <w:r>
        <w:t>zones is</w:t>
      </w:r>
      <w:r w:rsidR="00ED2DD2">
        <w:t xml:space="preserve"> 3,904 MW as</w:t>
      </w:r>
      <w:r>
        <w:t xml:space="preserve"> shown in </w:t>
      </w:r>
      <w:proofErr w:type="gramStart"/>
      <w:r>
        <w:t>line item</w:t>
      </w:r>
      <w:proofErr w:type="gramEnd"/>
      <w:r>
        <w:t xml:space="preserve"> B.  </w:t>
      </w:r>
    </w:p>
    <w:p w14:paraId="35EEF45E" w14:textId="52E88905" w:rsidR="0033617D" w:rsidRDefault="0033617D" w:rsidP="0033617D">
      <w:pPr>
        <w:pStyle w:val="BodyText"/>
        <w:jc w:val="left"/>
      </w:pPr>
      <w:r>
        <w:t xml:space="preserve">Other contingency combinations result in </w:t>
      </w:r>
      <w:r w:rsidR="00ED2DD2">
        <w:t>different power flows</w:t>
      </w:r>
      <w:r>
        <w:t xml:space="preserve"> into </w:t>
      </w:r>
      <w:r w:rsidR="00ED2DD2">
        <w:t xml:space="preserve">Zone </w:t>
      </w:r>
      <w:r>
        <w:t xml:space="preserve">J.  For example, in considering the possible combinations of N-1-1-0 events these can include a mix of generation and transmission, two transmission events, or two generation events.  </w:t>
      </w:r>
      <w:r w:rsidRPr="00F12899">
        <w:rPr>
          <w:highlight w:val="yellow"/>
        </w:rPr>
        <w:t>Figure XX</w:t>
      </w:r>
      <w:r>
        <w:t xml:space="preserve"> shows the transmission security margin for the </w:t>
      </w:r>
      <w:r w:rsidR="00ED2DD2">
        <w:t xml:space="preserve">outage </w:t>
      </w:r>
      <w:r>
        <w:t>combinations of</w:t>
      </w:r>
      <w:proofErr w:type="gramStart"/>
      <w:r>
        <w:t>:  (</w:t>
      </w:r>
      <w:proofErr w:type="gramEnd"/>
      <w:r>
        <w:t xml:space="preserve">1) Ravenswood 3 and </w:t>
      </w:r>
      <w:proofErr w:type="spellStart"/>
      <w:r>
        <w:t>Dunwoodie</w:t>
      </w:r>
      <w:proofErr w:type="spellEnd"/>
      <w:r>
        <w:t>-Mott Haven (Q12) 345 kV, (2) Ravenswood 3 and Bayonne Energy Center, and (3) Sprain Brook-W. 49</w:t>
      </w:r>
      <w:r w:rsidRPr="00F12899">
        <w:rPr>
          <w:vertAlign w:val="superscript"/>
        </w:rPr>
        <w:t>th</w:t>
      </w:r>
      <w:r>
        <w:t xml:space="preserve"> St. 345 kV (M51 and M52).  For </w:t>
      </w:r>
      <w:r w:rsidR="00ED2DD2">
        <w:t xml:space="preserve">outages of </w:t>
      </w:r>
      <w:r>
        <w:t xml:space="preserve">Ravenswood 3 and Bayonne Energy Center the power flowing into </w:t>
      </w:r>
      <w:r w:rsidR="00ED2DD2">
        <w:t xml:space="preserve">Zone </w:t>
      </w:r>
      <w:r>
        <w:t xml:space="preserve">J from other </w:t>
      </w:r>
      <w:r w:rsidR="00ED2DD2">
        <w:t xml:space="preserve">New York </w:t>
      </w:r>
      <w:r>
        <w:t>zones is 4,717 MW.  For Sprain Brook-W. 49</w:t>
      </w:r>
      <w:r w:rsidRPr="002F559F">
        <w:rPr>
          <w:vertAlign w:val="superscript"/>
        </w:rPr>
        <w:t>th</w:t>
      </w:r>
      <w:r>
        <w:t xml:space="preserve"> St. 345 kV (M51 and M52) the power flowing into </w:t>
      </w:r>
      <w:r w:rsidR="00ED2DD2">
        <w:t xml:space="preserve">Zone </w:t>
      </w:r>
      <w:r>
        <w:t xml:space="preserve">J from other </w:t>
      </w:r>
      <w:r w:rsidR="00ED2DD2">
        <w:t xml:space="preserve">New York </w:t>
      </w:r>
      <w:r>
        <w:t xml:space="preserve">zones is 3,191 MW.  As seen in </w:t>
      </w:r>
      <w:r w:rsidRPr="00F12899">
        <w:rPr>
          <w:highlight w:val="yellow"/>
        </w:rPr>
        <w:t>Figure XX</w:t>
      </w:r>
      <w:r>
        <w:t xml:space="preserve">, </w:t>
      </w:r>
      <w:r w:rsidR="00ED2DD2">
        <w:t xml:space="preserve">the outage combination that results in the lowest </w:t>
      </w:r>
      <w:r>
        <w:t xml:space="preserve">interface flow (loss of M51/M52) does not </w:t>
      </w:r>
      <w:r w:rsidR="00ED2DD2">
        <w:t xml:space="preserve">necessarily </w:t>
      </w:r>
      <w:r>
        <w:t xml:space="preserve">result in the </w:t>
      </w:r>
      <w:r w:rsidR="00ED2DD2">
        <w:t xml:space="preserve">worst design criteria </w:t>
      </w:r>
      <w:r>
        <w:t>transmission security margin</w:t>
      </w:r>
      <w:r w:rsidR="00F26FC9">
        <w:t>.</w:t>
      </w:r>
      <w:r>
        <w:t xml:space="preserve">  </w:t>
      </w:r>
    </w:p>
    <w:p w14:paraId="529BDB60" w14:textId="77777777" w:rsidR="0072556F" w:rsidRDefault="0072556F">
      <w:pPr>
        <w:rPr>
          <w:rFonts w:ascii="Franklin Gothic Demi" w:eastAsia="Arial Narrow" w:hAnsi="Franklin Gothic Demi"/>
          <w:bCs/>
          <w:highlight w:val="yellow"/>
        </w:rPr>
      </w:pPr>
      <w:r>
        <w:rPr>
          <w:rFonts w:ascii="Franklin Gothic Demi" w:hAnsi="Franklin Gothic Demi"/>
          <w:highlight w:val="yellow"/>
        </w:rPr>
        <w:br w:type="page"/>
      </w:r>
    </w:p>
    <w:p w14:paraId="2B21792A" w14:textId="3DDD6480" w:rsidR="0033617D" w:rsidRDefault="0033617D" w:rsidP="0033617D">
      <w:pPr>
        <w:pStyle w:val="BodyText"/>
        <w:jc w:val="left"/>
        <w:rPr>
          <w:rFonts w:ascii="Franklin Gothic Demi" w:hAnsi="Franklin Gothic Demi"/>
          <w:sz w:val="20"/>
          <w:lang w:bidi="en-US"/>
        </w:rPr>
      </w:pPr>
      <w:r>
        <w:rPr>
          <w:rFonts w:ascii="Franklin Gothic Demi" w:hAnsi="Franklin Gothic Demi"/>
          <w:sz w:val="20"/>
          <w:highlight w:val="yellow"/>
          <w:lang w:bidi="en-US"/>
        </w:rPr>
        <w:lastRenderedPageBreak/>
        <w:t>Figure XX</w:t>
      </w:r>
      <w:r w:rsidRPr="001F0469">
        <w:rPr>
          <w:rFonts w:ascii="Franklin Gothic Demi" w:hAnsi="Franklin Gothic Demi"/>
          <w:sz w:val="20"/>
          <w:lang w:bidi="en-US"/>
        </w:rPr>
        <w:t xml:space="preserve">:  </w:t>
      </w:r>
      <w:r>
        <w:rPr>
          <w:rFonts w:ascii="Franklin Gothic Demi" w:hAnsi="Franklin Gothic Demi"/>
          <w:sz w:val="20"/>
          <w:lang w:bidi="en-US"/>
        </w:rPr>
        <w:t>Zone J Transmission Security Margin</w:t>
      </w:r>
      <w:r w:rsidR="00F35B12">
        <w:rPr>
          <w:rFonts w:ascii="Franklin Gothic Demi" w:hAnsi="Franklin Gothic Demi"/>
          <w:sz w:val="20"/>
          <w:lang w:bidi="en-US"/>
        </w:rPr>
        <w:t>s for Key Contingencies</w:t>
      </w:r>
      <w:r>
        <w:rPr>
          <w:noProof/>
        </w:rPr>
        <w:drawing>
          <wp:inline distT="0" distB="0" distL="0" distR="0" wp14:anchorId="081431BA" wp14:editId="09C454A9">
            <wp:extent cx="5727670" cy="3474720"/>
            <wp:effectExtent l="0" t="0" r="698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7670" cy="3474720"/>
                    </a:xfrm>
                    <a:prstGeom prst="rect">
                      <a:avLst/>
                    </a:prstGeom>
                    <a:noFill/>
                  </pic:spPr>
                </pic:pic>
              </a:graphicData>
            </a:graphic>
          </wp:inline>
        </w:drawing>
      </w:r>
    </w:p>
    <w:p w14:paraId="3E3210E2" w14:textId="632BC4C5" w:rsidR="0033617D" w:rsidRDefault="0033617D" w:rsidP="0033617D">
      <w:pPr>
        <w:spacing w:after="120" w:line="360" w:lineRule="auto"/>
        <w:ind w:left="0" w:firstLine="432"/>
        <w:rPr>
          <w:rFonts w:ascii="Cambria" w:eastAsia="Arial Narrow" w:hAnsi="Cambria"/>
          <w:sz w:val="22"/>
          <w:lang w:bidi="ar-SA"/>
        </w:rPr>
      </w:pPr>
      <w:r w:rsidRPr="00932EFE">
        <w:rPr>
          <w:rFonts w:ascii="Cambria" w:eastAsia="Arial Narrow" w:hAnsi="Cambria"/>
          <w:sz w:val="22"/>
          <w:lang w:bidi="ar-SA"/>
        </w:rPr>
        <w:t xml:space="preserve">As shown in </w:t>
      </w:r>
      <w:r w:rsidRPr="008503B1">
        <w:rPr>
          <w:rFonts w:ascii="Cambria" w:eastAsia="Arial Narrow" w:hAnsi="Cambria"/>
          <w:sz w:val="22"/>
          <w:highlight w:val="yellow"/>
          <w:lang w:bidi="ar-SA"/>
        </w:rPr>
        <w:t>Figure XX</w:t>
      </w:r>
      <w:r w:rsidRPr="00932EFE">
        <w:rPr>
          <w:rFonts w:ascii="Cambria" w:eastAsia="Arial Narrow" w:hAnsi="Cambria"/>
          <w:sz w:val="22"/>
          <w:lang w:bidi="ar-SA"/>
        </w:rPr>
        <w:t>, under baseline load conditions the transmission security margin (</w:t>
      </w:r>
      <w:proofErr w:type="gramStart"/>
      <w:r w:rsidRPr="00932EFE">
        <w:rPr>
          <w:rFonts w:ascii="Cambria" w:eastAsia="Arial Narrow" w:hAnsi="Cambria"/>
          <w:sz w:val="22"/>
          <w:lang w:bidi="ar-SA"/>
        </w:rPr>
        <w:t>Line item</w:t>
      </w:r>
      <w:proofErr w:type="gramEnd"/>
      <w:r w:rsidR="005A4A26">
        <w:rPr>
          <w:rFonts w:ascii="Cambria" w:eastAsia="Arial Narrow" w:hAnsi="Cambria"/>
          <w:sz w:val="22"/>
          <w:lang w:bidi="ar-SA"/>
        </w:rPr>
        <w:t xml:space="preserve"> H) ranges between 2,303 MW in </w:t>
      </w:r>
      <w:r w:rsidRPr="00932EFE">
        <w:rPr>
          <w:rFonts w:ascii="Cambria" w:eastAsia="Arial Narrow" w:hAnsi="Cambria"/>
          <w:sz w:val="22"/>
          <w:lang w:bidi="ar-SA"/>
        </w:rPr>
        <w:t xml:space="preserve">2022 to 1,318 MW in 2031.  </w:t>
      </w:r>
      <w:r>
        <w:rPr>
          <w:rFonts w:ascii="Cambria" w:eastAsia="Arial Narrow" w:hAnsi="Cambria"/>
          <w:sz w:val="22"/>
          <w:lang w:bidi="ar-SA"/>
        </w:rPr>
        <w:t>The annual fluctuations are driven by the changes in NYCA generation (</w:t>
      </w:r>
      <w:proofErr w:type="gramStart"/>
      <w:r>
        <w:rPr>
          <w:rFonts w:ascii="Cambria" w:eastAsia="Arial Narrow" w:hAnsi="Cambria"/>
          <w:sz w:val="22"/>
          <w:lang w:bidi="ar-SA"/>
        </w:rPr>
        <w:t>line item</w:t>
      </w:r>
      <w:proofErr w:type="gramEnd"/>
      <w:r>
        <w:rPr>
          <w:rFonts w:ascii="Cambria" w:eastAsia="Arial Narrow" w:hAnsi="Cambria"/>
          <w:sz w:val="22"/>
          <w:lang w:bidi="ar-SA"/>
        </w:rPr>
        <w:t xml:space="preserve"> A) and the load forecast (line item F)</w:t>
      </w:r>
      <w:r w:rsidRPr="00932EFE">
        <w:rPr>
          <w:rFonts w:ascii="Cambria" w:eastAsia="Arial Narrow" w:hAnsi="Cambria"/>
          <w:sz w:val="22"/>
          <w:lang w:bidi="ar-SA"/>
        </w:rPr>
        <w:t>.</w:t>
      </w:r>
      <w:r>
        <w:t xml:space="preserve">  </w:t>
      </w:r>
      <w:r>
        <w:rPr>
          <w:rFonts w:ascii="Cambria" w:eastAsia="Arial Narrow" w:hAnsi="Cambria"/>
          <w:sz w:val="22"/>
          <w:lang w:bidi="ar-SA"/>
        </w:rPr>
        <w:t>In consideration of the transmission security margin (line item H)</w:t>
      </w:r>
      <w:r w:rsidR="00F26FC9">
        <w:rPr>
          <w:rFonts w:ascii="Cambria" w:eastAsia="Arial Narrow" w:hAnsi="Cambria"/>
          <w:sz w:val="22"/>
          <w:lang w:bidi="ar-SA"/>
        </w:rPr>
        <w:t xml:space="preserve"> and the single largest loss of source (1,310 MW loss of Nine Mile Unit 2)</w:t>
      </w:r>
      <w:r>
        <w:rPr>
          <w:rFonts w:ascii="Cambria" w:eastAsia="Arial Narrow" w:hAnsi="Cambria"/>
          <w:sz w:val="22"/>
          <w:lang w:bidi="ar-SA"/>
        </w:rPr>
        <w:t xml:space="preserve">, the values show that </w:t>
      </w:r>
      <w:r w:rsidR="00F26FC9">
        <w:rPr>
          <w:rFonts w:ascii="Cambria" w:eastAsia="Arial Narrow" w:hAnsi="Cambria"/>
          <w:sz w:val="22"/>
          <w:lang w:bidi="ar-SA"/>
        </w:rPr>
        <w:t>the system would not cross a tipping point</w:t>
      </w:r>
      <w:r w:rsidR="00DB5283">
        <w:rPr>
          <w:rFonts w:ascii="Cambria" w:eastAsia="Arial Narrow" w:hAnsi="Cambria"/>
          <w:sz w:val="22"/>
          <w:lang w:bidi="ar-SA"/>
        </w:rPr>
        <w:t>.</w:t>
      </w:r>
      <w:r w:rsidRPr="00090B67">
        <w:rPr>
          <w:rFonts w:ascii="Cambria" w:eastAsia="Arial Narrow" w:hAnsi="Cambria"/>
          <w:sz w:val="22"/>
          <w:vertAlign w:val="superscript"/>
          <w:lang w:bidi="ar-SA"/>
        </w:rPr>
        <w:footnoteReference w:id="13"/>
      </w:r>
      <w:r w:rsidRPr="00152610">
        <w:rPr>
          <w:rFonts w:ascii="Cambria" w:eastAsia="Arial Narrow" w:hAnsi="Cambria"/>
          <w:sz w:val="22"/>
          <w:lang w:bidi="ar-SA"/>
        </w:rPr>
        <w:t xml:space="preserve"> However, </w:t>
      </w:r>
      <w:r>
        <w:rPr>
          <w:rFonts w:ascii="Cambria" w:eastAsia="Arial Narrow" w:hAnsi="Cambria"/>
          <w:sz w:val="22"/>
          <w:lang w:bidi="ar-SA"/>
        </w:rPr>
        <w:t>in 2031 this combination of conditions results in a transmission security margin of 8 MW.</w:t>
      </w:r>
      <w:r>
        <w:rPr>
          <w:rStyle w:val="FootnoteReference"/>
          <w:rFonts w:ascii="Cambria" w:eastAsia="Arial Narrow" w:hAnsi="Cambria"/>
          <w:sz w:val="22"/>
          <w:lang w:bidi="ar-SA"/>
        </w:rPr>
        <w:footnoteReference w:id="14"/>
      </w:r>
      <w:r>
        <w:rPr>
          <w:rFonts w:ascii="Cambria" w:eastAsia="Arial Narrow" w:hAnsi="Cambria"/>
          <w:sz w:val="22"/>
          <w:lang w:bidi="ar-SA"/>
        </w:rPr>
        <w:t xml:space="preserve">  Therefore, it is </w:t>
      </w:r>
      <w:r w:rsidRPr="00152610">
        <w:rPr>
          <w:rFonts w:ascii="Cambria" w:eastAsia="Arial Narrow" w:hAnsi="Cambria"/>
          <w:sz w:val="22"/>
          <w:lang w:bidi="ar-SA"/>
        </w:rPr>
        <w:t xml:space="preserve">feasible for other combinations of events to tip the system </w:t>
      </w:r>
      <w:r>
        <w:rPr>
          <w:rFonts w:ascii="Cambria" w:eastAsia="Arial Narrow" w:hAnsi="Cambria"/>
          <w:sz w:val="22"/>
          <w:lang w:bidi="ar-SA"/>
        </w:rPr>
        <w:t xml:space="preserve">over its margin, </w:t>
      </w:r>
      <w:r w:rsidRPr="00152610">
        <w:rPr>
          <w:rFonts w:ascii="Cambria" w:eastAsia="Arial Narrow" w:hAnsi="Cambria"/>
          <w:sz w:val="22"/>
          <w:lang w:bidi="ar-SA"/>
        </w:rPr>
        <w:t xml:space="preserve">such as increased load or a combination of reductions in total resources and load.  </w:t>
      </w:r>
    </w:p>
    <w:p w14:paraId="017A81B9" w14:textId="77777777" w:rsidR="00DF1A1B" w:rsidRDefault="00DF1A1B" w:rsidP="0033617D">
      <w:pPr>
        <w:pStyle w:val="BodyText"/>
        <w:jc w:val="left"/>
      </w:pPr>
    </w:p>
    <w:p w14:paraId="328BCD4F" w14:textId="77777777" w:rsidR="0072556F" w:rsidRDefault="0033617D" w:rsidP="0033617D">
      <w:pPr>
        <w:pStyle w:val="BodyText"/>
        <w:jc w:val="left"/>
      </w:pPr>
      <w:r w:rsidRPr="00932EFE">
        <w:t xml:space="preserve"> </w:t>
      </w:r>
    </w:p>
    <w:p w14:paraId="745F5B6F" w14:textId="77777777" w:rsidR="0072556F" w:rsidRDefault="0072556F">
      <w:pPr>
        <w:rPr>
          <w:rFonts w:ascii="Cambria" w:eastAsia="Arial Narrow" w:hAnsi="Cambria"/>
          <w:bCs/>
          <w:sz w:val="22"/>
          <w:lang w:bidi="ar-SA"/>
        </w:rPr>
      </w:pPr>
      <w:r>
        <w:br w:type="page"/>
      </w:r>
    </w:p>
    <w:p w14:paraId="21BE72AA" w14:textId="38501C6D" w:rsidR="00812867" w:rsidRDefault="0033617D" w:rsidP="0033617D">
      <w:pPr>
        <w:pStyle w:val="BodyText"/>
        <w:jc w:val="left"/>
        <w:rPr>
          <w:rFonts w:ascii="Franklin Gothic Demi" w:hAnsi="Franklin Gothic Demi"/>
          <w:sz w:val="20"/>
          <w:lang w:bidi="en-US"/>
        </w:rPr>
      </w:pPr>
      <w:r>
        <w:rPr>
          <w:rFonts w:ascii="Franklin Gothic Demi" w:hAnsi="Franklin Gothic Demi"/>
          <w:sz w:val="20"/>
          <w:highlight w:val="yellow"/>
          <w:lang w:bidi="en-US"/>
        </w:rPr>
        <w:lastRenderedPageBreak/>
        <w:t>Figure XX</w:t>
      </w:r>
      <w:r w:rsidRPr="001F0469">
        <w:rPr>
          <w:rFonts w:ascii="Franklin Gothic Demi" w:hAnsi="Franklin Gothic Demi"/>
          <w:sz w:val="20"/>
          <w:lang w:bidi="en-US"/>
        </w:rPr>
        <w:t xml:space="preserve">:  </w:t>
      </w:r>
      <w:r>
        <w:rPr>
          <w:rFonts w:ascii="Franklin Gothic Demi" w:hAnsi="Franklin Gothic Demi"/>
          <w:sz w:val="20"/>
          <w:lang w:bidi="en-US"/>
        </w:rPr>
        <w:t>NYCA</w:t>
      </w:r>
      <w:r w:rsidRPr="001F0469">
        <w:rPr>
          <w:rFonts w:ascii="Franklin Gothic Demi" w:hAnsi="Franklin Gothic Demi"/>
          <w:sz w:val="20"/>
          <w:lang w:bidi="en-US"/>
        </w:rPr>
        <w:t xml:space="preserve"> Summer Transmission Security Margin (</w:t>
      </w:r>
      <w:r>
        <w:rPr>
          <w:rFonts w:ascii="Franklin Gothic Demi" w:hAnsi="Franklin Gothic Demi"/>
          <w:sz w:val="20"/>
          <w:lang w:bidi="en-US"/>
        </w:rPr>
        <w:t>Summer Baseline Peak Forecast – Normal)</w:t>
      </w:r>
      <w:r w:rsidRPr="00C14FEB">
        <w:rPr>
          <w:noProof/>
        </w:rPr>
        <w:drawing>
          <wp:inline distT="0" distB="0" distL="0" distR="0" wp14:anchorId="4BF091B0" wp14:editId="6711F2EA">
            <wp:extent cx="6400800" cy="1820370"/>
            <wp:effectExtent l="0" t="0" r="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00800" cy="1820370"/>
                    </a:xfrm>
                    <a:prstGeom prst="rect">
                      <a:avLst/>
                    </a:prstGeom>
                    <a:noFill/>
                    <a:ln>
                      <a:noFill/>
                    </a:ln>
                  </pic:spPr>
                </pic:pic>
              </a:graphicData>
            </a:graphic>
          </wp:inline>
        </w:drawing>
      </w:r>
    </w:p>
    <w:p w14:paraId="606AAC4F" w14:textId="77777777" w:rsidR="00812867" w:rsidRDefault="00812867">
      <w:pPr>
        <w:rPr>
          <w:rFonts w:ascii="Franklin Gothic Demi" w:eastAsia="Arial Narrow" w:hAnsi="Franklin Gothic Demi"/>
          <w:bCs/>
        </w:rPr>
      </w:pPr>
      <w:r>
        <w:rPr>
          <w:rFonts w:ascii="Franklin Gothic Demi" w:hAnsi="Franklin Gothic Demi"/>
        </w:rPr>
        <w:br w:type="page"/>
      </w:r>
    </w:p>
    <w:p w14:paraId="1B1D1BD8" w14:textId="7FA221C0" w:rsidR="00510FCE" w:rsidRDefault="00510FCE" w:rsidP="00E72680">
      <w:pPr>
        <w:pStyle w:val="Heading1"/>
      </w:pPr>
      <w:bookmarkStart w:id="47" w:name="_Toc80032262"/>
      <w:bookmarkStart w:id="48" w:name="_Toc80191652"/>
      <w:bookmarkStart w:id="49" w:name="_Toc81138687"/>
      <w:r>
        <w:lastRenderedPageBreak/>
        <w:t xml:space="preserve">Risk Factors to the Comprehensive </w:t>
      </w:r>
      <w:r w:rsidR="00E72680">
        <w:t>Reliability</w:t>
      </w:r>
      <w:r>
        <w:t xml:space="preserve"> Plan</w:t>
      </w:r>
      <w:bookmarkEnd w:id="47"/>
      <w:bookmarkEnd w:id="48"/>
      <w:bookmarkEnd w:id="49"/>
    </w:p>
    <w:p w14:paraId="436C9D64" w14:textId="3148331D" w:rsidR="00683235" w:rsidRDefault="00683235" w:rsidP="00571CB8">
      <w:pPr>
        <w:pStyle w:val="BodyText"/>
        <w:jc w:val="left"/>
      </w:pPr>
      <w:r>
        <w:t>The RNA and CRP f</w:t>
      </w:r>
      <w:r w:rsidR="007B7643" w:rsidRPr="009461B6">
        <w:t>indings</w:t>
      </w:r>
      <w:r w:rsidR="00D5563A">
        <w:t xml:space="preserve"> </w:t>
      </w:r>
      <w:r w:rsidR="007B7643" w:rsidRPr="009461B6">
        <w:t>reflect the base case assumptions, which were set in accor</w:t>
      </w:r>
      <w:r w:rsidR="009B5CAB" w:rsidRPr="009461B6">
        <w:t xml:space="preserve">dance with NYISO’s procedures. </w:t>
      </w:r>
      <w:r w:rsidR="00D5563A">
        <w:t xml:space="preserve"> </w:t>
      </w:r>
      <w:r>
        <w:t xml:space="preserve">Complete details of the assumptions reside in the </w:t>
      </w:r>
      <w:r w:rsidRPr="000159D2">
        <w:t>final RNA report</w:t>
      </w:r>
      <w:r w:rsidR="000159D2">
        <w:t>; h</w:t>
      </w:r>
      <w:r w:rsidR="00F66D04">
        <w:t>ighlights</w:t>
      </w:r>
      <w:r>
        <w:t xml:space="preserve"> are in Appendix C of this report. </w:t>
      </w:r>
    </w:p>
    <w:p w14:paraId="4FBEF611" w14:textId="50DC82AB" w:rsidR="007B7643" w:rsidRPr="009461B6" w:rsidRDefault="007B7643" w:rsidP="00571CB8">
      <w:pPr>
        <w:pStyle w:val="BodyText"/>
        <w:jc w:val="left"/>
      </w:pPr>
      <w:r w:rsidRPr="009461B6">
        <w:t xml:space="preserve">There are, however, risk factors that could adversely affect the implementation of the plan and hence system reliability over the </w:t>
      </w:r>
      <w:r w:rsidR="009509E7">
        <w:t>2024-2030</w:t>
      </w:r>
      <w:r w:rsidRPr="009461B6">
        <w:t xml:space="preserve"> planning horizon.  If any of these factors materialize, the NYISO will assess the potential impacts and, if necessary, perform an evaluation to determine whether the NYISO should solicit solutions under the Generation Deactivation Process or Gap </w:t>
      </w:r>
      <w:r w:rsidR="009B5CAB" w:rsidRPr="009461B6">
        <w:t xml:space="preserve">Solution process, as required. </w:t>
      </w:r>
      <w:r w:rsidR="00BB51CC" w:rsidRPr="009461B6">
        <w:t xml:space="preserve"> </w:t>
      </w:r>
      <w:r w:rsidRPr="009461B6">
        <w:t>The risk factors include:</w:t>
      </w:r>
    </w:p>
    <w:p w14:paraId="6BF2DA1E" w14:textId="306EC321" w:rsidR="007B7643" w:rsidRPr="009461B6" w:rsidRDefault="007B7643" w:rsidP="00571CB8">
      <w:pPr>
        <w:pStyle w:val="BodyText"/>
        <w:jc w:val="left"/>
        <w:rPr>
          <w:b/>
        </w:rPr>
      </w:pPr>
      <w:r w:rsidRPr="009461B6">
        <w:rPr>
          <w:b/>
        </w:rPr>
        <w:t>1.</w:t>
      </w:r>
      <w:r w:rsidRPr="009461B6">
        <w:rPr>
          <w:b/>
        </w:rPr>
        <w:tab/>
        <w:t>Changes to System Resources</w:t>
      </w:r>
      <w:r w:rsidR="00C432DE">
        <w:rPr>
          <w:b/>
        </w:rPr>
        <w:t xml:space="preserve"> </w:t>
      </w:r>
    </w:p>
    <w:p w14:paraId="5EA698F9" w14:textId="77777777" w:rsidR="007B7643" w:rsidRPr="009461B6" w:rsidRDefault="007B7643" w:rsidP="00571CB8">
      <w:pPr>
        <w:pStyle w:val="BodyText"/>
        <w:jc w:val="left"/>
      </w:pPr>
      <w:r w:rsidRPr="009461B6">
        <w:t xml:space="preserve">Substantial uncertainties exist in the next ten years that will impact the system resources.  These uncertainties include, but are not limited to: </w:t>
      </w:r>
    </w:p>
    <w:p w14:paraId="68D280D5" w14:textId="65BD6125" w:rsidR="004578E1" w:rsidRDefault="00654843" w:rsidP="00885A35">
      <w:pPr>
        <w:pStyle w:val="BodyText"/>
        <w:numPr>
          <w:ilvl w:val="0"/>
          <w:numId w:val="6"/>
        </w:numPr>
      </w:pPr>
      <w:r>
        <w:t xml:space="preserve">If expected generation projects are not built, a system deficiency may occur.  </w:t>
      </w:r>
      <w:r w:rsidR="007B7643" w:rsidRPr="009461B6">
        <w:t xml:space="preserve">The base cases include </w:t>
      </w:r>
      <w:r w:rsidR="00CA12F4" w:rsidRPr="009461B6">
        <w:t>approximately</w:t>
      </w:r>
      <w:r w:rsidR="007B7643" w:rsidRPr="009461B6">
        <w:t xml:space="preserve"> </w:t>
      </w:r>
      <w:r w:rsidR="00B40A4C">
        <w:t>670</w:t>
      </w:r>
      <w:r w:rsidR="007B7643" w:rsidRPr="009461B6">
        <w:t xml:space="preserve"> MW of assumed generation additions in various planning stages, and </w:t>
      </w:r>
      <w:r w:rsidR="00CA12F4" w:rsidRPr="009461B6">
        <w:t>approximately</w:t>
      </w:r>
      <w:r w:rsidR="007B7643" w:rsidRPr="009461B6">
        <w:t xml:space="preserve"> </w:t>
      </w:r>
      <w:r w:rsidR="00566126">
        <w:t>5</w:t>
      </w:r>
      <w:r w:rsidR="00CA12F4" w:rsidRPr="009461B6">
        <w:t>,15</w:t>
      </w:r>
      <w:r w:rsidR="007B7643" w:rsidRPr="009461B6">
        <w:t xml:space="preserve">0 MW of assumed </w:t>
      </w:r>
      <w:r w:rsidR="004578E1">
        <w:t>generation deactivated</w:t>
      </w:r>
      <w:r w:rsidR="00566126">
        <w:t>, or not available during the</w:t>
      </w:r>
      <w:r w:rsidR="009B5CAB" w:rsidRPr="009461B6">
        <w:t xml:space="preserve"> </w:t>
      </w:r>
      <w:r w:rsidR="00566126">
        <w:t xml:space="preserve">summer peak </w:t>
      </w:r>
      <w:r w:rsidR="009B5CAB" w:rsidRPr="009461B6">
        <w:t>(</w:t>
      </w:r>
      <w:r w:rsidR="009B5CAB" w:rsidRPr="00885A35">
        <w:rPr>
          <w:i/>
        </w:rPr>
        <w:t>see</w:t>
      </w:r>
      <w:r w:rsidR="009B5CAB" w:rsidRPr="003043E2">
        <w:t xml:space="preserve"> Appendix C for details</w:t>
      </w:r>
      <w:r w:rsidR="009B5CAB" w:rsidRPr="009461B6">
        <w:t xml:space="preserve">). </w:t>
      </w:r>
      <w:r w:rsidR="00BA7545" w:rsidRPr="009461B6">
        <w:t xml:space="preserve"> </w:t>
      </w:r>
      <w:r w:rsidR="00566126">
        <w:t xml:space="preserve">The 2020 RNA </w:t>
      </w:r>
      <w:r w:rsidR="004578E1">
        <w:t xml:space="preserve">also </w:t>
      </w:r>
      <w:r w:rsidR="00566126">
        <w:t>included a “status-quo” scenario</w:t>
      </w:r>
      <w:r w:rsidR="004578E1">
        <w:t xml:space="preserve">.  This scenario evaluated </w:t>
      </w:r>
      <w:r w:rsidR="004578E1" w:rsidRPr="00861DF2">
        <w:t>the reliability of the system under the assumption that no major transmission or generation projects come to fruition within the</w:t>
      </w:r>
      <w:r w:rsidR="004578E1">
        <w:t xml:space="preserve"> RNA</w:t>
      </w:r>
      <w:r w:rsidR="004578E1" w:rsidRPr="00861DF2">
        <w:t xml:space="preserve"> </w:t>
      </w:r>
      <w:r w:rsidR="004578E1">
        <w:t>S</w:t>
      </w:r>
      <w:r w:rsidR="004578E1" w:rsidRPr="00861DF2">
        <w:t xml:space="preserve">tudy </w:t>
      </w:r>
      <w:r w:rsidR="004578E1">
        <w:t>P</w:t>
      </w:r>
      <w:r w:rsidR="004578E1" w:rsidRPr="00861DF2">
        <w:t>eriod</w:t>
      </w:r>
      <w:r w:rsidR="004578E1">
        <w:t xml:space="preserve">. </w:t>
      </w:r>
      <w:r w:rsidR="004578E1" w:rsidRPr="00861DF2">
        <w:t>This include</w:t>
      </w:r>
      <w:r w:rsidR="004578E1">
        <w:t>d</w:t>
      </w:r>
      <w:r w:rsidR="004578E1" w:rsidRPr="00861DF2">
        <w:t xml:space="preserve"> the </w:t>
      </w:r>
      <w:r w:rsidR="004578E1">
        <w:t xml:space="preserve">removal of all proposed transmission and generation projects that have met 2020 RNA Base Case inclusion rules </w:t>
      </w:r>
      <w:r w:rsidR="004578E1" w:rsidRPr="00861DF2">
        <w:t>and removal of generators that require modifications to comply with the DEC’s Peaker Rule.</w:t>
      </w:r>
      <w:r w:rsidR="004578E1">
        <w:t xml:space="preserve">  From a resource adequacy perspective, this scenario indicates that </w:t>
      </w:r>
      <w:proofErr w:type="gramStart"/>
      <w:r w:rsidR="00876063">
        <w:t>From</w:t>
      </w:r>
      <w:proofErr w:type="gramEnd"/>
      <w:r w:rsidR="00876063">
        <w:t xml:space="preserve"> a transmission security perspective</w:t>
      </w:r>
      <w:r w:rsidR="00156200">
        <w:t>,</w:t>
      </w:r>
      <w:r w:rsidR="00876063">
        <w:t xml:space="preserve"> N-1-1 steady state issues in addition to those observed in the RNA baseline results may also occur.</w:t>
      </w:r>
      <w:r w:rsidR="004578E1">
        <w:t xml:space="preserve">  </w:t>
      </w:r>
    </w:p>
    <w:p w14:paraId="274D7B5E" w14:textId="789C2DC4" w:rsidR="007B7643" w:rsidRPr="00734BDB" w:rsidRDefault="007B7643" w:rsidP="007C158A">
      <w:pPr>
        <w:pStyle w:val="BodyText"/>
        <w:numPr>
          <w:ilvl w:val="0"/>
          <w:numId w:val="6"/>
        </w:numPr>
        <w:jc w:val="left"/>
        <w:rPr>
          <w:color w:val="FF0000"/>
        </w:rPr>
      </w:pPr>
      <w:r w:rsidRPr="00551E6A">
        <w:t xml:space="preserve">If additional generating units become unavailable or deactivate beyond those units already </w:t>
      </w:r>
      <w:r w:rsidR="00654843">
        <w:t>planned for</w:t>
      </w:r>
      <w:r w:rsidR="009509E7">
        <w:t>,</w:t>
      </w:r>
      <w:r w:rsidRPr="001155E5">
        <w:t xml:space="preserve"> the reliability of the </w:t>
      </w:r>
      <w:r w:rsidR="006259AF" w:rsidRPr="001155E5">
        <w:t xml:space="preserve">New York Control Area (NYCA) </w:t>
      </w:r>
      <w:r w:rsidR="009B5CAB" w:rsidRPr="001155E5">
        <w:t xml:space="preserve">could be adversely affected. </w:t>
      </w:r>
      <w:r w:rsidR="00BA7545" w:rsidRPr="001155E5">
        <w:t xml:space="preserve"> </w:t>
      </w:r>
      <w:r w:rsidR="00654843">
        <w:t>T</w:t>
      </w:r>
      <w:r w:rsidRPr="001155E5">
        <w:t>here are numerous risk factors related to the continued viability</w:t>
      </w:r>
      <w:r w:rsidR="00261D37" w:rsidRPr="001155E5">
        <w:t xml:space="preserve">, </w:t>
      </w:r>
      <w:r w:rsidR="006259AF" w:rsidRPr="001155E5">
        <w:t xml:space="preserve">compliance with </w:t>
      </w:r>
      <w:r w:rsidR="00261D37" w:rsidRPr="001155E5">
        <w:t>emissions</w:t>
      </w:r>
      <w:r w:rsidR="003519B1" w:rsidRPr="001155E5">
        <w:t xml:space="preserve"> requirements</w:t>
      </w:r>
      <w:r w:rsidR="00261D37" w:rsidRPr="001155E5">
        <w:t>,</w:t>
      </w:r>
      <w:r w:rsidRPr="001155E5">
        <w:t xml:space="preserve"> and operation of </w:t>
      </w:r>
      <w:r w:rsidR="008E233F" w:rsidRPr="001155E5">
        <w:t xml:space="preserve">aging </w:t>
      </w:r>
      <w:r w:rsidRPr="001155E5">
        <w:t xml:space="preserve">generating units. </w:t>
      </w:r>
      <w:r w:rsidR="00BA7545" w:rsidRPr="001155E5">
        <w:t xml:space="preserve"> </w:t>
      </w:r>
      <w:r w:rsidRPr="001155E5">
        <w:t xml:space="preserve">Depending on the units affected, the NYISO may need to take actions through its </w:t>
      </w:r>
      <w:r w:rsidR="00654843">
        <w:t>Short-Term Reliability Process</w:t>
      </w:r>
      <w:r w:rsidR="009B5CAB" w:rsidRPr="001155E5">
        <w:t xml:space="preserve"> to maintain reliability. </w:t>
      </w:r>
      <w:r w:rsidR="00BA7545" w:rsidRPr="001155E5">
        <w:t xml:space="preserve"> </w:t>
      </w:r>
      <w:r w:rsidRPr="001155E5">
        <w:t xml:space="preserve">The scenarios performed as part of the RNA </w:t>
      </w:r>
      <w:r w:rsidR="00261D37" w:rsidRPr="001155E5">
        <w:t>indicated</w:t>
      </w:r>
      <w:r w:rsidRPr="001155E5">
        <w:t xml:space="preserve"> that t</w:t>
      </w:r>
      <w:r w:rsidR="00261D37" w:rsidRPr="001155E5">
        <w:t xml:space="preserve">he deactivation of </w:t>
      </w:r>
      <w:r w:rsidR="001155E5" w:rsidRPr="001155E5">
        <w:t xml:space="preserve">additional </w:t>
      </w:r>
      <w:r w:rsidR="00261D37" w:rsidRPr="001155E5">
        <w:t xml:space="preserve">generators </w:t>
      </w:r>
      <w:r w:rsidRPr="001155E5">
        <w:t>could l</w:t>
      </w:r>
      <w:r w:rsidR="00261D37" w:rsidRPr="001155E5">
        <w:t xml:space="preserve">ead to </w:t>
      </w:r>
      <w:r w:rsidR="006259AF" w:rsidRPr="001155E5">
        <w:t xml:space="preserve">reliability </w:t>
      </w:r>
      <w:r w:rsidR="00261D37" w:rsidRPr="001155E5">
        <w:t>needs.</w:t>
      </w:r>
      <w:r w:rsidR="00D209F7" w:rsidRPr="001155E5">
        <w:t xml:space="preserve"> </w:t>
      </w:r>
      <w:r w:rsidRPr="001155E5">
        <w:t xml:space="preserve"> </w:t>
      </w:r>
    </w:p>
    <w:p w14:paraId="44E9C650" w14:textId="77777777" w:rsidR="006259AF" w:rsidRPr="001155E5" w:rsidRDefault="006259AF" w:rsidP="007C158A">
      <w:pPr>
        <w:pStyle w:val="BodyText"/>
        <w:numPr>
          <w:ilvl w:val="0"/>
          <w:numId w:val="6"/>
        </w:numPr>
        <w:jc w:val="left"/>
      </w:pPr>
      <w:r w:rsidRPr="001155E5">
        <w:t xml:space="preserve">Capacity resources could decide to offer into markets in other regions and, therefore, some of the </w:t>
      </w:r>
      <w:r w:rsidRPr="001155E5">
        <w:lastRenderedPageBreak/>
        <w:t xml:space="preserve">capability of those resources may not be available to the NYCA. </w:t>
      </w:r>
      <w:r w:rsidR="00BA7545" w:rsidRPr="001155E5">
        <w:t xml:space="preserve"> </w:t>
      </w:r>
      <w:r w:rsidRPr="001155E5">
        <w:t xml:space="preserve">Accordingly, the NYISO will continue to monitor imports, exports, generation and other infrastructure. </w:t>
      </w:r>
      <w:r w:rsidR="00BA7545" w:rsidRPr="001155E5">
        <w:t xml:space="preserve"> </w:t>
      </w:r>
    </w:p>
    <w:p w14:paraId="0F5A7FA5" w14:textId="468C6859" w:rsidR="00222F25" w:rsidRDefault="00BF115D" w:rsidP="007F4000">
      <w:pPr>
        <w:pStyle w:val="BodyText"/>
        <w:ind w:left="1152" w:firstLine="0"/>
      </w:pPr>
      <w:r>
        <w:t xml:space="preserve">The impact of </w:t>
      </w:r>
      <w:r w:rsidR="00DB5283">
        <w:t xml:space="preserve">the unavailability of </w:t>
      </w:r>
      <w:r>
        <w:t xml:space="preserve">system resources can readily be seen through tipping point evaluations.  </w:t>
      </w:r>
      <w:r w:rsidR="00222F25">
        <w:t xml:space="preserve">While transmission security within New York City (Zone J) is maintained through the ten-year period in accordance with design criteria, the </w:t>
      </w:r>
      <w:r w:rsidR="00390C67">
        <w:t>margin</w:t>
      </w:r>
      <w:r w:rsidR="00222F25">
        <w:t xml:space="preserve"> would be</w:t>
      </w:r>
      <w:r w:rsidR="00390C67">
        <w:t xml:space="preserve"> very tight</w:t>
      </w:r>
      <w:r w:rsidR="00222F25">
        <w:t xml:space="preserve"> </w:t>
      </w:r>
      <w:r w:rsidR="00390C67">
        <w:t xml:space="preserve">starting in 2025 and would be </w:t>
      </w:r>
      <w:r w:rsidR="00222F25">
        <w:t xml:space="preserve">deficient beginning in 2028 if </w:t>
      </w:r>
      <w:r w:rsidR="00390C67">
        <w:t>forced outages are experienced at the historical rate.  T</w:t>
      </w:r>
      <w:r w:rsidR="00222F25">
        <w:t xml:space="preserve">he </w:t>
      </w:r>
      <w:r w:rsidR="005E6E37">
        <w:t xml:space="preserve">design criteria margin and </w:t>
      </w:r>
      <w:r w:rsidR="00222F25">
        <w:t xml:space="preserve">adjusted </w:t>
      </w:r>
      <w:r w:rsidR="00390C67">
        <w:t xml:space="preserve">baseline </w:t>
      </w:r>
      <w:r w:rsidR="00222F25">
        <w:t xml:space="preserve">transmission security margin </w:t>
      </w:r>
      <w:r w:rsidR="005E6E37">
        <w:t xml:space="preserve">considering the impact of forced generator outages for New York City are </w:t>
      </w:r>
      <w:r w:rsidR="00390C67">
        <w:t xml:space="preserve">shown in Figure </w:t>
      </w:r>
      <w:r w:rsidR="00390C67" w:rsidRPr="0075566C">
        <w:rPr>
          <w:highlight w:val="yellow"/>
        </w:rPr>
        <w:t>##</w:t>
      </w:r>
      <w:r w:rsidR="00390C67">
        <w:t xml:space="preserve">.  </w:t>
      </w:r>
    </w:p>
    <w:p w14:paraId="066523D9" w14:textId="2C0D3942" w:rsidR="00390C67" w:rsidRDefault="00390C67" w:rsidP="00390C67">
      <w:pPr>
        <w:pStyle w:val="BodyText"/>
      </w:pPr>
      <w:r w:rsidRPr="0056107A">
        <w:rPr>
          <w:rFonts w:ascii="Franklin Gothic Demi" w:hAnsi="Franklin Gothic Demi"/>
          <w:iCs/>
          <w:highlight w:val="yellow"/>
        </w:rPr>
        <w:t>Figure XX:</w:t>
      </w:r>
      <w:r w:rsidRPr="006B16B9">
        <w:rPr>
          <w:rFonts w:ascii="Franklin Gothic Demi" w:hAnsi="Franklin Gothic Demi"/>
          <w:iCs/>
        </w:rPr>
        <w:t xml:space="preserve">  </w:t>
      </w:r>
      <w:r>
        <w:rPr>
          <w:rFonts w:ascii="Franklin Gothic Demi" w:hAnsi="Franklin Gothic Demi"/>
          <w:iCs/>
        </w:rPr>
        <w:t>New York City</w:t>
      </w:r>
      <w:r w:rsidRPr="006B16B9">
        <w:rPr>
          <w:rFonts w:ascii="Franklin Gothic Demi" w:hAnsi="Franklin Gothic Demi"/>
          <w:iCs/>
        </w:rPr>
        <w:t xml:space="preserve"> Summer Transmission Security Margin (</w:t>
      </w:r>
      <w:r>
        <w:rPr>
          <w:rFonts w:ascii="Franklin Gothic Demi" w:hAnsi="Franklin Gothic Demi"/>
          <w:iCs/>
        </w:rPr>
        <w:t>Summer Baseline Peak Forecast - Normal</w:t>
      </w:r>
      <w:r w:rsidRPr="006B16B9">
        <w:rPr>
          <w:rFonts w:ascii="Franklin Gothic Demi" w:hAnsi="Franklin Gothic Demi"/>
          <w:iCs/>
        </w:rPr>
        <w:t>)</w:t>
      </w:r>
      <w:r w:rsidRPr="00A375D2">
        <w:rPr>
          <w:i/>
          <w:iCs/>
          <w:color w:val="1F497D" w:themeColor="text2"/>
          <w:sz w:val="18"/>
          <w:szCs w:val="18"/>
        </w:rPr>
        <w:t xml:space="preserve"> </w:t>
      </w:r>
    </w:p>
    <w:p w14:paraId="28B1F329" w14:textId="5FCD7CAD" w:rsidR="00222F25" w:rsidRDefault="00A9210F" w:rsidP="007F4000">
      <w:pPr>
        <w:pStyle w:val="BodyText"/>
        <w:ind w:left="1152" w:firstLine="0"/>
      </w:pPr>
      <w:r w:rsidDel="00222F25">
        <w:rPr>
          <w:noProof/>
        </w:rPr>
        <w:drawing>
          <wp:inline distT="0" distB="0" distL="0" distR="0" wp14:anchorId="6934EFC2" wp14:editId="2EDEC96F">
            <wp:extent cx="5506720" cy="248527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20177" cy="2491346"/>
                    </a:xfrm>
                    <a:prstGeom prst="rect">
                      <a:avLst/>
                    </a:prstGeom>
                    <a:noFill/>
                  </pic:spPr>
                </pic:pic>
              </a:graphicData>
            </a:graphic>
          </wp:inline>
        </w:drawing>
      </w:r>
    </w:p>
    <w:p w14:paraId="56A1BC66" w14:textId="77777777" w:rsidR="00812867" w:rsidRDefault="00812867" w:rsidP="00571CB8">
      <w:pPr>
        <w:pStyle w:val="BodyText"/>
        <w:jc w:val="left"/>
        <w:rPr>
          <w:b/>
        </w:rPr>
      </w:pPr>
    </w:p>
    <w:p w14:paraId="5FDD5099" w14:textId="1273BE31" w:rsidR="00A9210F" w:rsidRPr="0004590C" w:rsidRDefault="00A9210F" w:rsidP="00A9210F">
      <w:pPr>
        <w:pStyle w:val="BodyText"/>
        <w:jc w:val="left"/>
        <w:rPr>
          <w:b/>
        </w:rPr>
      </w:pPr>
      <w:r w:rsidRPr="0004590C">
        <w:rPr>
          <w:b/>
        </w:rPr>
        <w:t>2.</w:t>
      </w:r>
      <w:r w:rsidRPr="0004590C">
        <w:rPr>
          <w:b/>
        </w:rPr>
        <w:tab/>
        <w:t xml:space="preserve">Completion of </w:t>
      </w:r>
      <w:r w:rsidR="00A5576A">
        <w:rPr>
          <w:b/>
        </w:rPr>
        <w:t>Public Policy Transmission Plans</w:t>
      </w:r>
    </w:p>
    <w:p w14:paraId="442899E7" w14:textId="4CF2C864" w:rsidR="00A5576A" w:rsidRPr="001155E5" w:rsidRDefault="00A5576A" w:rsidP="0075566C">
      <w:pPr>
        <w:pStyle w:val="BodyText"/>
      </w:pPr>
      <w:r w:rsidRPr="001155E5">
        <w:t xml:space="preserve">There are several public policy transmission developments in progress </w:t>
      </w:r>
      <w:r w:rsidR="00783DAE">
        <w:t>that</w:t>
      </w:r>
      <w:r w:rsidRPr="001155E5">
        <w:t xml:space="preserve"> will increase the system capability to transport power:</w:t>
      </w:r>
    </w:p>
    <w:p w14:paraId="64A506C3" w14:textId="78C78BEF" w:rsidR="00A5576A" w:rsidRPr="001155E5" w:rsidRDefault="00A5576A" w:rsidP="00A5576A">
      <w:pPr>
        <w:pStyle w:val="BodyText"/>
        <w:numPr>
          <w:ilvl w:val="0"/>
          <w:numId w:val="7"/>
        </w:numPr>
        <w:jc w:val="left"/>
      </w:pPr>
      <w:r w:rsidRPr="001155E5">
        <w:t>The Western NY Public Policy Transmission Project (the Empire State Line Proposal 1</w:t>
      </w:r>
      <w:r>
        <w:t>, Q545A</w:t>
      </w:r>
      <w:r w:rsidRPr="001155E5">
        <w:t xml:space="preserve">), developed by NextEra Energy Transmission New York, Inc., was selected by the NYISO Board in October 2017 and </w:t>
      </w:r>
      <w:r>
        <w:t>was</w:t>
      </w:r>
      <w:r w:rsidRPr="001155E5">
        <w:t xml:space="preserve"> included </w:t>
      </w:r>
      <w:r>
        <w:t xml:space="preserve">in the reliability plan </w:t>
      </w:r>
      <w:r w:rsidRPr="001155E5">
        <w:t xml:space="preserve">starting with the 2018 RNA.  This project includes a new 345 kV circuit and phase angle regulator (PAR) that will alleviate constraints in the Niagara area.  The planned in-service date for this project is </w:t>
      </w:r>
      <w:r>
        <w:t>s</w:t>
      </w:r>
      <w:r w:rsidRPr="001155E5">
        <w:t>ummer 2022.</w:t>
      </w:r>
    </w:p>
    <w:p w14:paraId="2A014A7F" w14:textId="4485AA93" w:rsidR="00A5576A" w:rsidRDefault="00A5576A" w:rsidP="00A5576A">
      <w:pPr>
        <w:pStyle w:val="BodyText"/>
        <w:numPr>
          <w:ilvl w:val="0"/>
          <w:numId w:val="7"/>
        </w:numPr>
        <w:jc w:val="left"/>
      </w:pPr>
      <w:r w:rsidRPr="001155E5">
        <w:t xml:space="preserve">The solutions to the AC Transmission Public Policy Transmission Needs were reflected in the </w:t>
      </w:r>
      <w:r w:rsidRPr="001155E5">
        <w:lastRenderedPageBreak/>
        <w:t>2020 RNA base case</w:t>
      </w:r>
      <w:r>
        <w:t xml:space="preserve"> and are now included in this reliability plan</w:t>
      </w:r>
      <w:r w:rsidRPr="001155E5">
        <w:t xml:space="preserve">. As part of the NYISO’s Public Policy Transmission Planning Process, the New York State Public Service Commission (PSC) identified the need to expand the state’s transmission capability to deliver additional power from generating facilities located in upstate New York, including important renewable resources, to the population centers located downstate. </w:t>
      </w:r>
      <w:r>
        <w:t xml:space="preserve"> </w:t>
      </w:r>
      <w:r w:rsidRPr="001155E5">
        <w:t>On April 8, 2019, the NYISO Board of Directors selected the Double-Circuit project (</w:t>
      </w:r>
      <w:r>
        <w:t>Q556</w:t>
      </w:r>
      <w:r w:rsidRPr="001155E5">
        <w:t xml:space="preserve">) proposed jointly by </w:t>
      </w:r>
      <w:r>
        <w:t>LS Power Grid New York</w:t>
      </w:r>
      <w:r w:rsidRPr="001155E5">
        <w:t xml:space="preserve"> and the New York Power Authority as the more efficient or cost-effective transmission solution to address Segment A.  The Board also selected the New York Energy Solution project (</w:t>
      </w:r>
      <w:r>
        <w:t>Q543</w:t>
      </w:r>
      <w:r w:rsidRPr="001155E5">
        <w:t xml:space="preserve">) proposed jointly by Niagara Mohawk Power Corporation d/b/a National Grid and the New York Transco, LLC as the more efficient or cost-effective transmission solution to address Segment B.  The </w:t>
      </w:r>
      <w:r>
        <w:t>planned</w:t>
      </w:r>
      <w:r w:rsidRPr="001155E5">
        <w:t xml:space="preserve"> in-service date for </w:t>
      </w:r>
      <w:r>
        <w:t>the Segment A and Segment B p</w:t>
      </w:r>
      <w:r w:rsidRPr="001155E5">
        <w:t xml:space="preserve">rojects is </w:t>
      </w:r>
      <w:r>
        <w:t>winter</w:t>
      </w:r>
      <w:r w:rsidRPr="001155E5">
        <w:t xml:space="preserve"> 202</w:t>
      </w:r>
      <w:r>
        <w:t>3</w:t>
      </w:r>
      <w:r w:rsidRPr="001155E5">
        <w:t xml:space="preserve">.  </w:t>
      </w:r>
    </w:p>
    <w:p w14:paraId="276CFD90" w14:textId="0DC4C021" w:rsidR="001A08CA" w:rsidRDefault="00A5576A" w:rsidP="00A5576A">
      <w:pPr>
        <w:pStyle w:val="BodyText"/>
      </w:pPr>
      <w:r>
        <w:t xml:space="preserve">As </w:t>
      </w:r>
      <w:r w:rsidR="001A08CA">
        <w:t xml:space="preserve">these </w:t>
      </w:r>
      <w:r>
        <w:t xml:space="preserve">transmission </w:t>
      </w:r>
      <w:r w:rsidR="001A08CA">
        <w:t>projects enter service, reliability of the New York grid will improve.  If the projects were to be delayed for any reason, there would be an increased risk to grid reliability.</w:t>
      </w:r>
    </w:p>
    <w:p w14:paraId="2F44A182" w14:textId="3641EC1B" w:rsidR="00A5576A" w:rsidRDefault="001A08CA" w:rsidP="0075566C">
      <w:pPr>
        <w:pStyle w:val="BodyText"/>
      </w:pPr>
      <w:r>
        <w:t xml:space="preserve">As an example of the reliability benefits provided by </w:t>
      </w:r>
      <w:r w:rsidR="007645AF">
        <w:t>the projects</w:t>
      </w:r>
      <w:r>
        <w:t>, the</w:t>
      </w:r>
      <w:r w:rsidR="00A5576A">
        <w:t xml:space="preserve"> AC Segment B </w:t>
      </w:r>
      <w:r w:rsidR="007645AF">
        <w:t xml:space="preserve">project </w:t>
      </w:r>
      <w:r w:rsidR="00A5576A">
        <w:t xml:space="preserve">has a direct impact on the </w:t>
      </w:r>
      <w:r w:rsidR="007645AF">
        <w:t>L</w:t>
      </w:r>
      <w:r w:rsidR="00A5576A">
        <w:t xml:space="preserve">ower Hudson Valley transmission security margin.  </w:t>
      </w:r>
      <w:r w:rsidR="00A5576A" w:rsidRPr="0075566C">
        <w:t xml:space="preserve">Figure </w:t>
      </w:r>
      <w:r w:rsidR="00A5576A" w:rsidRPr="007645AF">
        <w:rPr>
          <w:highlight w:val="yellow"/>
        </w:rPr>
        <w:t>XX</w:t>
      </w:r>
      <w:r w:rsidR="00A5576A">
        <w:t xml:space="preserve"> shows how the transmission security margin changes through time in consideration of the most limiting contingency combination for the year being evaluated.  In years 2022 and 2023 (prior to the completion of the Segment B project) the most limiting contingency combination to the transmission security margin under peak load conditions is the loss of Leeds-Pleasant Valley (92) 345 kV followed by the loss of Dolson – Rock Tavern (DART44) 345 kV and Coopers Corners – Rock Tavern (CCRT34) due to common towers.  For the remainder of the years the contingency combination changes to the loss of Ravenswood 3 followed by the loss of Pleasant Valley-Wood St. 345 kV (F30/F31).  </w:t>
      </w:r>
    </w:p>
    <w:p w14:paraId="0111B526" w14:textId="77777777" w:rsidR="00785274" w:rsidRDefault="00785274">
      <w:pPr>
        <w:rPr>
          <w:rFonts w:ascii="Franklin Gothic Demi" w:eastAsia="Arial Narrow" w:hAnsi="Franklin Gothic Demi"/>
          <w:bCs/>
          <w:iCs/>
          <w:sz w:val="22"/>
          <w:highlight w:val="yellow"/>
          <w:lang w:bidi="ar-SA"/>
        </w:rPr>
      </w:pPr>
      <w:r>
        <w:rPr>
          <w:rFonts w:ascii="Franklin Gothic Demi" w:hAnsi="Franklin Gothic Demi"/>
          <w:iCs/>
          <w:highlight w:val="yellow"/>
        </w:rPr>
        <w:br w:type="page"/>
      </w:r>
    </w:p>
    <w:p w14:paraId="76F4B67D" w14:textId="09183764" w:rsidR="00A5576A" w:rsidRDefault="00A5576A" w:rsidP="00A5576A">
      <w:pPr>
        <w:pStyle w:val="BodyText"/>
      </w:pPr>
      <w:r w:rsidRPr="0056107A">
        <w:rPr>
          <w:rFonts w:ascii="Franklin Gothic Demi" w:hAnsi="Franklin Gothic Demi"/>
          <w:iCs/>
          <w:highlight w:val="yellow"/>
        </w:rPr>
        <w:lastRenderedPageBreak/>
        <w:t>Figure XX:</w:t>
      </w:r>
      <w:r w:rsidRPr="006B16B9">
        <w:rPr>
          <w:rFonts w:ascii="Franklin Gothic Demi" w:hAnsi="Franklin Gothic Demi"/>
          <w:iCs/>
        </w:rPr>
        <w:t xml:space="preserve">  </w:t>
      </w:r>
      <w:r>
        <w:rPr>
          <w:rFonts w:ascii="Franklin Gothic Demi" w:hAnsi="Franklin Gothic Demi"/>
          <w:iCs/>
        </w:rPr>
        <w:t>Lower Hudson Valley</w:t>
      </w:r>
      <w:r w:rsidRPr="006B16B9">
        <w:rPr>
          <w:rFonts w:ascii="Franklin Gothic Demi" w:hAnsi="Franklin Gothic Demi"/>
          <w:iCs/>
        </w:rPr>
        <w:t xml:space="preserve"> Summer Transmission Security Margin (</w:t>
      </w:r>
      <w:r>
        <w:rPr>
          <w:rFonts w:ascii="Franklin Gothic Demi" w:hAnsi="Franklin Gothic Demi"/>
          <w:iCs/>
        </w:rPr>
        <w:t>Summer Baseline Peak Forecast - Normal</w:t>
      </w:r>
      <w:r w:rsidRPr="006B16B9">
        <w:rPr>
          <w:rFonts w:ascii="Franklin Gothic Demi" w:hAnsi="Franklin Gothic Demi"/>
          <w:iCs/>
        </w:rPr>
        <w:t>)</w:t>
      </w:r>
      <w:r w:rsidRPr="00A375D2">
        <w:rPr>
          <w:i/>
          <w:iCs/>
          <w:color w:val="1F497D" w:themeColor="text2"/>
          <w:sz w:val="18"/>
          <w:szCs w:val="18"/>
        </w:rPr>
        <w:t xml:space="preserve"> </w:t>
      </w:r>
    </w:p>
    <w:p w14:paraId="2509D771" w14:textId="77777777" w:rsidR="00A5576A" w:rsidRDefault="00A5576A" w:rsidP="00A5576A">
      <w:pPr>
        <w:pStyle w:val="BodyText"/>
        <w:ind w:firstLine="0"/>
      </w:pPr>
      <w:r>
        <w:rPr>
          <w:noProof/>
        </w:rPr>
        <w:drawing>
          <wp:inline distT="0" distB="0" distL="0" distR="0" wp14:anchorId="1F68130F" wp14:editId="76AFE191">
            <wp:extent cx="5916127" cy="1920240"/>
            <wp:effectExtent l="0" t="0" r="889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16127" cy="1920240"/>
                    </a:xfrm>
                    <a:prstGeom prst="rect">
                      <a:avLst/>
                    </a:prstGeom>
                    <a:noFill/>
                  </pic:spPr>
                </pic:pic>
              </a:graphicData>
            </a:graphic>
          </wp:inline>
        </w:drawing>
      </w:r>
    </w:p>
    <w:p w14:paraId="059AD19C" w14:textId="77777777" w:rsidR="00A5576A" w:rsidRPr="00655453" w:rsidRDefault="00A5576A" w:rsidP="00A5576A">
      <w:pPr>
        <w:pStyle w:val="BodyText"/>
        <w:ind w:left="1152" w:firstLine="0"/>
        <w:jc w:val="left"/>
      </w:pPr>
    </w:p>
    <w:p w14:paraId="02E2F92B" w14:textId="77777777" w:rsidR="00A5576A" w:rsidRDefault="00A5576A" w:rsidP="0075566C">
      <w:pPr>
        <w:pStyle w:val="BodyText"/>
        <w:ind w:firstLine="0"/>
        <w:jc w:val="left"/>
      </w:pPr>
    </w:p>
    <w:p w14:paraId="162DF317" w14:textId="2CE729D4" w:rsidR="007B7643" w:rsidRPr="0004590C" w:rsidRDefault="00A9210F" w:rsidP="00571CB8">
      <w:pPr>
        <w:pStyle w:val="BodyText"/>
        <w:jc w:val="left"/>
        <w:rPr>
          <w:b/>
        </w:rPr>
      </w:pPr>
      <w:r>
        <w:rPr>
          <w:b/>
        </w:rPr>
        <w:t>3</w:t>
      </w:r>
      <w:r w:rsidR="007B7643" w:rsidRPr="0004590C">
        <w:rPr>
          <w:b/>
        </w:rPr>
        <w:t>.</w:t>
      </w:r>
      <w:r w:rsidR="007B7643" w:rsidRPr="0004590C">
        <w:rPr>
          <w:b/>
        </w:rPr>
        <w:tab/>
        <w:t>Completion of Local Transmission Owner Plans</w:t>
      </w:r>
    </w:p>
    <w:p w14:paraId="7BD37512" w14:textId="1F557D35" w:rsidR="007B7643" w:rsidRPr="00487293" w:rsidRDefault="007B7643" w:rsidP="00487293">
      <w:pPr>
        <w:pStyle w:val="BodyText"/>
      </w:pPr>
      <w:r w:rsidRPr="0004590C">
        <w:t xml:space="preserve">The local transmission owner plans (LTPs) are an important part of the overall Comprehensive System Planning Process and the findings of this </w:t>
      </w:r>
      <w:r w:rsidR="009B5CAB" w:rsidRPr="0004590C">
        <w:t xml:space="preserve">CRP. </w:t>
      </w:r>
      <w:r w:rsidR="00BA7545" w:rsidRPr="0004590C">
        <w:t xml:space="preserve"> </w:t>
      </w:r>
      <w:r w:rsidR="00487293">
        <w:t>T</w:t>
      </w:r>
      <w:r w:rsidR="00487293" w:rsidRPr="00DE241F">
        <w:rPr>
          <w:rFonts w:cs="Calibri"/>
          <w:szCs w:val="20"/>
        </w:rPr>
        <w:t xml:space="preserve">he 2020 RNA identified transmission security criteria violations, as well as resource adequacy violations. </w:t>
      </w:r>
      <w:r w:rsidR="00FC2792">
        <w:rPr>
          <w:rFonts w:cs="Calibri"/>
          <w:szCs w:val="20"/>
        </w:rPr>
        <w:t xml:space="preserve"> </w:t>
      </w:r>
      <w:r w:rsidR="00487293" w:rsidRPr="00DE241F">
        <w:rPr>
          <w:rFonts w:cs="Calibri"/>
          <w:szCs w:val="20"/>
        </w:rPr>
        <w:t>The process allows for subsequent updates, which included three</w:t>
      </w:r>
      <w:r w:rsidR="00487293">
        <w:rPr>
          <w:rFonts w:cs="Calibri"/>
          <w:szCs w:val="20"/>
        </w:rPr>
        <w:t xml:space="preserve"> projects in Co</w:t>
      </w:r>
      <w:r w:rsidR="00487293" w:rsidRPr="00487293">
        <w:t>n</w:t>
      </w:r>
      <w:r w:rsidR="0042140E">
        <w:t xml:space="preserve"> </w:t>
      </w:r>
      <w:r w:rsidR="00487293" w:rsidRPr="00487293">
        <w:t xml:space="preserve">Edison: a new 345/138 kV PAR controlled 138 kV Rainey – Corona feeder, a new 345/138 kV PAR controlled 138 kV Gowanus – Greenwood feeder, and a new 345/138 kV PAR controlled 138 kV Goethals – Fox Hills feeder. </w:t>
      </w:r>
      <w:r w:rsidR="004F6191">
        <w:t xml:space="preserve"> </w:t>
      </w:r>
      <w:r w:rsidR="00487293" w:rsidRPr="00487293">
        <w:t xml:space="preserve">These are included in the </w:t>
      </w:r>
      <w:r w:rsidR="004F6191">
        <w:t>plan</w:t>
      </w:r>
      <w:r w:rsidR="00487293" w:rsidRPr="00487293">
        <w:t>.</w:t>
      </w:r>
      <w:r w:rsidR="00487293">
        <w:t xml:space="preserve">  </w:t>
      </w:r>
      <w:r w:rsidRPr="002B6474">
        <w:t>T</w:t>
      </w:r>
      <w:r w:rsidRPr="00487293">
        <w:t xml:space="preserve">he NYISO will continue to track the timely entry into service of </w:t>
      </w:r>
      <w:r w:rsidR="00487293" w:rsidRPr="00487293">
        <w:t xml:space="preserve">these and other </w:t>
      </w:r>
      <w:r w:rsidRPr="00487293">
        <w:t>projects that have been identified to relieve reliability violations.</w:t>
      </w:r>
      <w:r w:rsidR="00BA7545" w:rsidRPr="00487293">
        <w:t xml:space="preserve"> </w:t>
      </w:r>
    </w:p>
    <w:p w14:paraId="7A3F2AD2" w14:textId="2DB12F99" w:rsidR="007B7643" w:rsidRPr="00530EFD" w:rsidRDefault="00A9210F" w:rsidP="00571CB8">
      <w:pPr>
        <w:pStyle w:val="BodyText"/>
        <w:jc w:val="left"/>
        <w:rPr>
          <w:b/>
        </w:rPr>
      </w:pPr>
      <w:r>
        <w:rPr>
          <w:b/>
        </w:rPr>
        <w:t>4</w:t>
      </w:r>
      <w:r w:rsidR="007B7643" w:rsidRPr="00530EFD">
        <w:rPr>
          <w:b/>
        </w:rPr>
        <w:t>.</w:t>
      </w:r>
      <w:r w:rsidR="007B7643" w:rsidRPr="00530EFD">
        <w:rPr>
          <w:b/>
        </w:rPr>
        <w:tab/>
        <w:t>Changes to System Performance</w:t>
      </w:r>
    </w:p>
    <w:p w14:paraId="645AC115" w14:textId="6D40E697" w:rsidR="00BB0102" w:rsidRPr="003C4D41" w:rsidRDefault="00D367F1" w:rsidP="00571CB8">
      <w:pPr>
        <w:pStyle w:val="BodyText"/>
        <w:jc w:val="left"/>
      </w:pPr>
      <w:r w:rsidRPr="003C4D41">
        <w:t>As generators age and experience more frequent and longer duration outages, the costs to maintain the asset</w:t>
      </w:r>
      <w:r w:rsidR="00F74E29" w:rsidRPr="003C4D41">
        <w:t>s</w:t>
      </w:r>
      <w:r w:rsidRPr="003C4D41">
        <w:t xml:space="preserve"> increase.  </w:t>
      </w:r>
      <w:r w:rsidR="007B7643" w:rsidRPr="003C4D41">
        <w:t>This may drive ag</w:t>
      </w:r>
      <w:r w:rsidR="009B5CAB" w:rsidRPr="003C4D41">
        <w:t>ing generation into retirement.</w:t>
      </w:r>
      <w:r w:rsidR="007B7643" w:rsidRPr="003C4D41">
        <w:t xml:space="preserve"> </w:t>
      </w:r>
      <w:r w:rsidR="001E7CEA" w:rsidRPr="003C4D41">
        <w:t xml:space="preserve"> </w:t>
      </w:r>
      <w:r w:rsidR="00CC5235" w:rsidRPr="003C4D41">
        <w:t xml:space="preserve">A growing amount of New York’s gas-turbine and fossil fuel-fired steam-turbine capacity is reaching an age at which, nationally, a </w:t>
      </w:r>
      <w:r w:rsidR="008556E3" w:rsidRPr="003C4D41">
        <w:t xml:space="preserve">vast </w:t>
      </w:r>
      <w:r w:rsidR="00CC5235" w:rsidRPr="003C4D41">
        <w:t>majority of similar capacity has been deactivated.  As shown in</w:t>
      </w:r>
      <w:r w:rsidR="00174B23" w:rsidRPr="003C4D41">
        <w:t xml:space="preserve"> </w:t>
      </w:r>
      <w:r w:rsidR="00174B23" w:rsidRPr="003C4D41">
        <w:fldChar w:fldCharType="begin"/>
      </w:r>
      <w:r w:rsidR="00174B23" w:rsidRPr="003C4D41">
        <w:instrText xml:space="preserve"> REF _Ref3801015 \h  \* MERGEFORMAT </w:instrText>
      </w:r>
      <w:r w:rsidR="00174B23" w:rsidRPr="003C4D41">
        <w:fldChar w:fldCharType="separate"/>
      </w:r>
      <w:r w:rsidR="007E5B2C" w:rsidRPr="007F4000">
        <w:t>Figure 1</w:t>
      </w:r>
      <w:r w:rsidR="00174B23" w:rsidRPr="003C4D41">
        <w:fldChar w:fldCharType="end"/>
      </w:r>
      <w:r w:rsidR="00CC5235" w:rsidRPr="003C4D41">
        <w:t xml:space="preserve">, by 2028 more than 8,300 MW of gas-turbine and steam-turbine based capacity in New York will reach an age beyond which 95% of these types of </w:t>
      </w:r>
      <w:r w:rsidR="00C432DE">
        <w:t>generators</w:t>
      </w:r>
      <w:r w:rsidR="00C432DE" w:rsidRPr="003C4D41">
        <w:t xml:space="preserve"> </w:t>
      </w:r>
      <w:r w:rsidR="00CC5235" w:rsidRPr="003C4D41">
        <w:t>have deactivated.</w:t>
      </w:r>
      <w:r w:rsidR="00BA7545" w:rsidRPr="003C4D41">
        <w:t xml:space="preserve">  </w:t>
      </w:r>
      <w:bookmarkStart w:id="50" w:name="_Ref1980892"/>
    </w:p>
    <w:p w14:paraId="6EFC1F72" w14:textId="3B463385" w:rsidR="00BE13F4" w:rsidRDefault="007879FB" w:rsidP="00BE13F4">
      <w:pPr>
        <w:pStyle w:val="Figure"/>
        <w:keepNext/>
        <w:jc w:val="center"/>
      </w:pPr>
      <w:bookmarkStart w:id="51" w:name="_Ref3801015"/>
      <w:bookmarkStart w:id="52" w:name="_Toc4757615"/>
      <w:bookmarkStart w:id="53" w:name="_Toc13579838"/>
      <w:r w:rsidRPr="00BB0102">
        <w:rPr>
          <w:rStyle w:val="FigureChar"/>
          <w:bCs/>
          <w:sz w:val="20"/>
          <w:szCs w:val="20"/>
        </w:rPr>
        <w:lastRenderedPageBreak/>
        <w:t xml:space="preserve">Figure </w:t>
      </w:r>
      <w:r w:rsidR="00876063">
        <w:rPr>
          <w:rStyle w:val="FigureChar"/>
          <w:bCs/>
          <w:sz w:val="20"/>
          <w:szCs w:val="20"/>
        </w:rPr>
        <w:fldChar w:fldCharType="begin"/>
      </w:r>
      <w:r w:rsidR="00876063">
        <w:rPr>
          <w:rStyle w:val="FigureChar"/>
          <w:bCs/>
          <w:sz w:val="20"/>
          <w:szCs w:val="20"/>
        </w:rPr>
        <w:instrText xml:space="preserve"> SEQ Figure \* ARABIC </w:instrText>
      </w:r>
      <w:r w:rsidR="00876063">
        <w:rPr>
          <w:rStyle w:val="FigureChar"/>
          <w:bCs/>
          <w:sz w:val="20"/>
          <w:szCs w:val="20"/>
        </w:rPr>
        <w:fldChar w:fldCharType="separate"/>
      </w:r>
      <w:r w:rsidR="007E5B2C">
        <w:rPr>
          <w:rStyle w:val="FigureChar"/>
          <w:bCs/>
          <w:noProof/>
          <w:sz w:val="20"/>
          <w:szCs w:val="20"/>
        </w:rPr>
        <w:t>1</w:t>
      </w:r>
      <w:r w:rsidR="00876063">
        <w:rPr>
          <w:rStyle w:val="FigureChar"/>
          <w:bCs/>
          <w:sz w:val="20"/>
          <w:szCs w:val="20"/>
        </w:rPr>
        <w:fldChar w:fldCharType="end"/>
      </w:r>
      <w:bookmarkEnd w:id="50"/>
      <w:bookmarkEnd w:id="51"/>
      <w:r w:rsidRPr="00BB0102">
        <w:rPr>
          <w:rStyle w:val="FigureChar"/>
          <w:bCs/>
          <w:sz w:val="20"/>
          <w:szCs w:val="20"/>
        </w:rPr>
        <w:t>:</w:t>
      </w:r>
      <w:r w:rsidRPr="00BB0102">
        <w:t xml:space="preserve"> </w:t>
      </w:r>
      <w:bookmarkEnd w:id="52"/>
      <w:r w:rsidR="00BE13F4">
        <w:t>Cumulative NYCA Nameplate Capacity MW Past the Age When 95% of Similar Units Have Retired</w:t>
      </w:r>
      <w:bookmarkEnd w:id="53"/>
    </w:p>
    <w:p w14:paraId="5C014BCB" w14:textId="672413D9" w:rsidR="00CD73E0" w:rsidRDefault="0055074D" w:rsidP="0055074D">
      <w:pPr>
        <w:pStyle w:val="Figure"/>
        <w:keepNext/>
        <w:jc w:val="center"/>
      </w:pPr>
      <w:r>
        <w:rPr>
          <w:noProof/>
        </w:rPr>
        <w:drawing>
          <wp:inline distT="0" distB="0" distL="0" distR="0" wp14:anchorId="707090E6" wp14:editId="781BDCCA">
            <wp:extent cx="5420579" cy="253746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42879" cy="2547899"/>
                    </a:xfrm>
                    <a:prstGeom prst="rect">
                      <a:avLst/>
                    </a:prstGeom>
                    <a:noFill/>
                  </pic:spPr>
                </pic:pic>
              </a:graphicData>
            </a:graphic>
          </wp:inline>
        </w:drawing>
      </w:r>
    </w:p>
    <w:p w14:paraId="38C59A3D" w14:textId="3D218D68" w:rsidR="002B3F83" w:rsidRDefault="002B3F83" w:rsidP="00571CB8">
      <w:pPr>
        <w:pStyle w:val="caption10"/>
        <w:jc w:val="left"/>
      </w:pPr>
      <w:r>
        <w:t xml:space="preserve">Source: </w:t>
      </w:r>
      <w:hyperlink r:id="rId33" w:history="1">
        <w:r w:rsidR="00237089" w:rsidRPr="00D36002">
          <w:rPr>
            <w:rStyle w:val="Hyperlink"/>
          </w:rPr>
          <w:t>https://www.nyiso.com/documents/20142/2223020/2019-Power-Trends-Report.pdf</w:t>
        </w:r>
      </w:hyperlink>
    </w:p>
    <w:p w14:paraId="2AA0FB94" w14:textId="77777777" w:rsidR="00812867" w:rsidRDefault="00812867" w:rsidP="00571CB8">
      <w:pPr>
        <w:pStyle w:val="BodyText"/>
        <w:jc w:val="left"/>
        <w:rPr>
          <w:b/>
        </w:rPr>
      </w:pPr>
    </w:p>
    <w:p w14:paraId="0FBAFACB" w14:textId="017BD627" w:rsidR="007B7643" w:rsidRPr="00530EFD" w:rsidRDefault="00A9210F" w:rsidP="00571CB8">
      <w:pPr>
        <w:pStyle w:val="BodyText"/>
        <w:jc w:val="left"/>
        <w:rPr>
          <w:b/>
        </w:rPr>
      </w:pPr>
      <w:r>
        <w:rPr>
          <w:b/>
        </w:rPr>
        <w:t>5</w:t>
      </w:r>
      <w:r w:rsidR="007B7643" w:rsidRPr="00530EFD">
        <w:rPr>
          <w:b/>
        </w:rPr>
        <w:t>.</w:t>
      </w:r>
      <w:r w:rsidR="007B7643" w:rsidRPr="00530EFD">
        <w:rPr>
          <w:b/>
        </w:rPr>
        <w:tab/>
        <w:t>Changes to System Load Level</w:t>
      </w:r>
    </w:p>
    <w:p w14:paraId="765F973C" w14:textId="7529E79E" w:rsidR="00487293" w:rsidRPr="00FE108A" w:rsidRDefault="00CF2114" w:rsidP="00487293">
      <w:pPr>
        <w:pStyle w:val="BodyText"/>
        <w:rPr>
          <w:b/>
        </w:rPr>
      </w:pPr>
      <w:r w:rsidRPr="00B724F9">
        <w:t>A higher-than-studied load level could expose the system to potential reliability issues, necessitating interim operating procedures up to and including measures such as load shedding in some localized areas of the state.</w:t>
      </w:r>
      <w:r w:rsidRPr="00734BDB">
        <w:rPr>
          <w:color w:val="FF0000"/>
        </w:rPr>
        <w:t xml:space="preserve">  </w:t>
      </w:r>
      <w:r w:rsidR="007B7643" w:rsidRPr="0018697A">
        <w:t xml:space="preserve">In conducting a </w:t>
      </w:r>
      <w:r w:rsidR="00B724F9">
        <w:t xml:space="preserve">resource adequacy </w:t>
      </w:r>
      <w:r w:rsidR="007B7643" w:rsidRPr="0018697A">
        <w:t xml:space="preserve">scenario </w:t>
      </w:r>
      <w:r>
        <w:t xml:space="preserve">in the 2020 RNA </w:t>
      </w:r>
      <w:r w:rsidR="007B7643" w:rsidRPr="0018697A">
        <w:t xml:space="preserve">with a </w:t>
      </w:r>
      <w:r w:rsidR="0018697A" w:rsidRPr="0018697A">
        <w:t>high</w:t>
      </w:r>
      <w:r w:rsidR="007B7643" w:rsidRPr="0018697A">
        <w:t xml:space="preserve"> load </w:t>
      </w:r>
      <w:r w:rsidR="00D02DE2" w:rsidRPr="0018697A">
        <w:t>forecast</w:t>
      </w:r>
      <w:r w:rsidR="00B724F9">
        <w:t>,</w:t>
      </w:r>
      <w:r w:rsidR="00C66C6D" w:rsidRPr="0018697A">
        <w:t xml:space="preserve"> approximately </w:t>
      </w:r>
      <w:r w:rsidR="0018697A" w:rsidRPr="0018697A">
        <w:t>2</w:t>
      </w:r>
      <w:r w:rsidR="00C66C6D" w:rsidRPr="0018697A">
        <w:t>,</w:t>
      </w:r>
      <w:r w:rsidR="0018697A" w:rsidRPr="0018697A">
        <w:t>400</w:t>
      </w:r>
      <w:r w:rsidR="00C66C6D" w:rsidRPr="0018697A">
        <w:t xml:space="preserve"> </w:t>
      </w:r>
      <w:r w:rsidR="00C66C6D" w:rsidRPr="00487293">
        <w:rPr>
          <w:rStyle w:val="BodyTextChar"/>
        </w:rPr>
        <w:t>MW higher than the</w:t>
      </w:r>
      <w:r w:rsidR="0018697A" w:rsidRPr="00487293">
        <w:rPr>
          <w:rStyle w:val="BodyTextChar"/>
        </w:rPr>
        <w:t xml:space="preserve"> 2020 Gold Book</w:t>
      </w:r>
      <w:r w:rsidR="00C66C6D" w:rsidRPr="00487293">
        <w:rPr>
          <w:rStyle w:val="BodyTextChar"/>
        </w:rPr>
        <w:t xml:space="preserve"> baseline forecast</w:t>
      </w:r>
      <w:r w:rsidR="00E97396" w:rsidRPr="00487293">
        <w:rPr>
          <w:rStyle w:val="BodyTextChar"/>
        </w:rPr>
        <w:t>,</w:t>
      </w:r>
      <w:r w:rsidR="00D02DE2" w:rsidRPr="00487293">
        <w:rPr>
          <w:rStyle w:val="BodyTextChar"/>
        </w:rPr>
        <w:t xml:space="preserve"> </w:t>
      </w:r>
      <w:r w:rsidR="007B7643" w:rsidRPr="00487293">
        <w:rPr>
          <w:rStyle w:val="BodyTextChar"/>
        </w:rPr>
        <w:t xml:space="preserve">the NYISO found that the LOLE would </w:t>
      </w:r>
      <w:r w:rsidR="002A1F69">
        <w:rPr>
          <w:rStyle w:val="BodyTextChar"/>
        </w:rPr>
        <w:t>exceed criteria</w:t>
      </w:r>
      <w:r w:rsidR="007B7643" w:rsidRPr="00487293">
        <w:rPr>
          <w:rStyle w:val="BodyTextChar"/>
        </w:rPr>
        <w:t xml:space="preserve"> </w:t>
      </w:r>
      <w:r w:rsidR="0018697A" w:rsidRPr="00487293">
        <w:rPr>
          <w:rStyle w:val="BodyTextChar"/>
        </w:rPr>
        <w:t>two years earlier.</w:t>
      </w:r>
      <w:r w:rsidR="009B5CAB" w:rsidRPr="00487293">
        <w:rPr>
          <w:rStyle w:val="BodyTextChar"/>
        </w:rPr>
        <w:t xml:space="preserve"> </w:t>
      </w:r>
      <w:r w:rsidR="00487293">
        <w:rPr>
          <w:rStyle w:val="BodyTextChar"/>
        </w:rPr>
        <w:t>However, t</w:t>
      </w:r>
      <w:r w:rsidR="00487293" w:rsidRPr="00487293">
        <w:rPr>
          <w:rStyle w:val="BodyTextChar"/>
        </w:rPr>
        <w:t>he NYISO is forecasting a decrease in energy usage during 2021 through 2030 period</w:t>
      </w:r>
      <w:r w:rsidR="00206737">
        <w:rPr>
          <w:rStyle w:val="BodyTextChar"/>
        </w:rPr>
        <w:t>, which</w:t>
      </w:r>
      <w:r w:rsidR="00487293" w:rsidRPr="00487293">
        <w:rPr>
          <w:rStyle w:val="BodyTextChar"/>
        </w:rPr>
        <w:t xml:space="preserve"> can be attributed in part to the increasing impact of energy efficiency initiatives and increasing amounts of </w:t>
      </w:r>
      <w:r w:rsidR="00487293">
        <w:rPr>
          <w:rStyle w:val="BodyTextChar"/>
        </w:rPr>
        <w:t>behind the meter solar generation</w:t>
      </w:r>
      <w:r w:rsidR="003C4D41">
        <w:rPr>
          <w:rStyle w:val="BodyTextChar"/>
        </w:rPr>
        <w:t>. Conversely, s</w:t>
      </w:r>
      <w:r w:rsidR="00487293" w:rsidRPr="00487293">
        <w:rPr>
          <w:rStyle w:val="BodyTextChar"/>
        </w:rPr>
        <w:t xml:space="preserve">ignificant load-increasing impacts </w:t>
      </w:r>
      <w:r w:rsidR="003C4D41">
        <w:rPr>
          <w:rStyle w:val="BodyTextChar"/>
        </w:rPr>
        <w:t>are forecasted</w:t>
      </w:r>
      <w:r w:rsidR="00487293" w:rsidRPr="00487293">
        <w:rPr>
          <w:rStyle w:val="BodyTextChar"/>
        </w:rPr>
        <w:t xml:space="preserve"> due to electric vehicle usage and other electrification (</w:t>
      </w:r>
      <w:r w:rsidR="00487293" w:rsidRPr="00885A35">
        <w:rPr>
          <w:rStyle w:val="BodyTextChar"/>
          <w:i/>
        </w:rPr>
        <w:t>i.e.,</w:t>
      </w:r>
      <w:r w:rsidR="00487293" w:rsidRPr="00487293">
        <w:rPr>
          <w:rStyle w:val="BodyTextChar"/>
        </w:rPr>
        <w:t xml:space="preserve"> conversion of home heating, cooking, water heating and other end-uses from fossil-fuel based systems to electric systems). </w:t>
      </w:r>
      <w:r w:rsidR="002E0A80">
        <w:rPr>
          <w:rStyle w:val="BodyTextChar"/>
        </w:rPr>
        <w:t xml:space="preserve"> </w:t>
      </w:r>
      <w:r w:rsidR="00487293" w:rsidRPr="00487293">
        <w:rPr>
          <w:rStyle w:val="BodyTextChar"/>
        </w:rPr>
        <w:t xml:space="preserve">The relative </w:t>
      </w:r>
      <w:r w:rsidR="00487293">
        <w:rPr>
          <w:rStyle w:val="BodyTextChar"/>
        </w:rPr>
        <w:t>behind</w:t>
      </w:r>
      <w:r w:rsidR="00206737">
        <w:rPr>
          <w:rStyle w:val="BodyTextChar"/>
        </w:rPr>
        <w:t>-</w:t>
      </w:r>
      <w:r w:rsidR="00487293">
        <w:rPr>
          <w:rStyle w:val="BodyTextChar"/>
        </w:rPr>
        <w:t>the</w:t>
      </w:r>
      <w:r w:rsidR="00206737">
        <w:rPr>
          <w:rStyle w:val="BodyTextChar"/>
        </w:rPr>
        <w:t>–</w:t>
      </w:r>
      <w:r w:rsidR="00487293">
        <w:rPr>
          <w:rStyle w:val="BodyTextChar"/>
        </w:rPr>
        <w:t>meter</w:t>
      </w:r>
      <w:r w:rsidR="00206737">
        <w:rPr>
          <w:rStyle w:val="BodyTextChar"/>
        </w:rPr>
        <w:t>-</w:t>
      </w:r>
      <w:r w:rsidR="00487293" w:rsidRPr="00487293">
        <w:rPr>
          <w:rStyle w:val="BodyTextChar"/>
        </w:rPr>
        <w:t xml:space="preserve">solar impact on peak </w:t>
      </w:r>
      <w:r w:rsidR="00206737">
        <w:rPr>
          <w:rStyle w:val="BodyTextChar"/>
        </w:rPr>
        <w:t xml:space="preserve">load </w:t>
      </w:r>
      <w:r w:rsidR="00487293" w:rsidRPr="00487293">
        <w:rPr>
          <w:rStyle w:val="BodyTextChar"/>
        </w:rPr>
        <w:t>declines over time as the N</w:t>
      </w:r>
      <w:r w:rsidR="006861CF">
        <w:rPr>
          <w:rStyle w:val="BodyTextChar"/>
        </w:rPr>
        <w:t xml:space="preserve">ew </w:t>
      </w:r>
      <w:r w:rsidR="00487293" w:rsidRPr="00487293">
        <w:rPr>
          <w:rStyle w:val="BodyTextChar"/>
        </w:rPr>
        <w:t>Y</w:t>
      </w:r>
      <w:r w:rsidR="006861CF">
        <w:rPr>
          <w:rStyle w:val="BodyTextChar"/>
        </w:rPr>
        <w:t>ork</w:t>
      </w:r>
      <w:r w:rsidR="00487293" w:rsidRPr="00487293">
        <w:rPr>
          <w:rStyle w:val="BodyTextChar"/>
        </w:rPr>
        <w:t xml:space="preserve"> summer peak is expected to shift further into the evening</w:t>
      </w:r>
      <w:r w:rsidR="00206737">
        <w:rPr>
          <w:rStyle w:val="BodyTextChar"/>
        </w:rPr>
        <w:t>, when solar resources are unavailable</w:t>
      </w:r>
      <w:r w:rsidR="00487293" w:rsidRPr="00487293">
        <w:rPr>
          <w:rStyle w:val="BodyTextChar"/>
        </w:rPr>
        <w:t xml:space="preserve">.  New York is projected to become </w:t>
      </w:r>
      <w:r w:rsidR="00206737">
        <w:rPr>
          <w:rStyle w:val="BodyTextChar"/>
        </w:rPr>
        <w:t xml:space="preserve">a </w:t>
      </w:r>
      <w:r w:rsidR="00487293" w:rsidRPr="00487293">
        <w:rPr>
          <w:rStyle w:val="BodyTextChar"/>
        </w:rPr>
        <w:t xml:space="preserve">winter peaking </w:t>
      </w:r>
      <w:r w:rsidR="00206737">
        <w:rPr>
          <w:rStyle w:val="BodyTextChar"/>
        </w:rPr>
        <w:t xml:space="preserve">system </w:t>
      </w:r>
      <w:r w:rsidR="00487293" w:rsidRPr="00487293">
        <w:rPr>
          <w:rStyle w:val="BodyTextChar"/>
        </w:rPr>
        <w:t xml:space="preserve">in future decades due to electrification, primarily via heat pumps and electric vehicles.  </w:t>
      </w:r>
    </w:p>
    <w:p w14:paraId="4A668D21" w14:textId="5B3ED5D4" w:rsidR="00C97674" w:rsidRPr="00487293" w:rsidRDefault="00AD3071" w:rsidP="00571CB8">
      <w:pPr>
        <w:pStyle w:val="BodyText"/>
        <w:jc w:val="left"/>
      </w:pPr>
      <w:r w:rsidRPr="00487293">
        <w:t>I</w:t>
      </w:r>
      <w:r w:rsidR="00C97674" w:rsidRPr="00487293">
        <w:t xml:space="preserve">n the past decade, </w:t>
      </w:r>
      <w:r w:rsidR="00C66C6D" w:rsidRPr="00487293">
        <w:t xml:space="preserve">energy </w:t>
      </w:r>
      <w:r w:rsidR="00C97674" w:rsidRPr="00487293">
        <w:t xml:space="preserve">provided by the </w:t>
      </w:r>
      <w:r w:rsidR="00C66C6D" w:rsidRPr="00487293">
        <w:t xml:space="preserve">bulk </w:t>
      </w:r>
      <w:r w:rsidR="00C97674" w:rsidRPr="00487293">
        <w:t xml:space="preserve">grid has decreased, while energy production from </w:t>
      </w:r>
      <w:r w:rsidR="00C432DE">
        <w:t>distributed energy resources (</w:t>
      </w:r>
      <w:r w:rsidR="00070F80" w:rsidRPr="00487293">
        <w:t>DERs</w:t>
      </w:r>
      <w:r w:rsidR="00C432DE">
        <w:t>)</w:t>
      </w:r>
      <w:r w:rsidR="00C97674" w:rsidRPr="00487293">
        <w:t>, suc</w:t>
      </w:r>
      <w:r w:rsidR="00B60F49" w:rsidRPr="00487293">
        <w:t xml:space="preserve">h as solar, has increased. </w:t>
      </w:r>
      <w:r w:rsidR="00BA7545" w:rsidRPr="00487293">
        <w:t xml:space="preserve"> </w:t>
      </w:r>
      <w:r w:rsidR="00B60F49" w:rsidRPr="00487293">
        <w:t xml:space="preserve">These </w:t>
      </w:r>
      <w:r w:rsidR="00C97674" w:rsidRPr="00487293">
        <w:t xml:space="preserve">DERs are beginning to displace energy that was traditionally supplied by </w:t>
      </w:r>
      <w:r w:rsidR="0036356B" w:rsidRPr="00487293">
        <w:t xml:space="preserve">conventional generation through </w:t>
      </w:r>
      <w:r w:rsidR="00C97674" w:rsidRPr="00487293">
        <w:t xml:space="preserve">the </w:t>
      </w:r>
      <w:r w:rsidR="0036356B" w:rsidRPr="00487293">
        <w:t xml:space="preserve">regional electricity </w:t>
      </w:r>
      <w:r w:rsidR="00C97674" w:rsidRPr="00487293">
        <w:t>grid</w:t>
      </w:r>
      <w:r w:rsidR="00C432DE">
        <w:t>.  T</w:t>
      </w:r>
      <w:r w:rsidR="00C97674" w:rsidRPr="00487293">
        <w:t>he energy provided by many DERs is not continuous, but intermittent</w:t>
      </w:r>
      <w:r w:rsidR="0036356B" w:rsidRPr="00487293">
        <w:t>, and less visible to the NYISO markets and operations</w:t>
      </w:r>
      <w:r w:rsidR="00C97674" w:rsidRPr="00487293">
        <w:t>.</w:t>
      </w:r>
      <w:r w:rsidR="00B60F49" w:rsidRPr="00487293">
        <w:t xml:space="preserve"> </w:t>
      </w:r>
      <w:r w:rsidR="00DD74DE" w:rsidRPr="00487293">
        <w:t xml:space="preserve"> </w:t>
      </w:r>
    </w:p>
    <w:p w14:paraId="5B4108CC" w14:textId="0073ABB2" w:rsidR="008B3D0D" w:rsidRPr="00487293" w:rsidRDefault="008B3D0D" w:rsidP="00571CB8">
      <w:pPr>
        <w:pStyle w:val="BodyText"/>
        <w:jc w:val="left"/>
      </w:pPr>
      <w:r w:rsidRPr="00487293">
        <w:lastRenderedPageBreak/>
        <w:t xml:space="preserve">The NYISO will continue to report on energy usage and peak demand trends in its annual Load and Capacity Data Report (“Gold Book”). </w:t>
      </w:r>
      <w:r w:rsidR="00BA7545" w:rsidRPr="00487293">
        <w:t xml:space="preserve"> </w:t>
      </w:r>
    </w:p>
    <w:p w14:paraId="68FB63D5" w14:textId="63A79082" w:rsidR="007B7643" w:rsidRPr="00530EFD" w:rsidRDefault="00A9210F" w:rsidP="00571CB8">
      <w:pPr>
        <w:pStyle w:val="BodyText"/>
        <w:jc w:val="left"/>
        <w:rPr>
          <w:b/>
        </w:rPr>
      </w:pPr>
      <w:r>
        <w:rPr>
          <w:b/>
        </w:rPr>
        <w:t>6</w:t>
      </w:r>
      <w:r w:rsidR="007B7643" w:rsidRPr="00530EFD">
        <w:rPr>
          <w:b/>
        </w:rPr>
        <w:t>.</w:t>
      </w:r>
      <w:r w:rsidR="007B7643" w:rsidRPr="00530EFD">
        <w:rPr>
          <w:b/>
        </w:rPr>
        <w:tab/>
      </w:r>
      <w:r w:rsidR="003C3F11">
        <w:rPr>
          <w:b/>
        </w:rPr>
        <w:t xml:space="preserve">Extreme Weather </w:t>
      </w:r>
    </w:p>
    <w:p w14:paraId="240BD3E0" w14:textId="09536AAF" w:rsidR="003C3F11" w:rsidRPr="003C3F11" w:rsidRDefault="003C3F11" w:rsidP="0053138D">
      <w:pPr>
        <w:pStyle w:val="BodyText"/>
        <w:jc w:val="left"/>
      </w:pPr>
      <w:r w:rsidRPr="003C3F11">
        <w:t>The dangers of severe weather impacting the grid have been exemplified around the country in the past year, with Texas experiencing a brutal polar vortex in February and California facing problems from extreme heat last summer. In New York, the frigid</w:t>
      </w:r>
      <w:r>
        <w:rPr>
          <w:rStyle w:val="FootnoteReference"/>
        </w:rPr>
        <w:footnoteReference w:id="15"/>
      </w:r>
      <w:r w:rsidRPr="003C3F11">
        <w:t xml:space="preserve"> winter of 2013-14 offered a number of lessons that continue to serve energy reliability today.</w:t>
      </w:r>
      <w:r>
        <w:t xml:space="preserve"> </w:t>
      </w:r>
      <w:r w:rsidRPr="003C3F11">
        <w:t xml:space="preserve">In the end, New York suffered no electric customer outages from the polar vortex of 2014. In fact, it strengthened our reliability by </w:t>
      </w:r>
      <w:r w:rsidR="00AC58D0">
        <w:t xml:space="preserve">enabling us to </w:t>
      </w:r>
      <w:r w:rsidRPr="003C3F11">
        <w:t>prepar</w:t>
      </w:r>
      <w:r w:rsidR="00AC58D0">
        <w:t>e the NYISO</w:t>
      </w:r>
      <w:r w:rsidRPr="003C3F11">
        <w:t xml:space="preserve"> for the next cold wave. Since then, a number of resilience measures</w:t>
      </w:r>
      <w:r w:rsidR="007C4420">
        <w:t xml:space="preserve"> were instituted</w:t>
      </w:r>
      <w:r w:rsidRPr="003C3F11">
        <w:t>, including:</w:t>
      </w:r>
    </w:p>
    <w:p w14:paraId="74CBF67D" w14:textId="603078F0" w:rsidR="003C3F11" w:rsidRPr="003C3F11" w:rsidRDefault="003C3F11" w:rsidP="001D251C">
      <w:pPr>
        <w:pStyle w:val="Bulletstyle"/>
        <w:numPr>
          <w:ilvl w:val="0"/>
          <w:numId w:val="15"/>
        </w:numPr>
      </w:pPr>
      <w:r w:rsidRPr="003C3F11">
        <w:rPr>
          <w:b/>
        </w:rPr>
        <w:t>Improved</w:t>
      </w:r>
      <w:r w:rsidRPr="003C3F11">
        <w:t xml:space="preserve"> operator awareness of fuel inventories and replacement fuel schedules, including a web-based application for </w:t>
      </w:r>
      <w:proofErr w:type="gramStart"/>
      <w:r w:rsidRPr="003C3F11">
        <w:t>generators</w:t>
      </w:r>
      <w:r w:rsidR="00206737">
        <w:t>;</w:t>
      </w:r>
      <w:proofErr w:type="gramEnd"/>
      <w:r w:rsidRPr="003C3F11">
        <w:t xml:space="preserve"> </w:t>
      </w:r>
    </w:p>
    <w:p w14:paraId="4FBC0981" w14:textId="3E9C8653" w:rsidR="003C3F11" w:rsidRPr="003C3F11" w:rsidRDefault="003C3F11" w:rsidP="001D251C">
      <w:pPr>
        <w:pStyle w:val="Bulletstyle"/>
        <w:numPr>
          <w:ilvl w:val="0"/>
          <w:numId w:val="15"/>
        </w:numPr>
      </w:pPr>
      <w:r w:rsidRPr="003C3F11">
        <w:rPr>
          <w:b/>
        </w:rPr>
        <w:t>Changes</w:t>
      </w:r>
      <w:r w:rsidR="007C4420">
        <w:t xml:space="preserve"> to our tariff </w:t>
      </w:r>
      <w:r w:rsidRPr="003C3F11">
        <w:t xml:space="preserve">to increase the amount of reserve power </w:t>
      </w:r>
      <w:proofErr w:type="gramStart"/>
      <w:r w:rsidRPr="003C3F11">
        <w:t>available</w:t>
      </w:r>
      <w:r w:rsidR="00206737">
        <w:t>;</w:t>
      </w:r>
      <w:proofErr w:type="gramEnd"/>
      <w:r w:rsidRPr="003C3F11">
        <w:t> </w:t>
      </w:r>
    </w:p>
    <w:p w14:paraId="7BC56982" w14:textId="15D9F0A7" w:rsidR="003C3F11" w:rsidRPr="003C3F11" w:rsidRDefault="003C3F11" w:rsidP="001D251C">
      <w:pPr>
        <w:pStyle w:val="Bulletstyle"/>
        <w:numPr>
          <w:ilvl w:val="0"/>
          <w:numId w:val="15"/>
        </w:numPr>
      </w:pPr>
      <w:r w:rsidRPr="003C3F11">
        <w:rPr>
          <w:b/>
        </w:rPr>
        <w:t>Expanded</w:t>
      </w:r>
      <w:r w:rsidRPr="003C3F11">
        <w:t xml:space="preserve"> generator site visits to review preparations for cold </w:t>
      </w:r>
      <w:proofErr w:type="gramStart"/>
      <w:r w:rsidRPr="003C3F11">
        <w:t>conditions</w:t>
      </w:r>
      <w:r w:rsidR="00206737">
        <w:t>;</w:t>
      </w:r>
      <w:proofErr w:type="gramEnd"/>
    </w:p>
    <w:p w14:paraId="5F6DA3A6" w14:textId="64F1E99E" w:rsidR="003C3F11" w:rsidRPr="003C3F11" w:rsidRDefault="003C3F11" w:rsidP="001D251C">
      <w:pPr>
        <w:pStyle w:val="Bulletstyle"/>
        <w:numPr>
          <w:ilvl w:val="0"/>
          <w:numId w:val="15"/>
        </w:numPr>
      </w:pPr>
      <w:r w:rsidRPr="003C3F11">
        <w:rPr>
          <w:b/>
        </w:rPr>
        <w:t>Reduced</w:t>
      </w:r>
      <w:r w:rsidRPr="003C3F11">
        <w:t xml:space="preserve"> the number of generators that can be scheduled offline for maintenance</w:t>
      </w:r>
      <w:r w:rsidR="00206737">
        <w:t>; and</w:t>
      </w:r>
      <w:r w:rsidRPr="003C3F11">
        <w:t> </w:t>
      </w:r>
    </w:p>
    <w:p w14:paraId="0C2C083A" w14:textId="2C79712F" w:rsidR="003C3F11" w:rsidRDefault="003C3F11" w:rsidP="001D251C">
      <w:pPr>
        <w:pStyle w:val="Bulletstyle"/>
        <w:numPr>
          <w:ilvl w:val="0"/>
          <w:numId w:val="15"/>
        </w:numPr>
      </w:pPr>
      <w:r w:rsidRPr="003C3F11">
        <w:rPr>
          <w:b/>
        </w:rPr>
        <w:t>Improved</w:t>
      </w:r>
      <w:r w:rsidRPr="003C3F11">
        <w:t xml:space="preserve"> outreach and coordination with the gas delivery industry, including operator awareness of the natural gas pipeline availability.</w:t>
      </w:r>
    </w:p>
    <w:p w14:paraId="03D90C42" w14:textId="5B34E555" w:rsidR="00AD2B64" w:rsidRPr="00F12899" w:rsidRDefault="00AD2B64" w:rsidP="007F4000">
      <w:pPr>
        <w:pStyle w:val="BodyText"/>
        <w:rPr>
          <w:rStyle w:val="BodyTextChar"/>
        </w:rPr>
      </w:pPr>
      <w:bookmarkStart w:id="54" w:name="_Toc80032263"/>
      <w:r w:rsidRPr="00F12899">
        <w:rPr>
          <w:rStyle w:val="BodyTextChar"/>
        </w:rPr>
        <w:t>In consideration of these risk factors</w:t>
      </w:r>
      <w:r w:rsidR="00D93174">
        <w:rPr>
          <w:rStyle w:val="BodyTextChar"/>
        </w:rPr>
        <w:t xml:space="preserve"> related to load and extreme weather</w:t>
      </w:r>
      <w:r w:rsidRPr="00F12899">
        <w:rPr>
          <w:rStyle w:val="BodyTextChar"/>
        </w:rPr>
        <w:t>, it is feasible to “tip” the system into a violation of transmission security criterion.  Figure XX shows the transmission security margin in Zone J considering peak, 90/10 and 1-in-100 load forecasts as well as the impact of forced generation outages (including SCRs).  As seen in Figure XX most of these conditions are tipped</w:t>
      </w:r>
      <w:r>
        <w:rPr>
          <w:rStyle w:val="BodyTextChar"/>
        </w:rPr>
        <w:t>.  Similarly, these risk factors may also cause the system to tip as shown in Figure XX.</w:t>
      </w:r>
    </w:p>
    <w:p w14:paraId="38B7F7CD" w14:textId="2F41398E" w:rsidR="00AD2B64" w:rsidRDefault="00D93174" w:rsidP="007F4000">
      <w:pPr>
        <w:pStyle w:val="Bulletstyle"/>
        <w:ind w:left="792"/>
      </w:pPr>
      <w:r w:rsidDel="00222F25">
        <w:rPr>
          <w:noProof/>
        </w:rPr>
        <w:lastRenderedPageBreak/>
        <w:drawing>
          <wp:inline distT="0" distB="0" distL="0" distR="0" wp14:anchorId="76455697" wp14:editId="7449C08B">
            <wp:extent cx="5506720" cy="2485273"/>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20177" cy="2491346"/>
                    </a:xfrm>
                    <a:prstGeom prst="rect">
                      <a:avLst/>
                    </a:prstGeom>
                    <a:noFill/>
                  </pic:spPr>
                </pic:pic>
              </a:graphicData>
            </a:graphic>
          </wp:inline>
        </w:drawing>
      </w:r>
    </w:p>
    <w:p w14:paraId="107F549D" w14:textId="3AA50AD3" w:rsidR="00E9469D" w:rsidRDefault="00D93174" w:rsidP="007F4000">
      <w:pPr>
        <w:pStyle w:val="Bulletstyle"/>
        <w:ind w:left="792"/>
      </w:pPr>
      <w:r>
        <w:rPr>
          <w:noProof/>
        </w:rPr>
        <w:drawing>
          <wp:inline distT="0" distB="0" distL="0" distR="0" wp14:anchorId="02DDCFF7" wp14:editId="60E42C4E">
            <wp:extent cx="5507182" cy="2485481"/>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13907" cy="2488516"/>
                    </a:xfrm>
                    <a:prstGeom prst="rect">
                      <a:avLst/>
                    </a:prstGeom>
                    <a:noFill/>
                  </pic:spPr>
                </pic:pic>
              </a:graphicData>
            </a:graphic>
          </wp:inline>
        </w:drawing>
      </w:r>
    </w:p>
    <w:p w14:paraId="689D244E" w14:textId="77777777" w:rsidR="00E9469D" w:rsidRDefault="00E9469D">
      <w:pPr>
        <w:rPr>
          <w:rFonts w:ascii="Cambria" w:eastAsia="Arial Narrow" w:hAnsi="Cambria"/>
          <w:bCs/>
          <w:sz w:val="22"/>
          <w:lang w:bidi="ar-SA"/>
        </w:rPr>
      </w:pPr>
      <w:r>
        <w:br w:type="page"/>
      </w:r>
    </w:p>
    <w:p w14:paraId="0DA5BE4A" w14:textId="34BCCE37" w:rsidR="000B5499" w:rsidRDefault="00517586" w:rsidP="00517586">
      <w:pPr>
        <w:pStyle w:val="Heading1"/>
      </w:pPr>
      <w:bookmarkStart w:id="55" w:name="_Toc80191653"/>
      <w:bookmarkStart w:id="56" w:name="_Toc81138688"/>
      <w:r>
        <w:lastRenderedPageBreak/>
        <w:t>Safeguards to the C</w:t>
      </w:r>
      <w:r w:rsidR="000B5499">
        <w:t>omprehensive Reliability Plan</w:t>
      </w:r>
      <w:bookmarkEnd w:id="54"/>
      <w:bookmarkEnd w:id="55"/>
      <w:bookmarkEnd w:id="56"/>
    </w:p>
    <w:p w14:paraId="3D8387B2" w14:textId="6BE3D609" w:rsidR="007C4420" w:rsidRDefault="00206737" w:rsidP="007C4420">
      <w:pPr>
        <w:pStyle w:val="BodyText"/>
        <w:jc w:val="left"/>
        <w:rPr>
          <w:rFonts w:ascii="Times New Roman" w:hAnsi="Times New Roman"/>
          <w:szCs w:val="24"/>
        </w:rPr>
      </w:pPr>
      <w:r>
        <w:t>T</w:t>
      </w:r>
      <w:r w:rsidR="007C4420">
        <w:t xml:space="preserve">he work </w:t>
      </w:r>
      <w:r w:rsidR="006B2634">
        <w:t>of</w:t>
      </w:r>
      <w:r w:rsidR="007C4420">
        <w:t xml:space="preserve"> the </w:t>
      </w:r>
      <w:r w:rsidR="0009151D">
        <w:t>NYISO</w:t>
      </w:r>
      <w:r w:rsidR="007C4420">
        <w:t xml:space="preserve"> is distinct from the role </w:t>
      </w:r>
      <w:r w:rsidR="00AC58D0">
        <w:t xml:space="preserve">that </w:t>
      </w:r>
      <w:r w:rsidR="007C4420">
        <w:t>the Texas and California grid operators play</w:t>
      </w:r>
      <w:r>
        <w:t xml:space="preserve"> in their regions</w:t>
      </w:r>
      <w:r w:rsidR="007C4420">
        <w:t xml:space="preserve">. </w:t>
      </w:r>
      <w:r w:rsidR="002E0A80">
        <w:t xml:space="preserve"> </w:t>
      </w:r>
      <w:r w:rsidR="007C4420">
        <w:t xml:space="preserve">Primary among those differences are the NYISO’s capacity markets and planning functions. </w:t>
      </w:r>
      <w:r w:rsidR="006B2634">
        <w:t>For instance:</w:t>
      </w:r>
    </w:p>
    <w:p w14:paraId="79F98BA8" w14:textId="71A5A5A1" w:rsidR="007C4420" w:rsidRPr="00885A35" w:rsidRDefault="007C4420" w:rsidP="001D251C">
      <w:pPr>
        <w:pStyle w:val="BodyText"/>
        <w:numPr>
          <w:ilvl w:val="0"/>
          <w:numId w:val="16"/>
        </w:numPr>
        <w:rPr>
          <w:b/>
        </w:rPr>
      </w:pPr>
      <w:r w:rsidRPr="00885A35">
        <w:rPr>
          <w:b/>
        </w:rPr>
        <w:t>New York has an Installed Capacity Market</w:t>
      </w:r>
    </w:p>
    <w:p w14:paraId="756FAC01" w14:textId="77777777" w:rsidR="007C4420" w:rsidRDefault="007C4420" w:rsidP="007C4420">
      <w:pPr>
        <w:pStyle w:val="BodyText"/>
      </w:pPr>
      <w:r>
        <w:t>A main part of the NYISO’s mission is to manage the operation of the grid in New York and administer the wholesale electricity markets by which power and grid reliability services are bought and sold. One important grid reliability service – resource adequacy – is bought and sold through the Installed Capacity (ICAP) market. This is a major difference between the NYISO markets and those of Texas and California.</w:t>
      </w:r>
    </w:p>
    <w:p w14:paraId="5826ABDB" w14:textId="737D99F4" w:rsidR="007C4420" w:rsidRDefault="007C4420" w:rsidP="007C4420">
      <w:pPr>
        <w:pStyle w:val="BodyText"/>
      </w:pPr>
      <w:r>
        <w:t xml:space="preserve">Resource adequacy promotes reliability by making sure </w:t>
      </w:r>
      <w:r w:rsidR="00206737">
        <w:t xml:space="preserve">that </w:t>
      </w:r>
      <w:r>
        <w:t>enough generating capability is available to meet grid demand at peak times of electricity consumption. The NYISO’s capacity market offers a forum for buying and selling capacity through competitive auctions. Auctions are conducted monthly and for the summer and winter seasons. Consumers benefit from competitive auctions that minimize consumer costs. Investors in new technologies benefit from transparent locational pricing. Existing suppliers benefit from investment signals that reward units for maintaining or upgrading their performance. Our centralized capacity market offers price transparency to spur competition and drive costs down for maintaining resource adequacy. The capacity market also includes specific rules to incent performance and availability of resources when system needs are expected to be greatest as well as stiff penalties for non-performance. Texas and California lack capacity markets.</w:t>
      </w:r>
    </w:p>
    <w:p w14:paraId="5E9BD662" w14:textId="2E5FABA9" w:rsidR="007C4420" w:rsidRDefault="007C4420" w:rsidP="007C4420">
      <w:pPr>
        <w:pStyle w:val="BodyText"/>
      </w:pPr>
      <w:r>
        <w:t>In addition, the NYISO’s planning processes include generator deactivation studies and periodic assessments of both resource adequacy and transmission system needs to identify risks to reliability</w:t>
      </w:r>
      <w:r w:rsidR="0098731D">
        <w:t>,</w:t>
      </w:r>
      <w:r>
        <w:t xml:space="preserve"> and to </w:t>
      </w:r>
      <w:r w:rsidR="002A1F69">
        <w:t>act</w:t>
      </w:r>
      <w:r>
        <w:t xml:space="preserve"> if necessary.</w:t>
      </w:r>
    </w:p>
    <w:p w14:paraId="1B7C6809" w14:textId="35055F03" w:rsidR="007C4420" w:rsidRPr="00885A35" w:rsidRDefault="007C4420" w:rsidP="001D251C">
      <w:pPr>
        <w:pStyle w:val="BodyText"/>
        <w:numPr>
          <w:ilvl w:val="0"/>
          <w:numId w:val="16"/>
        </w:numPr>
        <w:rPr>
          <w:b/>
        </w:rPr>
      </w:pPr>
      <w:r w:rsidRPr="00885A35">
        <w:rPr>
          <w:b/>
        </w:rPr>
        <w:t xml:space="preserve"> New York has </w:t>
      </w:r>
      <w:r w:rsidR="008000F0">
        <w:rPr>
          <w:b/>
        </w:rPr>
        <w:t>R</w:t>
      </w:r>
      <w:r w:rsidRPr="00885A35">
        <w:rPr>
          <w:b/>
        </w:rPr>
        <w:t xml:space="preserve">egional </w:t>
      </w:r>
      <w:r w:rsidR="008000F0">
        <w:rPr>
          <w:b/>
        </w:rPr>
        <w:t>C</w:t>
      </w:r>
      <w:r w:rsidRPr="00885A35">
        <w:rPr>
          <w:b/>
        </w:rPr>
        <w:t>oordination</w:t>
      </w:r>
    </w:p>
    <w:p w14:paraId="0EAFF378" w14:textId="7BC347D1" w:rsidR="007C4420" w:rsidRDefault="007C4420" w:rsidP="007C4420">
      <w:pPr>
        <w:pStyle w:val="BodyText"/>
      </w:pPr>
      <w:r>
        <w:t xml:space="preserve">California, like the NYISO, imports energy from several neighboring states. Texas, however, generally does not. </w:t>
      </w:r>
      <w:r w:rsidR="002E0A80">
        <w:t xml:space="preserve"> </w:t>
      </w:r>
      <w:r>
        <w:t>In New York, both energy and capacity are imported from and exported to neighboring regions, benefiting reliability in the region and strengthening market competition. Resources importing capacity services into New York must meet strict market rules, just like resources located within the state, to be eligible to serve New York consumers.</w:t>
      </w:r>
    </w:p>
    <w:p w14:paraId="0F1C000A" w14:textId="44FA1D93" w:rsidR="007C4420" w:rsidRPr="00885A35" w:rsidRDefault="007C4420" w:rsidP="001D251C">
      <w:pPr>
        <w:pStyle w:val="BodyText"/>
        <w:numPr>
          <w:ilvl w:val="0"/>
          <w:numId w:val="16"/>
        </w:numPr>
        <w:rPr>
          <w:b/>
        </w:rPr>
      </w:pPr>
      <w:r w:rsidRPr="00885A35">
        <w:rPr>
          <w:b/>
        </w:rPr>
        <w:t xml:space="preserve">New York </w:t>
      </w:r>
      <w:r w:rsidR="003A348C">
        <w:rPr>
          <w:b/>
        </w:rPr>
        <w:t>h</w:t>
      </w:r>
      <w:r w:rsidRPr="00885A35">
        <w:rPr>
          <w:b/>
        </w:rPr>
        <w:t xml:space="preserve">as a </w:t>
      </w:r>
      <w:r w:rsidR="008000F0">
        <w:rPr>
          <w:b/>
        </w:rPr>
        <w:t>D</w:t>
      </w:r>
      <w:r w:rsidRPr="00885A35">
        <w:rPr>
          <w:b/>
        </w:rPr>
        <w:t xml:space="preserve">iverse </w:t>
      </w:r>
      <w:r w:rsidR="008000F0">
        <w:rPr>
          <w:b/>
        </w:rPr>
        <w:t>F</w:t>
      </w:r>
      <w:r w:rsidRPr="00885A35">
        <w:rPr>
          <w:b/>
        </w:rPr>
        <w:t xml:space="preserve">uel </w:t>
      </w:r>
      <w:r w:rsidR="008000F0">
        <w:rPr>
          <w:b/>
        </w:rPr>
        <w:t>M</w:t>
      </w:r>
      <w:r w:rsidRPr="00885A35">
        <w:rPr>
          <w:b/>
        </w:rPr>
        <w:t>ix</w:t>
      </w:r>
    </w:p>
    <w:p w14:paraId="403A3103" w14:textId="77777777" w:rsidR="007C4420" w:rsidRDefault="007C4420" w:rsidP="007C4420">
      <w:pPr>
        <w:pStyle w:val="BodyText"/>
      </w:pPr>
      <w:r>
        <w:t xml:space="preserve">In New York, the electricity that comes out of the wall of your business or home originates from many </w:t>
      </w:r>
      <w:r>
        <w:lastRenderedPageBreak/>
        <w:t>different sources. According to our recent Power Trends report, in 2019 a third of New York’s energy production was from dual-fuel generators that run primarily on natural gas but have the ability to use other fuels as well. Another third came from nuclear energy, and nearly a quarter came from hydropower.</w:t>
      </w:r>
    </w:p>
    <w:p w14:paraId="13770E78" w14:textId="77777777" w:rsidR="007C4420" w:rsidRDefault="007C4420" w:rsidP="007C4420">
      <w:pPr>
        <w:pStyle w:val="BodyText"/>
      </w:pPr>
      <w:r>
        <w:t>In comparison, accounts of the incidents in California point to the state reducing fossil fuel and nuclear generating capability, leaving the state with fewer resources to balance the grid on days when there is reduced wind or clouds obscuring the sun. As CAISO’s report to the governor said, “[I]n transitioning to a reliable, clean and affordable resource mix, resource planning targets have not kept pace to lead to sufficient resources that can be relied upon to meet demand in the early evening hours.”</w:t>
      </w:r>
    </w:p>
    <w:p w14:paraId="5972C4EB" w14:textId="77777777" w:rsidR="007C4420" w:rsidRDefault="007C4420" w:rsidP="007C4420">
      <w:pPr>
        <w:pStyle w:val="BodyText"/>
      </w:pPr>
      <w:r>
        <w:t xml:space="preserve">The NYISO followed closely the events in the south-central states related to cold </w:t>
      </w:r>
      <w:proofErr w:type="gramStart"/>
      <w:r>
        <w:t>weather related</w:t>
      </w:r>
      <w:proofErr w:type="gramEnd"/>
      <w:r>
        <w:t xml:space="preserve"> outages. On February 17, 2021, the Federal Energy Regulatory Commission (FERC) and the Northeast Electric Reliability Council (NERC) announced that they will open a joint inquiry into the operations of the bulk power system during the extreme winter weather conditions that were experienced by the </w:t>
      </w:r>
      <w:proofErr w:type="spellStart"/>
      <w:r>
        <w:t>midwest</w:t>
      </w:r>
      <w:proofErr w:type="spellEnd"/>
      <w:r>
        <w:t xml:space="preserve"> and south-central states. FERC and NERC indicated that they </w:t>
      </w:r>
      <w:proofErr w:type="gramStart"/>
      <w:r>
        <w:t>will</w:t>
      </w:r>
      <w:proofErr w:type="gramEnd"/>
      <w:r>
        <w:t xml:space="preserve"> work with other federal agencies, states, and utilities to review the performance of the bulk power system and determine what further investigation is appropriate.  </w:t>
      </w:r>
    </w:p>
    <w:p w14:paraId="22F95579" w14:textId="2E3F4609" w:rsidR="007C4420" w:rsidRDefault="007C4420" w:rsidP="007C4420">
      <w:pPr>
        <w:pStyle w:val="BodyText"/>
      </w:pPr>
      <w:r>
        <w:t>For the past decade</w:t>
      </w:r>
      <w:r w:rsidR="00D13395">
        <w:t>,</w:t>
      </w:r>
      <w:r>
        <w:t xml:space="preserve"> wind and solar energy resources have played an increasingly important role in New York and </w:t>
      </w:r>
      <w:r w:rsidR="00D13395">
        <w:t xml:space="preserve">their </w:t>
      </w:r>
      <w:r>
        <w:t>participation is expected to grow as the NYISO market rules evolve to address these new technologies.</w:t>
      </w:r>
      <w:r w:rsidR="002E0A80">
        <w:t xml:space="preserve"> </w:t>
      </w:r>
      <w:r>
        <w:t xml:space="preserve"> We have developed forecasting tools that accurately predict the levels of production from these resources, maximizing their reliability, economic, and environmental benefits. Studies such as the Reliability Needs Assessment, the “</w:t>
      </w:r>
      <w:r w:rsidR="00EE3B6E">
        <w:t>70 x 30</w:t>
      </w:r>
      <w:r>
        <w:t xml:space="preserve"> Scenario” in our Congestion Assessment and Resource Integration Study (CARIS), and our Climate Change Study show that wind and solar growth would require a diverse portfolio of resources to keep the grid in balance when nature does not cooperate.</w:t>
      </w:r>
    </w:p>
    <w:p w14:paraId="5250BE39" w14:textId="49B6DC7F" w:rsidR="007C4420" w:rsidRPr="00885A35" w:rsidRDefault="007C4420" w:rsidP="001D251C">
      <w:pPr>
        <w:pStyle w:val="BodyText"/>
        <w:numPr>
          <w:ilvl w:val="0"/>
          <w:numId w:val="16"/>
        </w:numPr>
        <w:rPr>
          <w:b/>
        </w:rPr>
      </w:pPr>
      <w:r w:rsidRPr="00885A35">
        <w:rPr>
          <w:b/>
        </w:rPr>
        <w:t xml:space="preserve">Clear </w:t>
      </w:r>
      <w:r w:rsidR="008000F0">
        <w:rPr>
          <w:b/>
        </w:rPr>
        <w:t>A</w:t>
      </w:r>
      <w:r w:rsidRPr="00885A35">
        <w:rPr>
          <w:b/>
        </w:rPr>
        <w:t xml:space="preserve">ccountability for </w:t>
      </w:r>
      <w:r w:rsidR="008000F0">
        <w:rPr>
          <w:b/>
        </w:rPr>
        <w:t>N</w:t>
      </w:r>
      <w:r w:rsidRPr="00885A35">
        <w:rPr>
          <w:b/>
        </w:rPr>
        <w:t>on-</w:t>
      </w:r>
      <w:r w:rsidR="008000F0">
        <w:rPr>
          <w:b/>
        </w:rPr>
        <w:t>P</w:t>
      </w:r>
      <w:r w:rsidRPr="00885A35">
        <w:rPr>
          <w:b/>
        </w:rPr>
        <w:t xml:space="preserve">erformance of </w:t>
      </w:r>
      <w:r w:rsidR="008000F0">
        <w:rPr>
          <w:b/>
        </w:rPr>
        <w:t>S</w:t>
      </w:r>
      <w:r w:rsidRPr="00885A35">
        <w:rPr>
          <w:b/>
        </w:rPr>
        <w:t xml:space="preserve">upply </w:t>
      </w:r>
      <w:r w:rsidR="008000F0">
        <w:rPr>
          <w:b/>
        </w:rPr>
        <w:t>R</w:t>
      </w:r>
      <w:r w:rsidRPr="00885A35">
        <w:rPr>
          <w:b/>
        </w:rPr>
        <w:t>esources</w:t>
      </w:r>
    </w:p>
    <w:p w14:paraId="7E9E848B" w14:textId="77777777" w:rsidR="007C4420" w:rsidRDefault="007C4420" w:rsidP="007C4420">
      <w:pPr>
        <w:pStyle w:val="BodyText"/>
      </w:pPr>
      <w:r>
        <w:t>Our markets in New York help to drive out costlier, and often dirtier energy suppliers through economic competition. The NYISO coordinates with New York State to address reliability needs caused by generator deactivations. We also have a mandatory notice period for units seeking to deactivate to prepare for any potential reliability concerns.</w:t>
      </w:r>
    </w:p>
    <w:p w14:paraId="224FC1A8" w14:textId="623C735F" w:rsidR="007C4420" w:rsidRDefault="007C4420" w:rsidP="007C4420">
      <w:pPr>
        <w:pStyle w:val="BodyText"/>
      </w:pPr>
      <w:r>
        <w:t>Reliability rules require that New York carr</w:t>
      </w:r>
      <w:r w:rsidR="00D13395">
        <w:t>y</w:t>
      </w:r>
      <w:r>
        <w:t xml:space="preserve"> enough capacity to meet peak demand levels, as well as additional resources to provide a margin of reliability safety for certain conditions. </w:t>
      </w:r>
      <w:r w:rsidRPr="002E0A80">
        <w:t>How do we know how much is needed?</w:t>
      </w:r>
      <w:r w:rsidRPr="002E0A80">
        <w:rPr>
          <w:color w:val="FF0000"/>
        </w:rPr>
        <w:t xml:space="preserve"> </w:t>
      </w:r>
      <w:r w:rsidR="002E0A80">
        <w:t xml:space="preserve"> </w:t>
      </w:r>
      <w:r>
        <w:t xml:space="preserve">Grid planners develop models that depict what would happen to the grid if we lost the use of certain energy resources due to weather, fuel constraints, transmission outages, or other system </w:t>
      </w:r>
      <w:r>
        <w:lastRenderedPageBreak/>
        <w:t xml:space="preserve">conditions. </w:t>
      </w:r>
      <w:r w:rsidR="002E0A80">
        <w:t xml:space="preserve"> </w:t>
      </w:r>
      <w:r>
        <w:t>This allows us to be ready for contingencies, including the potential loss of some of our largest supply resources.</w:t>
      </w:r>
    </w:p>
    <w:p w14:paraId="68C518EE" w14:textId="10779127" w:rsidR="007C4420" w:rsidRDefault="007C4420" w:rsidP="007C4420">
      <w:pPr>
        <w:pStyle w:val="BodyText"/>
      </w:pPr>
      <w:r>
        <w:t xml:space="preserve">In California, the role of resource management is shared between the independent system operator and the state. </w:t>
      </w:r>
      <w:r w:rsidR="002E0A80">
        <w:t xml:space="preserve"> </w:t>
      </w:r>
      <w:r>
        <w:t xml:space="preserve">According to media accounts of outages last summer, the CAISO was unaware that certain energy resources were shut down, reducing the options of where to get electricity. </w:t>
      </w:r>
      <w:r w:rsidR="002E0A80">
        <w:t xml:space="preserve"> </w:t>
      </w:r>
      <w:r>
        <w:t>As CAISO noted in its report to the governor, “the existing resource planning processes are not designed to fully address an extreme heat storm like the one experienced in mid-August.”</w:t>
      </w:r>
    </w:p>
    <w:p w14:paraId="6C5A4690" w14:textId="42808BC8" w:rsidR="007C4420" w:rsidRDefault="007C4420" w:rsidP="007C4420">
      <w:pPr>
        <w:pStyle w:val="BodyText"/>
      </w:pPr>
      <w:r>
        <w:t xml:space="preserve">As we continue working on the grid of the future, we operate under the most stringent reliability rules in the nation. </w:t>
      </w:r>
      <w:r w:rsidR="002E0A80">
        <w:t xml:space="preserve"> </w:t>
      </w:r>
      <w:r>
        <w:t>Our long-range reliability planning requires us to examine scenarios such as extreme weather events and unexpected transmission failures to maintain reliability. And our independent structure and shared governance process gives all members of the energy sector a say in decisions affecting our markets.</w:t>
      </w:r>
    </w:p>
    <w:p w14:paraId="5E51F5ED" w14:textId="21EDA666" w:rsidR="007C4420" w:rsidRDefault="007C4420" w:rsidP="007C4420">
      <w:pPr>
        <w:pStyle w:val="BodyText"/>
      </w:pPr>
      <w:r>
        <w:t>As the energy grid changes, we continue doing what we do best to make sure the energy grid in New York State stays reliable.</w:t>
      </w:r>
    </w:p>
    <w:p w14:paraId="49D1FD25" w14:textId="69594070" w:rsidR="003C3F11" w:rsidRPr="007C4420" w:rsidRDefault="007C4420" w:rsidP="0075566C">
      <w:pPr>
        <w:pStyle w:val="BodyText"/>
        <w:numPr>
          <w:ilvl w:val="0"/>
          <w:numId w:val="16"/>
        </w:numPr>
        <w:rPr>
          <w:b/>
        </w:rPr>
      </w:pPr>
      <w:r>
        <w:rPr>
          <w:b/>
        </w:rPr>
        <w:t>6. Natural Gas Coordination</w:t>
      </w:r>
    </w:p>
    <w:p w14:paraId="0F31C789" w14:textId="7242CC81" w:rsidR="007B7643" w:rsidRPr="003C3F11" w:rsidRDefault="00B724F9" w:rsidP="00571CB8">
      <w:pPr>
        <w:pStyle w:val="BodyText"/>
        <w:jc w:val="left"/>
      </w:pPr>
      <w:r w:rsidRPr="003C3F11">
        <w:t>While the environmental rules</w:t>
      </w:r>
      <w:r w:rsidR="00D13395">
        <w:t>,</w:t>
      </w:r>
      <w:r w:rsidRPr="003C3F11">
        <w:t xml:space="preserve"> </w:t>
      </w:r>
      <w:r w:rsidR="003C3F11" w:rsidRPr="003C3F11">
        <w:t xml:space="preserve">such as the DEC Peaker Rule, mainly </w:t>
      </w:r>
      <w:r w:rsidRPr="003C3F11">
        <w:t xml:space="preserve">target </w:t>
      </w:r>
      <w:r w:rsidR="003C3F11" w:rsidRPr="003C3F11">
        <w:t>emissions from the</w:t>
      </w:r>
      <w:r w:rsidR="008000F0">
        <w:t xml:space="preserve"> </w:t>
      </w:r>
      <w:r w:rsidRPr="003C3F11">
        <w:t xml:space="preserve">natural gas </w:t>
      </w:r>
      <w:proofErr w:type="spellStart"/>
      <w:r w:rsidR="008000F0">
        <w:t>peaker</w:t>
      </w:r>
      <w:proofErr w:type="spellEnd"/>
      <w:r w:rsidR="008000F0">
        <w:t xml:space="preserve"> </w:t>
      </w:r>
      <w:r w:rsidRPr="003C3F11">
        <w:t xml:space="preserve">plants, </w:t>
      </w:r>
      <w:r w:rsidR="007B7643" w:rsidRPr="003C3F11">
        <w:t xml:space="preserve">New York’s reliance on natural gas as the primary fuel for electric generation </w:t>
      </w:r>
      <w:r w:rsidR="003C3F11" w:rsidRPr="003C3F11">
        <w:t>continues to justify</w:t>
      </w:r>
      <w:r w:rsidR="007B7643" w:rsidRPr="003C3F11">
        <w:t xml:space="preserve"> vigilance regarding the st</w:t>
      </w:r>
      <w:r w:rsidR="009B5CAB" w:rsidRPr="003C3F11">
        <w:t>atus of the natural gas system.</w:t>
      </w:r>
      <w:r w:rsidR="007B7643" w:rsidRPr="003C3F11">
        <w:t xml:space="preserve"> </w:t>
      </w:r>
      <w:r w:rsidR="00BA7545" w:rsidRPr="003C3F11">
        <w:t xml:space="preserve"> </w:t>
      </w:r>
      <w:r w:rsidR="007B7643" w:rsidRPr="003C3F11">
        <w:t>The NYISO is actively involved in natural gas/electric coordination efforts with New York State and federal regulators, pipeline owners, generator owners, local distribution companies, and neighboring ISOs and Regional Tr</w:t>
      </w:r>
      <w:r w:rsidR="009B5CAB" w:rsidRPr="003C3F11">
        <w:t>ansmis</w:t>
      </w:r>
      <w:r w:rsidR="00184C9C" w:rsidRPr="003C3F11">
        <w:t>sion Operators (RTOs</w:t>
      </w:r>
      <w:r w:rsidR="009B5CAB" w:rsidRPr="003C3F11">
        <w:t xml:space="preserve">). </w:t>
      </w:r>
      <w:r w:rsidR="00BA7545" w:rsidRPr="003C3F11">
        <w:t xml:space="preserve"> </w:t>
      </w:r>
    </w:p>
    <w:p w14:paraId="13591A80" w14:textId="77777777" w:rsidR="003C3F11" w:rsidRDefault="00442970" w:rsidP="00571CB8">
      <w:pPr>
        <w:pStyle w:val="BodyText"/>
        <w:jc w:val="left"/>
      </w:pPr>
      <w:r w:rsidRPr="003C3F11">
        <w:t>T</w:t>
      </w:r>
      <w:r w:rsidR="007B7643" w:rsidRPr="003C3F11">
        <w:t>he NYISO’s efforts with respect to gas supply assurance focus on: (</w:t>
      </w:r>
      <w:proofErr w:type="spellStart"/>
      <w:r w:rsidR="007B7643" w:rsidRPr="003C3F11">
        <w:t>i</w:t>
      </w:r>
      <w:proofErr w:type="spellEnd"/>
      <w:r w:rsidR="007B7643" w:rsidRPr="003C3F11">
        <w:t xml:space="preserve">) improving communication and coordination between the gas and electric sectors; (ii) annual, weekly and, when conditions warrant, </w:t>
      </w:r>
      <w:r w:rsidR="007B7643" w:rsidRPr="003C3F11">
        <w:rPr>
          <w:i/>
        </w:rPr>
        <w:t>ad hoc</w:t>
      </w:r>
      <w:r w:rsidR="007B7643" w:rsidRPr="003C3F11">
        <w:t xml:space="preserve"> generator surveys of </w:t>
      </w:r>
      <w:r w:rsidR="00AF150D" w:rsidRPr="003C3F11">
        <w:t>fuel supplies</w:t>
      </w:r>
      <w:r w:rsidR="007B7643" w:rsidRPr="003C3F11">
        <w:t xml:space="preserve"> to enhance awareness in the control room and provide electric system reliability benefits; and (iii) addressing the electric system reliability impact of the sudden catastrophic loss of gas.</w:t>
      </w:r>
      <w:r w:rsidR="0071518F" w:rsidRPr="003C3F11">
        <w:t xml:space="preserve"> </w:t>
      </w:r>
    </w:p>
    <w:p w14:paraId="551DCA26" w14:textId="5736A0DD" w:rsidR="00C065A7" w:rsidRDefault="00C065A7" w:rsidP="00C065A7">
      <w:pPr>
        <w:pStyle w:val="caption10"/>
      </w:pPr>
      <w:bookmarkStart w:id="57" w:name="_Ref532561665"/>
      <w:bookmarkStart w:id="58" w:name="_Ref532561671"/>
      <w:bookmarkStart w:id="59" w:name="_Toc4757593"/>
      <w:r>
        <w:br w:type="page"/>
      </w:r>
    </w:p>
    <w:p w14:paraId="1F5F64D9" w14:textId="7D9DDD7B" w:rsidR="000826CA" w:rsidRPr="00FC2792" w:rsidRDefault="00510FCE" w:rsidP="00FC2792">
      <w:pPr>
        <w:pStyle w:val="Heading1"/>
        <w:rPr>
          <w:bCs w:val="0"/>
        </w:rPr>
      </w:pPr>
      <w:bookmarkStart w:id="60" w:name="_Toc80032264"/>
      <w:bookmarkStart w:id="61" w:name="_Toc80191654"/>
      <w:bookmarkStart w:id="62" w:name="_Toc81138689"/>
      <w:r w:rsidRPr="00DE0FCC">
        <w:lastRenderedPageBreak/>
        <w:t xml:space="preserve">Beyond the CRP </w:t>
      </w:r>
      <w:r w:rsidR="005F55B9">
        <w:t>–</w:t>
      </w:r>
      <w:r w:rsidR="000826CA" w:rsidRPr="00DE0FCC">
        <w:t xml:space="preserve"> Road to 2040</w:t>
      </w:r>
      <w:bookmarkEnd w:id="60"/>
      <w:bookmarkEnd w:id="61"/>
      <w:bookmarkEnd w:id="62"/>
    </w:p>
    <w:p w14:paraId="5327086B" w14:textId="082A46BA" w:rsidR="000826CA" w:rsidRPr="00C17957" w:rsidRDefault="000826CA" w:rsidP="00B635FD">
      <w:pPr>
        <w:spacing w:after="0" w:line="360" w:lineRule="auto"/>
        <w:ind w:left="0" w:firstLine="432"/>
        <w:rPr>
          <w:rFonts w:ascii="Cambria" w:eastAsia="Arial Narrow" w:hAnsi="Cambria"/>
          <w:bCs/>
          <w:sz w:val="22"/>
          <w:lang w:bidi="ar-SA"/>
        </w:rPr>
      </w:pPr>
      <w:r w:rsidRPr="00C17957">
        <w:rPr>
          <w:rFonts w:ascii="Cambria" w:eastAsia="Arial Narrow" w:hAnsi="Cambria"/>
          <w:bCs/>
          <w:sz w:val="22"/>
          <w:lang w:bidi="ar-SA"/>
        </w:rPr>
        <w:t>There have been several significant developments that are shaping how the New York electric grid of the future will develop. Part of the changes are climate related</w:t>
      </w:r>
      <w:r w:rsidR="001E22FC">
        <w:rPr>
          <w:rFonts w:ascii="Cambria" w:eastAsia="Arial Narrow" w:hAnsi="Cambria"/>
          <w:bCs/>
          <w:sz w:val="22"/>
          <w:lang w:bidi="ar-SA"/>
        </w:rPr>
        <w:t>,</w:t>
      </w:r>
      <w:r w:rsidRPr="00C17957">
        <w:rPr>
          <w:rFonts w:ascii="Cambria" w:eastAsia="Arial Narrow" w:hAnsi="Cambria"/>
          <w:bCs/>
          <w:sz w:val="22"/>
          <w:lang w:bidi="ar-SA"/>
        </w:rPr>
        <w:t xml:space="preserve"> which will drive temperatures higher and result in higher load. Part of the changes are due to state policies in response to climate change. The Climate Leadership and Community Protection Act (CLCPA), enacted in 2019, requires an economy-wide approach to addressing climate change and decarbonization.</w:t>
      </w:r>
      <w:r w:rsidR="00991888">
        <w:rPr>
          <w:rStyle w:val="FootnoteReference"/>
          <w:rFonts w:ascii="Cambria" w:eastAsia="Arial Narrow" w:hAnsi="Cambria"/>
          <w:bCs/>
          <w:sz w:val="22"/>
          <w:lang w:bidi="ar-SA"/>
        </w:rPr>
        <w:footnoteReference w:id="16"/>
      </w:r>
      <w:r w:rsidRPr="00C17957">
        <w:rPr>
          <w:rFonts w:ascii="Cambria" w:eastAsia="Arial Narrow" w:hAnsi="Cambria"/>
          <w:bCs/>
          <w:sz w:val="22"/>
          <w:lang w:bidi="ar-SA"/>
        </w:rPr>
        <w:t xml:space="preserve"> This includes sweeping mandates to deliver 70% of New York energy from renewable resources by 2030 and 100% emissions-free electricity supply by 2040 while promoting electrification in other sectors of the economy. Understanding the impacts due to these two driving changes on the generation, transmission, and load components of </w:t>
      </w:r>
      <w:r w:rsidR="001E22FC">
        <w:rPr>
          <w:rFonts w:ascii="Cambria" w:eastAsia="Arial Narrow" w:hAnsi="Cambria"/>
          <w:bCs/>
          <w:sz w:val="22"/>
          <w:lang w:bidi="ar-SA"/>
        </w:rPr>
        <w:t xml:space="preserve">the </w:t>
      </w:r>
      <w:r w:rsidRPr="00C17957">
        <w:rPr>
          <w:rFonts w:ascii="Cambria" w:eastAsia="Arial Narrow" w:hAnsi="Cambria"/>
          <w:bCs/>
          <w:sz w:val="22"/>
          <w:lang w:bidi="ar-SA"/>
        </w:rPr>
        <w:t xml:space="preserve">bulk electric system is critical to understanding the challenges in the coming year. </w:t>
      </w:r>
    </w:p>
    <w:p w14:paraId="1B7AE41D" w14:textId="607315F1" w:rsidR="000826CA" w:rsidRDefault="00E84392" w:rsidP="00C17957">
      <w:pPr>
        <w:spacing w:after="0" w:line="360" w:lineRule="auto"/>
        <w:ind w:left="0" w:firstLine="432"/>
        <w:rPr>
          <w:rFonts w:ascii="Calibri" w:eastAsia="Calibri" w:hAnsi="Calibri"/>
          <w:sz w:val="22"/>
          <w:lang w:bidi="ar-SA"/>
        </w:rPr>
      </w:pPr>
      <w:r w:rsidRPr="00E84392">
        <w:rPr>
          <w:rFonts w:ascii="Calibri" w:eastAsia="Calibri" w:hAnsi="Calibri"/>
          <w:noProof/>
          <w:sz w:val="22"/>
          <w:lang w:bidi="ar-SA"/>
        </w:rPr>
        <w:drawing>
          <wp:inline distT="0" distB="0" distL="0" distR="0" wp14:anchorId="3D77B0E5" wp14:editId="33CA0EAB">
            <wp:extent cx="5195270" cy="3839175"/>
            <wp:effectExtent l="0" t="0" r="5715" b="9525"/>
            <wp:docPr id="1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5">
                      <a:extLst>
                        <a:ext uri="{28A0092B-C50C-407E-A947-70E740481C1C}">
                          <a14:useLocalDpi xmlns:a14="http://schemas.microsoft.com/office/drawing/2010/main"/>
                        </a:ext>
                      </a:extLst>
                    </a:blip>
                    <a:stretch>
                      <a:fillRect/>
                    </a:stretch>
                  </pic:blipFill>
                  <pic:spPr>
                    <a:xfrm>
                      <a:off x="0" y="0"/>
                      <a:ext cx="5195270" cy="3839175"/>
                    </a:xfrm>
                    <a:prstGeom prst="rect">
                      <a:avLst/>
                    </a:prstGeom>
                  </pic:spPr>
                </pic:pic>
              </a:graphicData>
            </a:graphic>
          </wp:inline>
        </w:drawing>
      </w:r>
    </w:p>
    <w:p w14:paraId="3A1DA979" w14:textId="77777777" w:rsidR="00E84392" w:rsidRPr="000826CA" w:rsidRDefault="00E84392" w:rsidP="00C17957">
      <w:pPr>
        <w:spacing w:after="0" w:line="360" w:lineRule="auto"/>
        <w:ind w:left="0" w:firstLine="432"/>
        <w:rPr>
          <w:rFonts w:ascii="Calibri" w:eastAsia="Calibri" w:hAnsi="Calibri"/>
          <w:sz w:val="22"/>
          <w:lang w:bidi="ar-SA"/>
        </w:rPr>
      </w:pPr>
    </w:p>
    <w:p w14:paraId="07E9DAC3" w14:textId="7CB77FB1" w:rsidR="003674E2" w:rsidRDefault="003674E2">
      <w:pPr>
        <w:rPr>
          <w:rFonts w:ascii="Franklin Gothic Demi Cond" w:eastAsia="Calibri" w:hAnsi="Franklin Gothic Demi Cond"/>
          <w:bCs/>
          <w:color w:val="005F86"/>
          <w:sz w:val="24"/>
          <w:szCs w:val="26"/>
        </w:rPr>
      </w:pPr>
      <w:bookmarkStart w:id="63" w:name="_Toc80032265"/>
      <w:r>
        <w:rPr>
          <w:rFonts w:eastAsia="Calibri"/>
        </w:rPr>
        <w:br w:type="page"/>
      </w:r>
    </w:p>
    <w:p w14:paraId="548DEDF2" w14:textId="0DFEED7F" w:rsidR="000826CA" w:rsidRPr="00FC2792" w:rsidRDefault="000826CA" w:rsidP="00FC2792">
      <w:pPr>
        <w:pStyle w:val="Heading2"/>
        <w:rPr>
          <w:rFonts w:eastAsia="Calibri"/>
        </w:rPr>
      </w:pPr>
      <w:bookmarkStart w:id="64" w:name="_Toc80191655"/>
      <w:bookmarkStart w:id="65" w:name="_Toc81138690"/>
      <w:r w:rsidRPr="00FC2792">
        <w:rPr>
          <w:rFonts w:eastAsia="Calibri"/>
        </w:rPr>
        <w:lastRenderedPageBreak/>
        <w:t>Load</w:t>
      </w:r>
      <w:bookmarkEnd w:id="63"/>
      <w:bookmarkEnd w:id="64"/>
      <w:bookmarkEnd w:id="65"/>
    </w:p>
    <w:p w14:paraId="444A1272" w14:textId="3A982A24" w:rsidR="00991888" w:rsidRDefault="000826CA" w:rsidP="00B635FD">
      <w:pPr>
        <w:spacing w:after="0" w:line="360" w:lineRule="auto"/>
        <w:ind w:left="0" w:firstLine="432"/>
        <w:rPr>
          <w:rFonts w:ascii="Cambria" w:eastAsia="Arial Narrow" w:hAnsi="Cambria"/>
          <w:bCs/>
          <w:sz w:val="22"/>
          <w:lang w:bidi="ar-SA"/>
        </w:rPr>
      </w:pPr>
      <w:r w:rsidRPr="00C17957">
        <w:rPr>
          <w:rFonts w:ascii="Cambria" w:eastAsia="Arial Narrow" w:hAnsi="Cambria"/>
          <w:bCs/>
          <w:sz w:val="22"/>
          <w:lang w:bidi="ar-SA"/>
        </w:rPr>
        <w:t xml:space="preserve">The NYISO commissioned a study in 2019 known as the </w:t>
      </w:r>
      <w:hyperlink r:id="rId36" w:history="1">
        <w:r w:rsidRPr="00641F71">
          <w:rPr>
            <w:rStyle w:val="Hyperlink"/>
            <w:rFonts w:ascii="Cambria" w:eastAsia="Arial Narrow" w:hAnsi="Cambria"/>
            <w:bCs/>
            <w:sz w:val="22"/>
            <w:lang w:bidi="ar-SA"/>
          </w:rPr>
          <w:t xml:space="preserve">Climate Change Phase I </w:t>
        </w:r>
        <w:r w:rsidR="001E22FC" w:rsidRPr="00641F71">
          <w:rPr>
            <w:rStyle w:val="Hyperlink"/>
            <w:rFonts w:ascii="Cambria" w:eastAsia="Arial Narrow" w:hAnsi="Cambria"/>
            <w:bCs/>
            <w:sz w:val="22"/>
            <w:lang w:bidi="ar-SA"/>
          </w:rPr>
          <w:t>S</w:t>
        </w:r>
        <w:r w:rsidRPr="00641F71">
          <w:rPr>
            <w:rStyle w:val="Hyperlink"/>
            <w:rFonts w:ascii="Cambria" w:eastAsia="Arial Narrow" w:hAnsi="Cambria"/>
            <w:bCs/>
            <w:sz w:val="22"/>
            <w:lang w:bidi="ar-SA"/>
          </w:rPr>
          <w:t>tudy</w:t>
        </w:r>
      </w:hyperlink>
      <w:r w:rsidRPr="00C17957">
        <w:rPr>
          <w:rFonts w:ascii="Cambria" w:eastAsia="Arial Narrow" w:hAnsi="Cambria"/>
          <w:bCs/>
          <w:sz w:val="22"/>
          <w:lang w:bidi="ar-SA"/>
        </w:rPr>
        <w:t xml:space="preserve"> to examine the impacts that climate change will have on temperature and the resultant impact on load. The core finding from the study is that temperatures are rising across New York and will have a significant impact on summer peak demand. Since early 1990</w:t>
      </w:r>
      <w:r w:rsidR="00D13395">
        <w:rPr>
          <w:rFonts w:ascii="Cambria" w:eastAsia="Arial Narrow" w:hAnsi="Cambria"/>
          <w:bCs/>
          <w:sz w:val="22"/>
          <w:lang w:bidi="ar-SA"/>
        </w:rPr>
        <w:t>,</w:t>
      </w:r>
      <w:r w:rsidRPr="00C17957">
        <w:rPr>
          <w:rFonts w:ascii="Cambria" w:eastAsia="Arial Narrow" w:hAnsi="Cambria"/>
          <w:bCs/>
          <w:sz w:val="22"/>
          <w:lang w:bidi="ar-SA"/>
        </w:rPr>
        <w:t xml:space="preserve"> temperatures across the state have been increasing from 0.06 to 0.09 degrees per year or 0.6 to 0.9 degrees per decade. On average, the statewide average temperature is increasing 0.7 degrees per decade. On an annual basis, increasing temperatures have minimal impact on system energy requirements as increasing cooling sales are largely mitigated by decreasing heating related sales. However, the system load profile will change over time with the strongest load growth in the shoulder months (April, May, September, and October). Summer and winter peak demand will also be significantly impacted by climate change. By 2050, increasing temperatures will potentially add between 1,600 MW to 3,800 MW or 10% to 23% of summer-peak cooling requirements. State policy designed to counter the impact of climate change may have an even larger impact on load than increasing temperatures. New state energy efficiency targets largely mitigate the impact of increasing temperatures on summer peak demand through 2045</w:t>
      </w:r>
      <w:r w:rsidR="001E22FC">
        <w:rPr>
          <w:rFonts w:ascii="Cambria" w:eastAsia="Arial Narrow" w:hAnsi="Cambria"/>
          <w:bCs/>
          <w:sz w:val="22"/>
          <w:lang w:bidi="ar-SA"/>
        </w:rPr>
        <w:t>. A</w:t>
      </w:r>
      <w:r w:rsidRPr="00C17957">
        <w:rPr>
          <w:rFonts w:ascii="Cambria" w:eastAsia="Arial Narrow" w:hAnsi="Cambria"/>
          <w:bCs/>
          <w:sz w:val="22"/>
          <w:lang w:bidi="ar-SA"/>
        </w:rPr>
        <w:t>fter that point</w:t>
      </w:r>
      <w:r w:rsidR="001E22FC">
        <w:rPr>
          <w:rFonts w:ascii="Cambria" w:eastAsia="Arial Narrow" w:hAnsi="Cambria"/>
          <w:bCs/>
          <w:sz w:val="22"/>
          <w:lang w:bidi="ar-SA"/>
        </w:rPr>
        <w:t>,</w:t>
      </w:r>
      <w:r w:rsidRPr="00C17957">
        <w:rPr>
          <w:rFonts w:ascii="Cambria" w:eastAsia="Arial Narrow" w:hAnsi="Cambria"/>
          <w:bCs/>
          <w:sz w:val="22"/>
          <w:lang w:bidi="ar-SA"/>
        </w:rPr>
        <w:t xml:space="preserve"> increasing electric vehicle demand and electrification activity eventually push loads above current trends. In the most aggressive scenario, statewide electrification programs result in the system switching from a summer peaking system to a winter peaking system; this </w:t>
      </w:r>
      <w:r w:rsidR="001E22FC">
        <w:rPr>
          <w:rFonts w:ascii="Cambria" w:eastAsia="Arial Narrow" w:hAnsi="Cambria"/>
          <w:bCs/>
          <w:sz w:val="22"/>
          <w:lang w:bidi="ar-SA"/>
        </w:rPr>
        <w:t xml:space="preserve">could </w:t>
      </w:r>
      <w:r w:rsidRPr="00C17957">
        <w:rPr>
          <w:rFonts w:ascii="Cambria" w:eastAsia="Arial Narrow" w:hAnsi="Cambria"/>
          <w:bCs/>
          <w:sz w:val="22"/>
          <w:lang w:bidi="ar-SA"/>
        </w:rPr>
        <w:t xml:space="preserve">occur around 2035. While there is still additional analysis to be done to translate greenhouse gas targets to specific end-use impacts, the amount of electrification needed to achieve state greenhouse gas targets has significant impacts on base loads, heating loads and cooling loads. An aggressive electrification program could add more than 28,000 MW to the system summer peak by 2050, and an even larger amount to winter peaks. </w:t>
      </w:r>
    </w:p>
    <w:p w14:paraId="63EE4CB5" w14:textId="40B39438" w:rsidR="000826CA" w:rsidRPr="00C17957" w:rsidRDefault="000826CA" w:rsidP="00B635FD">
      <w:pPr>
        <w:spacing w:after="0" w:line="360" w:lineRule="auto"/>
        <w:ind w:left="0" w:firstLine="432"/>
        <w:rPr>
          <w:rFonts w:asciiTheme="majorHAnsi" w:eastAsia="Calibri" w:hAnsiTheme="majorHAnsi"/>
          <w:sz w:val="22"/>
          <w:lang w:bidi="ar-SA"/>
        </w:rPr>
      </w:pPr>
      <w:r w:rsidRPr="00C17957">
        <w:rPr>
          <w:rFonts w:ascii="Cambria" w:eastAsia="Arial Narrow" w:hAnsi="Cambria"/>
          <w:bCs/>
          <w:sz w:val="22"/>
          <w:lang w:bidi="ar-SA"/>
        </w:rPr>
        <w:t xml:space="preserve">The CLCPA Scenario in the study builds on the Policy Case. In addition to higher Policy Case efficiency savings, solar capacity and electric vehicle penetration, the CLCPA adds aggressive electrification in </w:t>
      </w:r>
      <w:r w:rsidR="001E22FC">
        <w:rPr>
          <w:rFonts w:ascii="Cambria" w:eastAsia="Arial Narrow" w:hAnsi="Cambria"/>
          <w:bCs/>
          <w:sz w:val="22"/>
          <w:lang w:bidi="ar-SA"/>
        </w:rPr>
        <w:t xml:space="preserve">the </w:t>
      </w:r>
      <w:r w:rsidRPr="00C17957">
        <w:rPr>
          <w:rFonts w:ascii="Cambria" w:eastAsia="Arial Narrow" w:hAnsi="Cambria"/>
          <w:bCs/>
          <w:sz w:val="22"/>
          <w:lang w:bidi="ar-SA"/>
        </w:rPr>
        <w:t xml:space="preserve">residential and commercial sectors. The largest targeted end-use is residential fossil fuel heating; it assumes gas, oil, and </w:t>
      </w:r>
      <w:r w:rsidRPr="00C17957">
        <w:rPr>
          <w:rFonts w:asciiTheme="majorHAnsi" w:eastAsia="Arial Narrow" w:hAnsiTheme="majorHAnsi"/>
          <w:bCs/>
          <w:sz w:val="22"/>
          <w:lang w:bidi="ar-SA"/>
        </w:rPr>
        <w:t>propane heating systems are replaced with cold climate heat pumps with electric resistance backup to meet heating requirements on the coldest days. Other targeted end-uses including water heating, clothes drying, and cooking. By 2040, the</w:t>
      </w:r>
      <w:r w:rsidRPr="00C17957">
        <w:rPr>
          <w:rFonts w:asciiTheme="majorHAnsi" w:eastAsia="Calibri" w:hAnsiTheme="majorHAnsi"/>
          <w:sz w:val="22"/>
          <w:lang w:bidi="ar-SA"/>
        </w:rPr>
        <w:t xml:space="preserve"> </w:t>
      </w:r>
      <w:r w:rsidRPr="00C17957">
        <w:rPr>
          <w:rFonts w:asciiTheme="majorHAnsi" w:eastAsia="Calibri" w:hAnsiTheme="majorHAnsi"/>
          <w:b/>
          <w:sz w:val="22"/>
          <w:lang w:bidi="ar-SA"/>
        </w:rPr>
        <w:t>summer peak could be over 47,000 MW</w:t>
      </w:r>
      <w:r w:rsidRPr="00C17957">
        <w:rPr>
          <w:rFonts w:asciiTheme="majorHAnsi" w:eastAsia="Calibri" w:hAnsiTheme="majorHAnsi"/>
          <w:sz w:val="22"/>
          <w:lang w:bidi="ar-SA"/>
        </w:rPr>
        <w:t xml:space="preserve"> while the </w:t>
      </w:r>
      <w:r w:rsidRPr="00C17957">
        <w:rPr>
          <w:rFonts w:asciiTheme="majorHAnsi" w:eastAsia="Calibri" w:hAnsiTheme="majorHAnsi"/>
          <w:b/>
          <w:sz w:val="22"/>
          <w:lang w:bidi="ar-SA"/>
        </w:rPr>
        <w:t>winter peak could be over 56,000 MW</w:t>
      </w:r>
      <w:r w:rsidRPr="00C17957">
        <w:rPr>
          <w:rFonts w:asciiTheme="majorHAnsi" w:eastAsia="Calibri" w:hAnsiTheme="majorHAnsi"/>
          <w:sz w:val="22"/>
          <w:lang w:bidi="ar-SA"/>
        </w:rPr>
        <w:t xml:space="preserve">.  </w:t>
      </w:r>
    </w:p>
    <w:p w14:paraId="480195E4" w14:textId="77777777" w:rsidR="000826CA" w:rsidRPr="00C17957" w:rsidRDefault="000826CA" w:rsidP="00C17957">
      <w:pPr>
        <w:spacing w:after="0" w:line="360" w:lineRule="auto"/>
        <w:ind w:left="0" w:firstLine="0"/>
        <w:rPr>
          <w:rFonts w:asciiTheme="majorHAnsi" w:eastAsia="Calibri" w:hAnsiTheme="majorHAnsi"/>
          <w:sz w:val="22"/>
          <w:lang w:bidi="ar-SA"/>
        </w:rPr>
      </w:pPr>
    </w:p>
    <w:p w14:paraId="7FE0395F" w14:textId="3F2D21CF" w:rsidR="000826CA" w:rsidRPr="00C17957" w:rsidRDefault="000826CA" w:rsidP="00C17957">
      <w:pPr>
        <w:spacing w:after="0" w:line="360" w:lineRule="auto"/>
        <w:ind w:left="0" w:firstLine="0"/>
        <w:rPr>
          <w:rFonts w:asciiTheme="majorHAnsi" w:eastAsia="Calibri" w:hAnsiTheme="majorHAnsi"/>
          <w:b/>
          <w:i/>
          <w:sz w:val="22"/>
          <w:lang w:bidi="ar-SA"/>
        </w:rPr>
      </w:pPr>
      <w:r w:rsidRPr="00C17957">
        <w:rPr>
          <w:rFonts w:asciiTheme="majorHAnsi" w:eastAsia="Calibri" w:hAnsiTheme="majorHAnsi"/>
          <w:b/>
          <w:i/>
          <w:sz w:val="22"/>
          <w:lang w:bidi="ar-SA"/>
        </w:rPr>
        <w:t>Key takeaways</w:t>
      </w:r>
    </w:p>
    <w:p w14:paraId="5805E0C7" w14:textId="77777777" w:rsidR="000826CA" w:rsidRPr="00C17957" w:rsidRDefault="000826CA" w:rsidP="001D251C">
      <w:pPr>
        <w:numPr>
          <w:ilvl w:val="0"/>
          <w:numId w:val="23"/>
        </w:numPr>
        <w:spacing w:after="0" w:line="360" w:lineRule="auto"/>
        <w:contextualSpacing/>
        <w:rPr>
          <w:rFonts w:asciiTheme="majorHAnsi" w:eastAsia="Calibri" w:hAnsiTheme="majorHAnsi"/>
          <w:i/>
          <w:sz w:val="22"/>
          <w:lang w:bidi="ar-SA"/>
        </w:rPr>
      </w:pPr>
      <w:r w:rsidRPr="00C17957">
        <w:rPr>
          <w:rFonts w:asciiTheme="majorHAnsi" w:eastAsia="Calibri" w:hAnsiTheme="majorHAnsi"/>
          <w:i/>
          <w:sz w:val="22"/>
          <w:lang w:bidi="ar-SA"/>
        </w:rPr>
        <w:t>Climate change will result in a significant increase in summer load</w:t>
      </w:r>
    </w:p>
    <w:p w14:paraId="748D2874" w14:textId="77777777" w:rsidR="000826CA" w:rsidRPr="00C17957" w:rsidRDefault="000826CA" w:rsidP="001D251C">
      <w:pPr>
        <w:numPr>
          <w:ilvl w:val="0"/>
          <w:numId w:val="23"/>
        </w:numPr>
        <w:spacing w:after="0" w:line="360" w:lineRule="auto"/>
        <w:contextualSpacing/>
        <w:rPr>
          <w:rFonts w:asciiTheme="majorHAnsi" w:eastAsia="Calibri" w:hAnsiTheme="majorHAnsi"/>
          <w:i/>
          <w:sz w:val="22"/>
          <w:lang w:bidi="ar-SA"/>
        </w:rPr>
      </w:pPr>
      <w:r w:rsidRPr="00C17957">
        <w:rPr>
          <w:rFonts w:asciiTheme="majorHAnsi" w:eastAsia="Calibri" w:hAnsiTheme="majorHAnsi"/>
          <w:i/>
          <w:sz w:val="22"/>
          <w:lang w:bidi="ar-SA"/>
        </w:rPr>
        <w:t>CLCPA electrification will cause the NYCA to go from summer peaking to winter peaking</w:t>
      </w:r>
    </w:p>
    <w:p w14:paraId="6655D523" w14:textId="77777777" w:rsidR="000826CA" w:rsidRPr="00C17957" w:rsidRDefault="000826CA" w:rsidP="001D251C">
      <w:pPr>
        <w:numPr>
          <w:ilvl w:val="0"/>
          <w:numId w:val="23"/>
        </w:numPr>
        <w:spacing w:after="0" w:line="360" w:lineRule="auto"/>
        <w:contextualSpacing/>
        <w:rPr>
          <w:rFonts w:asciiTheme="majorHAnsi" w:eastAsia="Calibri" w:hAnsiTheme="majorHAnsi"/>
          <w:sz w:val="22"/>
          <w:lang w:bidi="ar-SA"/>
        </w:rPr>
      </w:pPr>
      <w:r w:rsidRPr="00C17957">
        <w:rPr>
          <w:rFonts w:asciiTheme="majorHAnsi" w:eastAsia="Calibri" w:hAnsiTheme="majorHAnsi"/>
          <w:i/>
          <w:sz w:val="22"/>
          <w:lang w:bidi="ar-SA"/>
        </w:rPr>
        <w:lastRenderedPageBreak/>
        <w:t>The winter peak load under the CLCPA will be double compared to the reference case</w:t>
      </w:r>
    </w:p>
    <w:p w14:paraId="451D74E9" w14:textId="77777777" w:rsidR="000826CA" w:rsidRPr="00C17957" w:rsidRDefault="000826CA" w:rsidP="00C17957">
      <w:pPr>
        <w:spacing w:after="0" w:line="360" w:lineRule="auto"/>
        <w:ind w:left="0" w:firstLine="0"/>
        <w:rPr>
          <w:rFonts w:asciiTheme="majorHAnsi" w:eastAsia="Calibri" w:hAnsiTheme="majorHAnsi"/>
          <w:sz w:val="22"/>
          <w:lang w:bidi="ar-SA"/>
        </w:rPr>
      </w:pPr>
    </w:p>
    <w:p w14:paraId="161AE5F0" w14:textId="77777777" w:rsidR="000826CA" w:rsidRPr="00FC2792" w:rsidRDefault="000826CA" w:rsidP="00FC2792">
      <w:pPr>
        <w:pStyle w:val="Heading2"/>
        <w:rPr>
          <w:rFonts w:eastAsia="Calibri"/>
        </w:rPr>
      </w:pPr>
      <w:bookmarkStart w:id="66" w:name="_Toc80032266"/>
      <w:bookmarkStart w:id="67" w:name="_Toc80191656"/>
      <w:bookmarkStart w:id="68" w:name="_Toc81138691"/>
      <w:r w:rsidRPr="00FC2792">
        <w:rPr>
          <w:rFonts w:eastAsia="Calibri"/>
        </w:rPr>
        <w:t>Generation</w:t>
      </w:r>
      <w:bookmarkEnd w:id="66"/>
      <w:bookmarkEnd w:id="67"/>
      <w:bookmarkEnd w:id="68"/>
    </w:p>
    <w:p w14:paraId="20F3F31E" w14:textId="6DE3BBAB" w:rsidR="000826CA" w:rsidRPr="00C17957" w:rsidRDefault="000826CA" w:rsidP="00B635FD">
      <w:pPr>
        <w:spacing w:after="0" w:line="360" w:lineRule="auto"/>
        <w:ind w:left="0" w:firstLine="432"/>
        <w:rPr>
          <w:rFonts w:asciiTheme="majorHAnsi" w:eastAsia="Calibri" w:hAnsiTheme="majorHAnsi"/>
          <w:sz w:val="22"/>
          <w:lang w:bidi="ar-SA"/>
        </w:rPr>
      </w:pPr>
      <w:r w:rsidRPr="00C17957">
        <w:rPr>
          <w:rFonts w:asciiTheme="majorHAnsi" w:eastAsia="Calibri" w:hAnsiTheme="majorHAnsi"/>
          <w:sz w:val="22"/>
          <w:lang w:bidi="ar-SA"/>
        </w:rPr>
        <w:t>The Climate Leadership and Community Protection Act (CLCPA) will have an enormous impact on the generation fleet.  The</w:t>
      </w:r>
      <w:r w:rsidR="00C928E5">
        <w:rPr>
          <w:rFonts w:asciiTheme="majorHAnsi" w:eastAsia="Calibri" w:hAnsiTheme="majorHAnsi"/>
          <w:sz w:val="22"/>
          <w:lang w:bidi="ar-SA"/>
        </w:rPr>
        <w:t xml:space="preserve"> law establishes</w:t>
      </w:r>
      <w:r w:rsidRPr="00C17957">
        <w:rPr>
          <w:rFonts w:asciiTheme="majorHAnsi" w:eastAsia="Calibri" w:hAnsiTheme="majorHAnsi"/>
          <w:sz w:val="22"/>
          <w:lang w:bidi="ar-SA"/>
        </w:rPr>
        <w:t xml:space="preserve"> overall general targets which include: </w:t>
      </w:r>
    </w:p>
    <w:p w14:paraId="49C291F3" w14:textId="77777777" w:rsidR="000826CA" w:rsidRPr="00C17957" w:rsidRDefault="000826CA" w:rsidP="001D251C">
      <w:pPr>
        <w:numPr>
          <w:ilvl w:val="0"/>
          <w:numId w:val="21"/>
        </w:numPr>
        <w:autoSpaceDE w:val="0"/>
        <w:autoSpaceDN w:val="0"/>
        <w:adjustRightInd w:val="0"/>
        <w:spacing w:after="0" w:line="360" w:lineRule="auto"/>
        <w:ind w:firstLine="432"/>
        <w:rPr>
          <w:rFonts w:asciiTheme="majorHAnsi" w:eastAsia="Calibri" w:hAnsiTheme="majorHAnsi"/>
          <w:sz w:val="22"/>
          <w:lang w:bidi="ar-SA"/>
        </w:rPr>
      </w:pPr>
      <w:r w:rsidRPr="00C17957">
        <w:rPr>
          <w:rFonts w:asciiTheme="majorHAnsi" w:eastAsia="Calibri" w:hAnsiTheme="majorHAnsi"/>
          <w:sz w:val="22"/>
          <w:lang w:bidi="ar-SA"/>
        </w:rPr>
        <w:t xml:space="preserve">70% of electricity delivered in New York State must be derived from renewable resources by </w:t>
      </w:r>
      <w:proofErr w:type="gramStart"/>
      <w:r w:rsidRPr="00C17957">
        <w:rPr>
          <w:rFonts w:asciiTheme="majorHAnsi" w:eastAsia="Calibri" w:hAnsiTheme="majorHAnsi"/>
          <w:sz w:val="22"/>
          <w:lang w:bidi="ar-SA"/>
        </w:rPr>
        <w:t>2030;</w:t>
      </w:r>
      <w:proofErr w:type="gramEnd"/>
      <w:r w:rsidRPr="00C17957">
        <w:rPr>
          <w:rFonts w:asciiTheme="majorHAnsi" w:eastAsia="Calibri" w:hAnsiTheme="majorHAnsi"/>
          <w:sz w:val="22"/>
          <w:lang w:bidi="ar-SA"/>
        </w:rPr>
        <w:t xml:space="preserve"> </w:t>
      </w:r>
    </w:p>
    <w:p w14:paraId="4865FF21" w14:textId="77777777" w:rsidR="000826CA" w:rsidRPr="00C17957" w:rsidRDefault="000826CA" w:rsidP="001D251C">
      <w:pPr>
        <w:numPr>
          <w:ilvl w:val="0"/>
          <w:numId w:val="21"/>
        </w:numPr>
        <w:autoSpaceDE w:val="0"/>
        <w:autoSpaceDN w:val="0"/>
        <w:adjustRightInd w:val="0"/>
        <w:spacing w:after="0" w:line="360" w:lineRule="auto"/>
        <w:ind w:firstLine="432"/>
        <w:rPr>
          <w:rFonts w:asciiTheme="majorHAnsi" w:eastAsia="Calibri" w:hAnsiTheme="majorHAnsi"/>
          <w:sz w:val="22"/>
          <w:lang w:bidi="ar-SA"/>
        </w:rPr>
      </w:pPr>
      <w:r w:rsidRPr="00C17957">
        <w:rPr>
          <w:rFonts w:asciiTheme="majorHAnsi" w:eastAsia="Calibri" w:hAnsiTheme="majorHAnsi"/>
          <w:sz w:val="22"/>
          <w:lang w:bidi="ar-SA"/>
        </w:rPr>
        <w:t>100% of the electricity consumed in New York State must be derived from zero-emissions resources by 2040.</w:t>
      </w:r>
    </w:p>
    <w:p w14:paraId="0BF96564" w14:textId="77777777" w:rsidR="000826CA" w:rsidRPr="00C17957" w:rsidRDefault="000826CA" w:rsidP="00B635FD">
      <w:pPr>
        <w:autoSpaceDE w:val="0"/>
        <w:autoSpaceDN w:val="0"/>
        <w:adjustRightInd w:val="0"/>
        <w:spacing w:after="0" w:line="360" w:lineRule="auto"/>
        <w:ind w:left="0" w:firstLine="432"/>
        <w:rPr>
          <w:rFonts w:asciiTheme="majorHAnsi" w:eastAsia="Calibri" w:hAnsiTheme="majorHAnsi"/>
          <w:sz w:val="22"/>
          <w:lang w:bidi="ar-SA"/>
        </w:rPr>
      </w:pPr>
    </w:p>
    <w:p w14:paraId="79B35CFB" w14:textId="5C55BF4D" w:rsidR="000826CA" w:rsidRPr="00C17957" w:rsidRDefault="00C928E5" w:rsidP="00B635FD">
      <w:pPr>
        <w:autoSpaceDE w:val="0"/>
        <w:autoSpaceDN w:val="0"/>
        <w:adjustRightInd w:val="0"/>
        <w:spacing w:after="0" w:line="360" w:lineRule="auto"/>
        <w:ind w:left="0" w:firstLine="432"/>
        <w:rPr>
          <w:rFonts w:asciiTheme="majorHAnsi" w:eastAsia="Calibri" w:hAnsiTheme="majorHAnsi"/>
          <w:sz w:val="22"/>
          <w:lang w:bidi="ar-SA"/>
        </w:rPr>
      </w:pPr>
      <w:r>
        <w:rPr>
          <w:rFonts w:asciiTheme="majorHAnsi" w:eastAsia="Calibri" w:hAnsiTheme="majorHAnsi"/>
          <w:sz w:val="22"/>
          <w:lang w:bidi="ar-SA"/>
        </w:rPr>
        <w:t>In addition,</w:t>
      </w:r>
      <w:r w:rsidRPr="00C17957">
        <w:rPr>
          <w:rFonts w:asciiTheme="majorHAnsi" w:eastAsia="Calibri" w:hAnsiTheme="majorHAnsi"/>
          <w:sz w:val="22"/>
          <w:lang w:bidi="ar-SA"/>
        </w:rPr>
        <w:t xml:space="preserve"> </w:t>
      </w:r>
      <w:r w:rsidR="000826CA" w:rsidRPr="00C17957">
        <w:rPr>
          <w:rFonts w:asciiTheme="majorHAnsi" w:eastAsia="Calibri" w:hAnsiTheme="majorHAnsi"/>
          <w:sz w:val="22"/>
          <w:lang w:bidi="ar-SA"/>
        </w:rPr>
        <w:t>there are specific targets for certain types of generation</w:t>
      </w:r>
      <w:r>
        <w:rPr>
          <w:rFonts w:asciiTheme="majorHAnsi" w:eastAsia="Calibri" w:hAnsiTheme="majorHAnsi"/>
          <w:sz w:val="22"/>
          <w:lang w:bidi="ar-SA"/>
        </w:rPr>
        <w:t>, including</w:t>
      </w:r>
      <w:r w:rsidR="000826CA" w:rsidRPr="00C17957">
        <w:rPr>
          <w:rFonts w:asciiTheme="majorHAnsi" w:eastAsia="Calibri" w:hAnsiTheme="majorHAnsi"/>
          <w:sz w:val="22"/>
          <w:lang w:bidi="ar-SA"/>
        </w:rPr>
        <w:t>:</w:t>
      </w:r>
    </w:p>
    <w:p w14:paraId="7102F71A" w14:textId="77777777" w:rsidR="000826CA" w:rsidRPr="00C17957" w:rsidRDefault="000826CA" w:rsidP="001D251C">
      <w:pPr>
        <w:numPr>
          <w:ilvl w:val="0"/>
          <w:numId w:val="22"/>
        </w:numPr>
        <w:autoSpaceDE w:val="0"/>
        <w:autoSpaceDN w:val="0"/>
        <w:adjustRightInd w:val="0"/>
        <w:spacing w:after="0" w:line="360" w:lineRule="auto"/>
        <w:ind w:firstLine="432"/>
        <w:rPr>
          <w:rFonts w:asciiTheme="majorHAnsi" w:eastAsia="Calibri" w:hAnsiTheme="majorHAnsi"/>
          <w:sz w:val="22"/>
          <w:lang w:bidi="ar-SA"/>
        </w:rPr>
      </w:pPr>
      <w:r w:rsidRPr="00C17957">
        <w:rPr>
          <w:rFonts w:asciiTheme="majorHAnsi" w:eastAsia="Calibri" w:hAnsiTheme="majorHAnsi"/>
          <w:sz w:val="22"/>
          <w:lang w:bidi="ar-SA"/>
        </w:rPr>
        <w:t xml:space="preserve">9,000 MW of offshore wind installed by </w:t>
      </w:r>
      <w:proofErr w:type="gramStart"/>
      <w:r w:rsidRPr="00C17957">
        <w:rPr>
          <w:rFonts w:asciiTheme="majorHAnsi" w:eastAsia="Calibri" w:hAnsiTheme="majorHAnsi"/>
          <w:sz w:val="22"/>
          <w:lang w:bidi="ar-SA"/>
        </w:rPr>
        <w:t>2035;</w:t>
      </w:r>
      <w:proofErr w:type="gramEnd"/>
      <w:r w:rsidRPr="00C17957">
        <w:rPr>
          <w:rFonts w:asciiTheme="majorHAnsi" w:eastAsia="Calibri" w:hAnsiTheme="majorHAnsi"/>
          <w:sz w:val="22"/>
          <w:lang w:bidi="ar-SA"/>
        </w:rPr>
        <w:t xml:space="preserve"> </w:t>
      </w:r>
    </w:p>
    <w:p w14:paraId="19CE8C45" w14:textId="77777777" w:rsidR="000826CA" w:rsidRPr="00C17957" w:rsidRDefault="000826CA" w:rsidP="001D251C">
      <w:pPr>
        <w:numPr>
          <w:ilvl w:val="0"/>
          <w:numId w:val="22"/>
        </w:numPr>
        <w:autoSpaceDE w:val="0"/>
        <w:autoSpaceDN w:val="0"/>
        <w:adjustRightInd w:val="0"/>
        <w:spacing w:after="0" w:line="360" w:lineRule="auto"/>
        <w:ind w:firstLine="432"/>
        <w:rPr>
          <w:rFonts w:asciiTheme="majorHAnsi" w:eastAsia="Calibri" w:hAnsiTheme="majorHAnsi"/>
          <w:sz w:val="22"/>
          <w:lang w:bidi="ar-SA"/>
        </w:rPr>
      </w:pPr>
      <w:r w:rsidRPr="00C17957">
        <w:rPr>
          <w:rFonts w:asciiTheme="majorHAnsi" w:eastAsia="Calibri" w:hAnsiTheme="majorHAnsi"/>
          <w:sz w:val="22"/>
          <w:lang w:bidi="ar-SA"/>
        </w:rPr>
        <w:t xml:space="preserve">6,000 MW of distributed solar energy resources installed by </w:t>
      </w:r>
      <w:proofErr w:type="gramStart"/>
      <w:r w:rsidRPr="00C17957">
        <w:rPr>
          <w:rFonts w:asciiTheme="majorHAnsi" w:eastAsia="Calibri" w:hAnsiTheme="majorHAnsi"/>
          <w:sz w:val="22"/>
          <w:lang w:bidi="ar-SA"/>
        </w:rPr>
        <w:t>2025;</w:t>
      </w:r>
      <w:proofErr w:type="gramEnd"/>
      <w:r w:rsidRPr="00C17957">
        <w:rPr>
          <w:rFonts w:asciiTheme="majorHAnsi" w:eastAsia="Calibri" w:hAnsiTheme="majorHAnsi"/>
          <w:sz w:val="22"/>
          <w:lang w:bidi="ar-SA"/>
        </w:rPr>
        <w:t xml:space="preserve"> and </w:t>
      </w:r>
    </w:p>
    <w:p w14:paraId="23E7F53B" w14:textId="77777777" w:rsidR="000826CA" w:rsidRPr="00C17957" w:rsidRDefault="000826CA" w:rsidP="001D251C">
      <w:pPr>
        <w:numPr>
          <w:ilvl w:val="0"/>
          <w:numId w:val="22"/>
        </w:numPr>
        <w:autoSpaceDE w:val="0"/>
        <w:autoSpaceDN w:val="0"/>
        <w:adjustRightInd w:val="0"/>
        <w:spacing w:after="0" w:line="360" w:lineRule="auto"/>
        <w:ind w:firstLine="432"/>
        <w:rPr>
          <w:rFonts w:asciiTheme="majorHAnsi" w:eastAsia="Calibri" w:hAnsiTheme="majorHAnsi"/>
          <w:sz w:val="22"/>
          <w:lang w:bidi="ar-SA"/>
        </w:rPr>
      </w:pPr>
      <w:r w:rsidRPr="00C17957">
        <w:rPr>
          <w:rFonts w:asciiTheme="majorHAnsi" w:eastAsia="Calibri" w:hAnsiTheme="majorHAnsi"/>
          <w:sz w:val="22"/>
          <w:lang w:bidi="ar-SA"/>
        </w:rPr>
        <w:t xml:space="preserve">3,000 MW of energy storage installed by 2030. </w:t>
      </w:r>
    </w:p>
    <w:p w14:paraId="14B79AD3" w14:textId="77777777" w:rsidR="000826CA" w:rsidRPr="00C17957" w:rsidRDefault="000826CA" w:rsidP="00B635FD">
      <w:pPr>
        <w:spacing w:after="0" w:line="360" w:lineRule="auto"/>
        <w:ind w:left="0" w:firstLine="432"/>
        <w:rPr>
          <w:rFonts w:asciiTheme="majorHAnsi" w:eastAsia="Calibri" w:hAnsiTheme="majorHAnsi"/>
          <w:sz w:val="22"/>
          <w:lang w:bidi="ar-SA"/>
        </w:rPr>
      </w:pPr>
    </w:p>
    <w:p w14:paraId="36D34BDB" w14:textId="77777777" w:rsidR="00CB3391" w:rsidRPr="00C17957" w:rsidRDefault="00CB3391" w:rsidP="00CB3391">
      <w:pPr>
        <w:spacing w:after="0" w:line="360" w:lineRule="auto"/>
        <w:ind w:left="0" w:firstLine="432"/>
        <w:rPr>
          <w:rFonts w:asciiTheme="majorHAnsi" w:eastAsia="Calibri" w:hAnsiTheme="majorHAnsi"/>
          <w:sz w:val="22"/>
          <w:lang w:bidi="ar-SA"/>
        </w:rPr>
      </w:pPr>
      <w:r w:rsidRPr="00C17957">
        <w:rPr>
          <w:rFonts w:asciiTheme="majorHAnsi" w:eastAsia="Calibri" w:hAnsiTheme="majorHAnsi"/>
          <w:sz w:val="22"/>
          <w:lang w:bidi="ar-SA"/>
        </w:rPr>
        <w:t xml:space="preserve">In addition to impacting the types of generation that can run in New York, </w:t>
      </w:r>
      <w:r>
        <w:rPr>
          <w:rFonts w:asciiTheme="majorHAnsi" w:eastAsia="Calibri" w:hAnsiTheme="majorHAnsi"/>
          <w:sz w:val="22"/>
          <w:lang w:bidi="ar-SA"/>
        </w:rPr>
        <w:t>the CLCPA</w:t>
      </w:r>
      <w:r w:rsidRPr="00C17957">
        <w:rPr>
          <w:rFonts w:asciiTheme="majorHAnsi" w:eastAsia="Calibri" w:hAnsiTheme="majorHAnsi"/>
          <w:sz w:val="22"/>
          <w:lang w:bidi="ar-SA"/>
        </w:rPr>
        <w:t xml:space="preserve"> will have a significant impact on </w:t>
      </w:r>
      <w:r>
        <w:rPr>
          <w:rFonts w:asciiTheme="majorHAnsi" w:eastAsia="Calibri" w:hAnsiTheme="majorHAnsi"/>
          <w:sz w:val="22"/>
          <w:lang w:bidi="ar-SA"/>
        </w:rPr>
        <w:t>the amount of</w:t>
      </w:r>
      <w:r w:rsidRPr="00C17957">
        <w:rPr>
          <w:rFonts w:asciiTheme="majorHAnsi" w:eastAsia="Calibri" w:hAnsiTheme="majorHAnsi"/>
          <w:sz w:val="22"/>
          <w:lang w:bidi="ar-SA"/>
        </w:rPr>
        <w:t xml:space="preserve"> electricity </w:t>
      </w:r>
      <w:r>
        <w:rPr>
          <w:rFonts w:asciiTheme="majorHAnsi" w:eastAsia="Calibri" w:hAnsiTheme="majorHAnsi"/>
          <w:sz w:val="22"/>
          <w:lang w:bidi="ar-SA"/>
        </w:rPr>
        <w:t xml:space="preserve">and from which resource </w:t>
      </w:r>
      <w:proofErr w:type="gramStart"/>
      <w:r>
        <w:rPr>
          <w:rFonts w:asciiTheme="majorHAnsi" w:eastAsia="Calibri" w:hAnsiTheme="majorHAnsi"/>
          <w:sz w:val="22"/>
          <w:lang w:bidi="ar-SA"/>
        </w:rPr>
        <w:t>types</w:t>
      </w:r>
      <w:proofErr w:type="gramEnd"/>
      <w:r>
        <w:rPr>
          <w:rFonts w:asciiTheme="majorHAnsi" w:eastAsia="Calibri" w:hAnsiTheme="majorHAnsi"/>
          <w:sz w:val="22"/>
          <w:lang w:bidi="ar-SA"/>
        </w:rPr>
        <w:t xml:space="preserve"> electricity </w:t>
      </w:r>
      <w:r w:rsidRPr="00C17957">
        <w:rPr>
          <w:rFonts w:asciiTheme="majorHAnsi" w:eastAsia="Calibri" w:hAnsiTheme="majorHAnsi"/>
          <w:sz w:val="22"/>
          <w:lang w:bidi="ar-SA"/>
        </w:rPr>
        <w:t>can be imported into New York.</w:t>
      </w:r>
    </w:p>
    <w:p w14:paraId="706E5780" w14:textId="4D583104" w:rsidR="000826CA" w:rsidRPr="00C17957" w:rsidRDefault="000826CA" w:rsidP="00B635FD">
      <w:pPr>
        <w:spacing w:after="0" w:line="360" w:lineRule="auto"/>
        <w:ind w:left="0" w:firstLine="432"/>
        <w:rPr>
          <w:rFonts w:asciiTheme="majorHAnsi" w:eastAsia="Calibri" w:hAnsiTheme="majorHAnsi"/>
          <w:sz w:val="22"/>
          <w:lang w:bidi="ar-SA"/>
        </w:rPr>
      </w:pPr>
      <w:r w:rsidRPr="00C17957">
        <w:rPr>
          <w:rFonts w:asciiTheme="majorHAnsi" w:eastAsia="Calibri" w:hAnsiTheme="majorHAnsi"/>
          <w:sz w:val="22"/>
          <w:lang w:bidi="ar-SA"/>
        </w:rPr>
        <w:t xml:space="preserve">Generation resources in New York have already seen significant changes in the last </w:t>
      </w:r>
      <w:r w:rsidR="00C928E5">
        <w:rPr>
          <w:rFonts w:asciiTheme="majorHAnsi" w:eastAsia="Calibri" w:hAnsiTheme="majorHAnsi"/>
          <w:sz w:val="22"/>
          <w:lang w:bidi="ar-SA"/>
        </w:rPr>
        <w:t xml:space="preserve">two </w:t>
      </w:r>
      <w:r w:rsidRPr="00C17957">
        <w:rPr>
          <w:rFonts w:asciiTheme="majorHAnsi" w:eastAsia="Calibri" w:hAnsiTheme="majorHAnsi"/>
          <w:sz w:val="22"/>
          <w:lang w:bidi="ar-SA"/>
        </w:rPr>
        <w:t>year</w:t>
      </w:r>
      <w:r w:rsidR="00C928E5">
        <w:rPr>
          <w:rFonts w:asciiTheme="majorHAnsi" w:eastAsia="Calibri" w:hAnsiTheme="majorHAnsi"/>
          <w:sz w:val="22"/>
          <w:lang w:bidi="ar-SA"/>
        </w:rPr>
        <w:t>s</w:t>
      </w:r>
      <w:r w:rsidR="00CB3391">
        <w:rPr>
          <w:rFonts w:asciiTheme="majorHAnsi" w:eastAsia="Calibri" w:hAnsiTheme="majorHAnsi"/>
          <w:sz w:val="22"/>
          <w:lang w:bidi="ar-SA"/>
        </w:rPr>
        <w:t xml:space="preserve"> </w:t>
      </w:r>
      <w:r w:rsidRPr="00C17957">
        <w:rPr>
          <w:rFonts w:asciiTheme="majorHAnsi" w:eastAsia="Calibri" w:hAnsiTheme="majorHAnsi"/>
          <w:sz w:val="22"/>
          <w:lang w:bidi="ar-SA"/>
        </w:rPr>
        <w:t>with the loss of 1,000 MW of coal and 2,000 MW of nuclear from 2019 to 2020. In 2020, the New York State Department of Environmental Conservation (DEC) adopted a regulation to limit nitrogen oxides (NOx) emissions from simple-cycle combustion turbines (“Peaking Units”) (referred to as the “Peaker Rule”).</w:t>
      </w:r>
      <w:r w:rsidR="00DE5719">
        <w:rPr>
          <w:rStyle w:val="FootnoteReference"/>
          <w:rFonts w:asciiTheme="majorHAnsi" w:eastAsia="Calibri" w:hAnsiTheme="majorHAnsi"/>
          <w:sz w:val="22"/>
          <w:lang w:bidi="ar-SA"/>
        </w:rPr>
        <w:footnoteReference w:id="17"/>
      </w:r>
      <w:r w:rsidRPr="00C17957">
        <w:rPr>
          <w:rFonts w:asciiTheme="majorHAnsi" w:eastAsia="Calibri" w:hAnsiTheme="majorHAnsi"/>
          <w:sz w:val="22"/>
          <w:lang w:bidi="ar-SA"/>
        </w:rPr>
        <w:t xml:space="preserve"> This rule required </w:t>
      </w:r>
      <w:proofErr w:type="spellStart"/>
      <w:r w:rsidRPr="00C17957">
        <w:rPr>
          <w:rFonts w:asciiTheme="majorHAnsi" w:eastAsia="Calibri" w:hAnsiTheme="majorHAnsi"/>
          <w:sz w:val="22"/>
          <w:lang w:bidi="ar-SA"/>
        </w:rPr>
        <w:t>peakers</w:t>
      </w:r>
      <w:proofErr w:type="spellEnd"/>
      <w:r w:rsidRPr="00C17957">
        <w:rPr>
          <w:rFonts w:asciiTheme="majorHAnsi" w:eastAsia="Calibri" w:hAnsiTheme="majorHAnsi"/>
          <w:sz w:val="22"/>
          <w:lang w:bidi="ar-SA"/>
        </w:rPr>
        <w:t xml:space="preserve"> to submit compliance plans to state how they would meet compliance with the rule</w:t>
      </w:r>
      <w:r w:rsidR="00C928E5">
        <w:rPr>
          <w:rFonts w:asciiTheme="majorHAnsi" w:eastAsia="Calibri" w:hAnsiTheme="majorHAnsi"/>
          <w:sz w:val="22"/>
          <w:lang w:bidi="ar-SA"/>
        </w:rPr>
        <w:t>,</w:t>
      </w:r>
      <w:r w:rsidRPr="00C17957">
        <w:rPr>
          <w:rFonts w:asciiTheme="majorHAnsi" w:eastAsia="Calibri" w:hAnsiTheme="majorHAnsi"/>
          <w:sz w:val="22"/>
          <w:lang w:bidi="ar-SA"/>
        </w:rPr>
        <w:t xml:space="preserve"> which could include retiring or not operating</w:t>
      </w:r>
      <w:r w:rsidR="00C928E5">
        <w:rPr>
          <w:rFonts w:asciiTheme="majorHAnsi" w:eastAsia="Calibri" w:hAnsiTheme="majorHAnsi"/>
          <w:sz w:val="22"/>
          <w:lang w:bidi="ar-SA"/>
        </w:rPr>
        <w:t xml:space="preserve"> those generators</w:t>
      </w:r>
      <w:r w:rsidRPr="00C17957">
        <w:rPr>
          <w:rFonts w:asciiTheme="majorHAnsi" w:eastAsia="Calibri" w:hAnsiTheme="majorHAnsi"/>
          <w:sz w:val="22"/>
          <w:lang w:bidi="ar-SA"/>
        </w:rPr>
        <w:t xml:space="preserve"> during the summer ozone season. The compliance plans indicated that over 1,800 MW nameplate of </w:t>
      </w:r>
      <w:proofErr w:type="spellStart"/>
      <w:r w:rsidRPr="00C17957">
        <w:rPr>
          <w:rFonts w:asciiTheme="majorHAnsi" w:eastAsia="Calibri" w:hAnsiTheme="majorHAnsi"/>
          <w:sz w:val="22"/>
          <w:lang w:bidi="ar-SA"/>
        </w:rPr>
        <w:t>peakers</w:t>
      </w:r>
      <w:proofErr w:type="spellEnd"/>
      <w:r w:rsidRPr="00C17957">
        <w:rPr>
          <w:rFonts w:asciiTheme="majorHAnsi" w:eastAsia="Calibri" w:hAnsiTheme="majorHAnsi"/>
          <w:sz w:val="22"/>
          <w:lang w:bidi="ar-SA"/>
        </w:rPr>
        <w:t>, mostly in New York City, will either retire or not operate during the summer ozone season by 2025</w:t>
      </w:r>
      <w:r w:rsidR="00C928E5">
        <w:rPr>
          <w:rFonts w:asciiTheme="majorHAnsi" w:eastAsia="Calibri" w:hAnsiTheme="majorHAnsi"/>
          <w:sz w:val="22"/>
          <w:lang w:bidi="ar-SA"/>
        </w:rPr>
        <w:t>,</w:t>
      </w:r>
      <w:r w:rsidRPr="00C17957">
        <w:rPr>
          <w:rFonts w:asciiTheme="majorHAnsi" w:eastAsia="Calibri" w:hAnsiTheme="majorHAnsi"/>
          <w:sz w:val="22"/>
          <w:lang w:bidi="ar-SA"/>
        </w:rPr>
        <w:t xml:space="preserve"> with a little over half </w:t>
      </w:r>
      <w:r w:rsidR="00C928E5">
        <w:rPr>
          <w:rFonts w:asciiTheme="majorHAnsi" w:eastAsia="Calibri" w:hAnsiTheme="majorHAnsi"/>
          <w:sz w:val="22"/>
          <w:lang w:bidi="ar-SA"/>
        </w:rPr>
        <w:t xml:space="preserve">impacted </w:t>
      </w:r>
      <w:r w:rsidRPr="00C17957">
        <w:rPr>
          <w:rFonts w:asciiTheme="majorHAnsi" w:eastAsia="Calibri" w:hAnsiTheme="majorHAnsi"/>
          <w:sz w:val="22"/>
          <w:lang w:bidi="ar-SA"/>
        </w:rPr>
        <w:t xml:space="preserve">starting in 2023. All of these deactivations add up to almost 5,000 MW generation. An additional 25,000 MW of fossil fuel generation will need to deactivate over time to hit the targets in the CLCPA. These resources will need </w:t>
      </w:r>
      <w:r w:rsidRPr="00C17957">
        <w:rPr>
          <w:rFonts w:asciiTheme="majorHAnsi" w:eastAsia="Calibri" w:hAnsiTheme="majorHAnsi"/>
          <w:sz w:val="22"/>
          <w:lang w:bidi="ar-SA"/>
        </w:rPr>
        <w:lastRenderedPageBreak/>
        <w:t xml:space="preserve">to be replaced by resources that are emission free and largely renewable. Discussed below are the attributes of these types of resources and the challenges inherent with them. </w:t>
      </w:r>
    </w:p>
    <w:p w14:paraId="5CA1207A" w14:textId="77777777" w:rsidR="000826CA" w:rsidRPr="00CB3391" w:rsidRDefault="000826CA" w:rsidP="00CB3391">
      <w:pPr>
        <w:pStyle w:val="Heading3"/>
        <w:rPr>
          <w:rFonts w:eastAsia="Calibri"/>
        </w:rPr>
      </w:pPr>
      <w:bookmarkStart w:id="69" w:name="_Toc80032267"/>
      <w:bookmarkStart w:id="70" w:name="_Toc80191657"/>
      <w:bookmarkStart w:id="71" w:name="_Toc81138692"/>
      <w:r w:rsidRPr="00CB3391">
        <w:rPr>
          <w:rFonts w:eastAsia="Calibri"/>
        </w:rPr>
        <w:t>Intermittent Resources</w:t>
      </w:r>
      <w:bookmarkEnd w:id="69"/>
      <w:bookmarkEnd w:id="70"/>
      <w:bookmarkEnd w:id="71"/>
    </w:p>
    <w:p w14:paraId="2C67CE00" w14:textId="40AE1A9A" w:rsidR="000826CA" w:rsidRDefault="000826CA" w:rsidP="00B635FD">
      <w:pPr>
        <w:spacing w:after="0" w:line="360" w:lineRule="auto"/>
        <w:ind w:left="0" w:firstLine="432"/>
        <w:rPr>
          <w:rFonts w:asciiTheme="majorHAnsi" w:eastAsia="Calibri" w:hAnsiTheme="majorHAnsi"/>
          <w:sz w:val="22"/>
          <w:lang w:bidi="ar-SA"/>
        </w:rPr>
      </w:pPr>
      <w:r w:rsidRPr="00C17957">
        <w:rPr>
          <w:rFonts w:asciiTheme="majorHAnsi" w:eastAsia="Calibri" w:hAnsiTheme="majorHAnsi"/>
          <w:sz w:val="22"/>
          <w:lang w:bidi="ar-SA"/>
        </w:rPr>
        <w:t xml:space="preserve">Intermittent resources are not dispatchable (although they may be able to be dispatched down by spilling their energy) due to the variability of their “fuel” source. To maximize efficiencies, the location of these resources </w:t>
      </w:r>
      <w:proofErr w:type="gramStart"/>
      <w:r w:rsidRPr="00C17957">
        <w:rPr>
          <w:rFonts w:asciiTheme="majorHAnsi" w:eastAsia="Calibri" w:hAnsiTheme="majorHAnsi"/>
          <w:sz w:val="22"/>
          <w:lang w:bidi="ar-SA"/>
        </w:rPr>
        <w:t>are</w:t>
      </w:r>
      <w:proofErr w:type="gramEnd"/>
      <w:r w:rsidRPr="00C17957">
        <w:rPr>
          <w:rFonts w:asciiTheme="majorHAnsi" w:eastAsia="Calibri" w:hAnsiTheme="majorHAnsi"/>
          <w:sz w:val="22"/>
          <w:lang w:bidi="ar-SA"/>
        </w:rPr>
        <w:t xml:space="preserve"> dictated by where the wind is most constant or by where there is sufficient land for solar. This results in land-based wind locating in northern and western New York while solar resources are significantly located in these areas also. Off-shore wind would connect</w:t>
      </w:r>
      <w:r w:rsidR="00C928E5">
        <w:rPr>
          <w:rFonts w:asciiTheme="majorHAnsi" w:eastAsia="Calibri" w:hAnsiTheme="majorHAnsi"/>
          <w:sz w:val="22"/>
          <w:lang w:bidi="ar-SA"/>
        </w:rPr>
        <w:t xml:space="preserve"> primarily</w:t>
      </w:r>
      <w:r w:rsidRPr="00C17957">
        <w:rPr>
          <w:rFonts w:asciiTheme="majorHAnsi" w:eastAsia="Calibri" w:hAnsiTheme="majorHAnsi"/>
          <w:sz w:val="22"/>
          <w:lang w:bidi="ar-SA"/>
        </w:rPr>
        <w:t xml:space="preserve"> into New York City and Long Island. The NYISO commissioned </w:t>
      </w:r>
      <w:r w:rsidR="002A1F69">
        <w:rPr>
          <w:rFonts w:asciiTheme="majorHAnsi" w:eastAsia="Calibri" w:hAnsiTheme="majorHAnsi"/>
          <w:sz w:val="22"/>
          <w:lang w:bidi="ar-SA"/>
        </w:rPr>
        <w:t>the</w:t>
      </w:r>
      <w:r w:rsidR="002A1F69" w:rsidRPr="00C17957">
        <w:rPr>
          <w:rFonts w:asciiTheme="majorHAnsi" w:eastAsia="Calibri" w:hAnsiTheme="majorHAnsi"/>
          <w:sz w:val="22"/>
          <w:lang w:bidi="ar-SA"/>
        </w:rPr>
        <w:t xml:space="preserve"> </w:t>
      </w:r>
      <w:hyperlink r:id="rId37" w:history="1">
        <w:r w:rsidRPr="00641F71">
          <w:rPr>
            <w:rStyle w:val="Hyperlink"/>
            <w:rFonts w:asciiTheme="majorHAnsi" w:eastAsia="Calibri" w:hAnsiTheme="majorHAnsi"/>
            <w:sz w:val="22"/>
            <w:lang w:bidi="ar-SA"/>
          </w:rPr>
          <w:t xml:space="preserve">Climate Change </w:t>
        </w:r>
        <w:r w:rsidR="002A1F69">
          <w:rPr>
            <w:rStyle w:val="Hyperlink"/>
            <w:rFonts w:asciiTheme="majorHAnsi" w:eastAsia="Calibri" w:hAnsiTheme="majorHAnsi"/>
            <w:sz w:val="22"/>
            <w:lang w:bidi="ar-SA"/>
          </w:rPr>
          <w:t>Impact and Resilience</w:t>
        </w:r>
        <w:r w:rsidRPr="00641F71">
          <w:rPr>
            <w:rStyle w:val="Hyperlink"/>
            <w:rFonts w:asciiTheme="majorHAnsi" w:eastAsia="Calibri" w:hAnsiTheme="majorHAnsi"/>
            <w:sz w:val="22"/>
            <w:lang w:bidi="ar-SA"/>
          </w:rPr>
          <w:t xml:space="preserve"> study</w:t>
        </w:r>
      </w:hyperlink>
      <w:r w:rsidR="002A1F69">
        <w:rPr>
          <w:rStyle w:val="Hyperlink"/>
          <w:rFonts w:asciiTheme="majorHAnsi" w:eastAsia="Calibri" w:hAnsiTheme="majorHAnsi"/>
          <w:sz w:val="22"/>
          <w:lang w:bidi="ar-SA"/>
        </w:rPr>
        <w:t xml:space="preserve"> (“Phase II study”)</w:t>
      </w:r>
      <w:r w:rsidRPr="00C17957">
        <w:rPr>
          <w:rFonts w:asciiTheme="majorHAnsi" w:eastAsia="Calibri" w:hAnsiTheme="majorHAnsi"/>
          <w:sz w:val="22"/>
          <w:lang w:bidi="ar-SA"/>
        </w:rPr>
        <w:t xml:space="preserve"> </w:t>
      </w:r>
      <w:r w:rsidR="00C928E5">
        <w:rPr>
          <w:rFonts w:asciiTheme="majorHAnsi" w:eastAsia="Calibri" w:hAnsiTheme="majorHAnsi"/>
          <w:sz w:val="22"/>
          <w:lang w:bidi="ar-SA"/>
        </w:rPr>
        <w:t>that</w:t>
      </w:r>
      <w:r w:rsidR="00C928E5" w:rsidRPr="00C17957">
        <w:rPr>
          <w:rFonts w:asciiTheme="majorHAnsi" w:eastAsia="Calibri" w:hAnsiTheme="majorHAnsi"/>
          <w:sz w:val="22"/>
          <w:lang w:bidi="ar-SA"/>
        </w:rPr>
        <w:t xml:space="preserve"> </w:t>
      </w:r>
      <w:r w:rsidRPr="00C17957">
        <w:rPr>
          <w:rFonts w:asciiTheme="majorHAnsi" w:eastAsia="Calibri" w:hAnsiTheme="majorHAnsi"/>
          <w:sz w:val="22"/>
          <w:lang w:bidi="ar-SA"/>
        </w:rPr>
        <w:t xml:space="preserve">examined the resources needed to meet load in a 2040 scenario. This study looked at integrating large amounts of solar and wind resources into the </w:t>
      </w:r>
      <w:proofErr w:type="gramStart"/>
      <w:r w:rsidRPr="00C17957">
        <w:rPr>
          <w:rFonts w:asciiTheme="majorHAnsi" w:eastAsia="Calibri" w:hAnsiTheme="majorHAnsi"/>
          <w:sz w:val="22"/>
          <w:lang w:bidi="ar-SA"/>
        </w:rPr>
        <w:t>model</w:t>
      </w:r>
      <w:r w:rsidR="00C928E5">
        <w:rPr>
          <w:rFonts w:asciiTheme="majorHAnsi" w:eastAsia="Calibri" w:hAnsiTheme="majorHAnsi"/>
          <w:sz w:val="22"/>
          <w:lang w:bidi="ar-SA"/>
        </w:rPr>
        <w:t>,</w:t>
      </w:r>
      <w:r w:rsidRPr="00C17957">
        <w:rPr>
          <w:rFonts w:asciiTheme="majorHAnsi" w:eastAsia="Calibri" w:hAnsiTheme="majorHAnsi"/>
          <w:sz w:val="22"/>
          <w:lang w:bidi="ar-SA"/>
        </w:rPr>
        <w:t xml:space="preserve"> and</w:t>
      </w:r>
      <w:proofErr w:type="gramEnd"/>
      <w:r w:rsidRPr="00C17957">
        <w:rPr>
          <w:rFonts w:asciiTheme="majorHAnsi" w:eastAsia="Calibri" w:hAnsiTheme="majorHAnsi"/>
          <w:sz w:val="22"/>
          <w:lang w:bidi="ar-SA"/>
        </w:rPr>
        <w:t xml:space="preserve"> concluded that the variability of meteorological conditions that govern the output from wind and solar resources presents a fundamental challenge to relying on those resources to meet electricity demand. Solar resources will</w:t>
      </w:r>
      <w:r w:rsidR="00CB3391">
        <w:rPr>
          <w:rFonts w:asciiTheme="majorHAnsi" w:eastAsia="Calibri" w:hAnsiTheme="majorHAnsi"/>
          <w:sz w:val="22"/>
          <w:lang w:bidi="ar-SA"/>
        </w:rPr>
        <w:t xml:space="preserve"> </w:t>
      </w:r>
      <w:r w:rsidRPr="00C17957">
        <w:rPr>
          <w:rFonts w:asciiTheme="majorHAnsi" w:eastAsia="Calibri" w:hAnsiTheme="majorHAnsi"/>
          <w:sz w:val="22"/>
          <w:lang w:bidi="ar-SA"/>
        </w:rPr>
        <w:t xml:space="preserve">have little to no output during the evening and </w:t>
      </w:r>
      <w:proofErr w:type="gramStart"/>
      <w:r w:rsidRPr="00C17957">
        <w:rPr>
          <w:rFonts w:asciiTheme="majorHAnsi" w:eastAsia="Calibri" w:hAnsiTheme="majorHAnsi"/>
          <w:sz w:val="22"/>
          <w:lang w:bidi="ar-SA"/>
        </w:rPr>
        <w:t>night time</w:t>
      </w:r>
      <w:proofErr w:type="gramEnd"/>
      <w:r w:rsidRPr="00C17957">
        <w:rPr>
          <w:rFonts w:asciiTheme="majorHAnsi" w:eastAsia="Calibri" w:hAnsiTheme="majorHAnsi"/>
          <w:sz w:val="22"/>
          <w:lang w:bidi="ar-SA"/>
        </w:rPr>
        <w:t xml:space="preserve"> hours and reduced output due to cloud cover</w:t>
      </w:r>
      <w:r w:rsidR="00C928E5">
        <w:rPr>
          <w:rFonts w:asciiTheme="majorHAnsi" w:eastAsia="Calibri" w:hAnsiTheme="majorHAnsi"/>
          <w:sz w:val="22"/>
          <w:lang w:bidi="ar-SA"/>
        </w:rPr>
        <w:t>,</w:t>
      </w:r>
      <w:r w:rsidR="002E0A80">
        <w:rPr>
          <w:rFonts w:asciiTheme="majorHAnsi" w:eastAsia="Calibri" w:hAnsiTheme="majorHAnsi"/>
          <w:sz w:val="22"/>
          <w:lang w:bidi="ar-SA"/>
        </w:rPr>
        <w:t xml:space="preserve"> </w:t>
      </w:r>
      <w:r w:rsidRPr="00C17957">
        <w:rPr>
          <w:rFonts w:asciiTheme="majorHAnsi" w:eastAsia="Calibri" w:hAnsiTheme="majorHAnsi"/>
          <w:sz w:val="22"/>
          <w:lang w:bidi="ar-SA"/>
        </w:rPr>
        <w:t>while wind resource</w:t>
      </w:r>
      <w:r w:rsidR="00C928E5">
        <w:rPr>
          <w:rFonts w:asciiTheme="majorHAnsi" w:eastAsia="Calibri" w:hAnsiTheme="majorHAnsi"/>
          <w:sz w:val="22"/>
          <w:lang w:bidi="ar-SA"/>
        </w:rPr>
        <w:t>s</w:t>
      </w:r>
      <w:r w:rsidRPr="00C17957">
        <w:rPr>
          <w:rFonts w:asciiTheme="majorHAnsi" w:eastAsia="Calibri" w:hAnsiTheme="majorHAnsi"/>
          <w:sz w:val="22"/>
          <w:lang w:bidi="ar-SA"/>
        </w:rPr>
        <w:t xml:space="preserve"> can experience significant and sustained wind lulls.</w:t>
      </w:r>
    </w:p>
    <w:p w14:paraId="0A8503F9" w14:textId="45A9D9A4" w:rsidR="009D3FF1" w:rsidRPr="003129F2" w:rsidRDefault="00591B79" w:rsidP="0075566C">
      <w:pPr>
        <w:spacing w:after="0" w:line="360" w:lineRule="auto"/>
        <w:ind w:left="0" w:firstLine="432"/>
        <w:rPr>
          <w:rFonts w:asciiTheme="majorHAnsi" w:eastAsia="Calibri" w:hAnsiTheme="majorHAnsi"/>
          <w:sz w:val="22"/>
          <w:lang w:bidi="ar-SA"/>
        </w:rPr>
      </w:pPr>
      <w:r w:rsidRPr="0075566C">
        <w:rPr>
          <w:rFonts w:asciiTheme="majorHAnsi" w:eastAsia="Calibri" w:hAnsiTheme="majorHAnsi"/>
          <w:sz w:val="22"/>
          <w:lang w:bidi="ar-SA"/>
        </w:rPr>
        <w:t xml:space="preserve">To continue the study efforts on this subject, the NYISO conducted additional ‘wind lull’ scenarios </w:t>
      </w:r>
      <w:r w:rsidR="001D251C" w:rsidRPr="0075566C">
        <w:rPr>
          <w:rFonts w:asciiTheme="majorHAnsi" w:eastAsia="Calibri" w:hAnsiTheme="majorHAnsi"/>
          <w:sz w:val="22"/>
          <w:lang w:bidi="ar-SA"/>
        </w:rPr>
        <w:t>for</w:t>
      </w:r>
      <w:r w:rsidRPr="0075566C">
        <w:rPr>
          <w:rFonts w:asciiTheme="majorHAnsi" w:eastAsia="Calibri" w:hAnsiTheme="majorHAnsi"/>
          <w:sz w:val="22"/>
          <w:lang w:bidi="ar-SA"/>
        </w:rPr>
        <w:t xml:space="preserve"> </w:t>
      </w:r>
      <w:r w:rsidR="00EF3D6B" w:rsidRPr="0075566C">
        <w:rPr>
          <w:rFonts w:asciiTheme="majorHAnsi" w:eastAsia="Calibri" w:hAnsiTheme="majorHAnsi"/>
          <w:sz w:val="22"/>
          <w:lang w:bidi="ar-SA"/>
        </w:rPr>
        <w:t>this CRP</w:t>
      </w:r>
      <w:r w:rsidRPr="0075566C">
        <w:rPr>
          <w:rFonts w:asciiTheme="majorHAnsi" w:eastAsia="Calibri" w:hAnsiTheme="majorHAnsi"/>
          <w:sz w:val="22"/>
          <w:lang w:bidi="ar-SA"/>
        </w:rPr>
        <w:t>,</w:t>
      </w:r>
      <w:r w:rsidR="00EF3D6B" w:rsidRPr="0075566C">
        <w:rPr>
          <w:rFonts w:asciiTheme="majorHAnsi" w:eastAsia="Calibri" w:hAnsiTheme="majorHAnsi"/>
          <w:sz w:val="22"/>
          <w:lang w:bidi="ar-SA"/>
        </w:rPr>
        <w:t xml:space="preserve"> </w:t>
      </w:r>
      <w:r w:rsidR="0018262B" w:rsidRPr="0075566C">
        <w:rPr>
          <w:rFonts w:asciiTheme="majorHAnsi" w:eastAsia="Calibri" w:hAnsiTheme="majorHAnsi"/>
          <w:sz w:val="22"/>
          <w:lang w:bidi="ar-SA"/>
        </w:rPr>
        <w:t>u</w:t>
      </w:r>
      <w:r w:rsidRPr="0075566C">
        <w:rPr>
          <w:rFonts w:asciiTheme="majorHAnsi" w:eastAsia="Calibri" w:hAnsiTheme="majorHAnsi"/>
          <w:sz w:val="22"/>
          <w:lang w:bidi="ar-SA"/>
        </w:rPr>
        <w:t>sing the 70x30 models</w:t>
      </w:r>
      <w:r w:rsidR="001D251C" w:rsidRPr="0075566C">
        <w:rPr>
          <w:rFonts w:asciiTheme="majorHAnsi" w:eastAsia="Calibri" w:hAnsiTheme="majorHAnsi"/>
          <w:sz w:val="22"/>
          <w:lang w:bidi="ar-SA"/>
        </w:rPr>
        <w:t xml:space="preserve"> developed during the 2020 RNA</w:t>
      </w:r>
      <w:r w:rsidR="00D019AF" w:rsidRPr="0075566C">
        <w:rPr>
          <w:rFonts w:asciiTheme="majorHAnsi" w:eastAsia="Calibri" w:hAnsiTheme="majorHAnsi"/>
          <w:sz w:val="22"/>
          <w:lang w:bidi="ar-SA"/>
        </w:rPr>
        <w:t>.</w:t>
      </w:r>
      <w:r w:rsidRPr="0075566C">
        <w:rPr>
          <w:rFonts w:asciiTheme="majorHAnsi" w:eastAsia="Calibri" w:hAnsiTheme="majorHAnsi"/>
          <w:sz w:val="22"/>
          <w:lang w:bidi="ar-SA"/>
        </w:rPr>
        <w:t xml:space="preserve"> </w:t>
      </w:r>
      <w:r w:rsidR="00D019AF" w:rsidRPr="0075566C">
        <w:rPr>
          <w:rFonts w:asciiTheme="majorHAnsi" w:eastAsia="Calibri" w:hAnsiTheme="majorHAnsi"/>
          <w:sz w:val="22"/>
          <w:lang w:bidi="ar-SA"/>
        </w:rPr>
        <w:t xml:space="preserve"> W</w:t>
      </w:r>
      <w:r w:rsidRPr="0075566C">
        <w:rPr>
          <w:rFonts w:asciiTheme="majorHAnsi" w:eastAsia="Calibri" w:hAnsiTheme="majorHAnsi"/>
          <w:sz w:val="22"/>
          <w:lang w:bidi="ar-SA"/>
        </w:rPr>
        <w:t xml:space="preserve">ind lull scenarios simulated </w:t>
      </w:r>
      <w:r w:rsidR="00F96BD2" w:rsidRPr="0075566C">
        <w:rPr>
          <w:rFonts w:asciiTheme="majorHAnsi" w:eastAsia="Calibri" w:hAnsiTheme="majorHAnsi"/>
          <w:sz w:val="22"/>
          <w:lang w:bidi="ar-SA"/>
        </w:rPr>
        <w:t xml:space="preserve">a one-week </w:t>
      </w:r>
      <w:r w:rsidR="00AA7D1A" w:rsidRPr="0075566C">
        <w:rPr>
          <w:rFonts w:asciiTheme="majorHAnsi" w:eastAsia="Calibri" w:hAnsiTheme="majorHAnsi"/>
          <w:sz w:val="22"/>
          <w:lang w:bidi="ar-SA"/>
        </w:rPr>
        <w:t>loss of</w:t>
      </w:r>
      <w:r w:rsidRPr="0075566C">
        <w:rPr>
          <w:rFonts w:asciiTheme="majorHAnsi" w:eastAsia="Calibri" w:hAnsiTheme="majorHAnsi"/>
          <w:sz w:val="22"/>
          <w:lang w:bidi="ar-SA"/>
        </w:rPr>
        <w:t xml:space="preserve"> </w:t>
      </w:r>
      <w:r w:rsidR="00AA7D1A" w:rsidRPr="0075566C">
        <w:rPr>
          <w:rFonts w:asciiTheme="majorHAnsi" w:eastAsia="Calibri" w:hAnsiTheme="majorHAnsi"/>
          <w:sz w:val="22"/>
          <w:lang w:bidi="ar-SA"/>
        </w:rPr>
        <w:t>either off-shore</w:t>
      </w:r>
      <w:r w:rsidR="00D019AF" w:rsidRPr="0075566C">
        <w:rPr>
          <w:rFonts w:asciiTheme="majorHAnsi" w:eastAsia="Calibri" w:hAnsiTheme="majorHAnsi"/>
          <w:sz w:val="22"/>
          <w:lang w:bidi="ar-SA"/>
        </w:rPr>
        <w:t xml:space="preserve"> wind</w:t>
      </w:r>
      <w:r w:rsidR="00AA7D1A" w:rsidRPr="0075566C">
        <w:rPr>
          <w:rFonts w:asciiTheme="majorHAnsi" w:eastAsia="Calibri" w:hAnsiTheme="majorHAnsi"/>
          <w:sz w:val="22"/>
          <w:lang w:bidi="ar-SA"/>
        </w:rPr>
        <w:t xml:space="preserve"> </w:t>
      </w:r>
      <w:r w:rsidR="002E0A80" w:rsidRPr="0075566C">
        <w:rPr>
          <w:rFonts w:asciiTheme="majorHAnsi" w:eastAsia="Calibri" w:hAnsiTheme="majorHAnsi"/>
          <w:sz w:val="22"/>
          <w:lang w:bidi="ar-SA"/>
        </w:rPr>
        <w:t>(</w:t>
      </w:r>
      <w:r w:rsidR="00D019AF" w:rsidRPr="0075566C">
        <w:rPr>
          <w:rFonts w:asciiTheme="majorHAnsi" w:eastAsia="Calibri" w:hAnsiTheme="majorHAnsi"/>
          <w:sz w:val="22"/>
          <w:lang w:bidi="ar-SA"/>
        </w:rPr>
        <w:t xml:space="preserve">approximately </w:t>
      </w:r>
      <w:r w:rsidR="002E0A80" w:rsidRPr="0075566C">
        <w:rPr>
          <w:rFonts w:asciiTheme="majorHAnsi" w:eastAsia="Calibri" w:hAnsiTheme="majorHAnsi"/>
          <w:sz w:val="22"/>
          <w:lang w:bidi="ar-SA"/>
        </w:rPr>
        <w:t>6</w:t>
      </w:r>
      <w:r w:rsidR="00D019AF" w:rsidRPr="0075566C">
        <w:rPr>
          <w:rFonts w:asciiTheme="majorHAnsi" w:eastAsia="Calibri" w:hAnsiTheme="majorHAnsi"/>
          <w:sz w:val="22"/>
          <w:lang w:bidi="ar-SA"/>
        </w:rPr>
        <w:t>,</w:t>
      </w:r>
      <w:r w:rsidR="002E0A80" w:rsidRPr="0075566C">
        <w:rPr>
          <w:rFonts w:asciiTheme="majorHAnsi" w:eastAsia="Calibri" w:hAnsiTheme="majorHAnsi"/>
          <w:sz w:val="22"/>
          <w:lang w:bidi="ar-SA"/>
        </w:rPr>
        <w:t xml:space="preserve">000 MW nameplate total </w:t>
      </w:r>
      <w:r w:rsidR="00F96BD2" w:rsidRPr="0075566C">
        <w:rPr>
          <w:rFonts w:asciiTheme="majorHAnsi" w:eastAsia="Calibri" w:hAnsiTheme="majorHAnsi"/>
          <w:sz w:val="22"/>
          <w:lang w:bidi="ar-SA"/>
        </w:rPr>
        <w:t>connected to New York City and Long Island</w:t>
      </w:r>
      <w:r w:rsidR="002E0A80" w:rsidRPr="0075566C">
        <w:rPr>
          <w:rFonts w:asciiTheme="majorHAnsi" w:eastAsia="Calibri" w:hAnsiTheme="majorHAnsi"/>
          <w:sz w:val="22"/>
          <w:lang w:bidi="ar-SA"/>
        </w:rPr>
        <w:t xml:space="preserve">) </w:t>
      </w:r>
      <w:r w:rsidR="00AA7D1A" w:rsidRPr="0075566C">
        <w:rPr>
          <w:rFonts w:asciiTheme="majorHAnsi" w:eastAsia="Calibri" w:hAnsiTheme="majorHAnsi"/>
          <w:sz w:val="22"/>
          <w:lang w:bidi="ar-SA"/>
        </w:rPr>
        <w:t xml:space="preserve">or land-based </w:t>
      </w:r>
      <w:r w:rsidRPr="0075566C">
        <w:rPr>
          <w:rFonts w:asciiTheme="majorHAnsi" w:eastAsia="Calibri" w:hAnsiTheme="majorHAnsi"/>
          <w:sz w:val="22"/>
          <w:lang w:bidi="ar-SA"/>
        </w:rPr>
        <w:t xml:space="preserve">wind </w:t>
      </w:r>
      <w:r w:rsidR="0018262B" w:rsidRPr="0075566C">
        <w:rPr>
          <w:rFonts w:asciiTheme="majorHAnsi" w:eastAsia="Calibri" w:hAnsiTheme="majorHAnsi"/>
          <w:sz w:val="22"/>
          <w:lang w:bidi="ar-SA"/>
        </w:rPr>
        <w:t xml:space="preserve">(located in </w:t>
      </w:r>
      <w:r w:rsidR="00F96BD2" w:rsidRPr="0075566C">
        <w:rPr>
          <w:rFonts w:asciiTheme="majorHAnsi" w:eastAsia="Calibri" w:hAnsiTheme="majorHAnsi"/>
          <w:sz w:val="22"/>
          <w:lang w:bidi="ar-SA"/>
        </w:rPr>
        <w:t>Upstate New York</w:t>
      </w:r>
      <w:r w:rsidR="0018262B" w:rsidRPr="0075566C">
        <w:rPr>
          <w:rFonts w:asciiTheme="majorHAnsi" w:eastAsia="Calibri" w:hAnsiTheme="majorHAnsi"/>
          <w:sz w:val="22"/>
          <w:lang w:bidi="ar-SA"/>
        </w:rPr>
        <w:t xml:space="preserve">) </w:t>
      </w:r>
      <w:r w:rsidR="00AA7D1A" w:rsidRPr="0075566C">
        <w:rPr>
          <w:rFonts w:asciiTheme="majorHAnsi" w:eastAsia="Calibri" w:hAnsiTheme="majorHAnsi"/>
          <w:sz w:val="22"/>
          <w:lang w:bidi="ar-SA"/>
        </w:rPr>
        <w:t xml:space="preserve">for </w:t>
      </w:r>
      <w:r w:rsidR="00EF3D6B" w:rsidRPr="0075566C">
        <w:rPr>
          <w:rFonts w:asciiTheme="majorHAnsi" w:eastAsia="Calibri" w:hAnsiTheme="majorHAnsi"/>
          <w:sz w:val="22"/>
          <w:lang w:bidi="ar-SA"/>
        </w:rPr>
        <w:t>various</w:t>
      </w:r>
      <w:r w:rsidRPr="0075566C">
        <w:rPr>
          <w:rFonts w:asciiTheme="majorHAnsi" w:eastAsia="Calibri" w:hAnsiTheme="majorHAnsi"/>
          <w:sz w:val="22"/>
          <w:lang w:bidi="ar-SA"/>
        </w:rPr>
        <w:t xml:space="preserve"> week</w:t>
      </w:r>
      <w:r w:rsidR="00EF3D6B" w:rsidRPr="0075566C">
        <w:rPr>
          <w:rFonts w:asciiTheme="majorHAnsi" w:eastAsia="Calibri" w:hAnsiTheme="majorHAnsi"/>
          <w:sz w:val="22"/>
          <w:lang w:bidi="ar-SA"/>
        </w:rPr>
        <w:t>s</w:t>
      </w:r>
      <w:r w:rsidRPr="0075566C">
        <w:rPr>
          <w:rFonts w:asciiTheme="majorHAnsi" w:eastAsia="Calibri" w:hAnsiTheme="majorHAnsi"/>
          <w:sz w:val="22"/>
          <w:lang w:bidi="ar-SA"/>
        </w:rPr>
        <w:t xml:space="preserve">. </w:t>
      </w:r>
      <w:r w:rsidR="00AA7D1A" w:rsidRPr="0075566C">
        <w:rPr>
          <w:rFonts w:asciiTheme="majorHAnsi" w:eastAsia="Calibri" w:hAnsiTheme="majorHAnsi"/>
          <w:sz w:val="22"/>
          <w:lang w:bidi="ar-SA"/>
        </w:rPr>
        <w:t xml:space="preserve"> </w:t>
      </w:r>
      <w:r w:rsidR="005116B3" w:rsidRPr="0075566C">
        <w:rPr>
          <w:rFonts w:asciiTheme="majorHAnsi" w:eastAsia="Calibri" w:hAnsiTheme="majorHAnsi"/>
          <w:sz w:val="22"/>
          <w:lang w:bidi="ar-SA"/>
        </w:rPr>
        <w:t xml:space="preserve">For the loss of </w:t>
      </w:r>
      <w:r w:rsidR="009D3FF1" w:rsidRPr="0075566C">
        <w:rPr>
          <w:rFonts w:asciiTheme="majorHAnsi" w:eastAsia="Calibri" w:hAnsiTheme="majorHAnsi"/>
          <w:sz w:val="22"/>
          <w:lang w:bidi="ar-SA"/>
        </w:rPr>
        <w:t xml:space="preserve">all </w:t>
      </w:r>
      <w:proofErr w:type="gramStart"/>
      <w:r w:rsidR="005116B3" w:rsidRPr="0075566C">
        <w:rPr>
          <w:rFonts w:asciiTheme="majorHAnsi" w:eastAsia="Calibri" w:hAnsiTheme="majorHAnsi"/>
          <w:sz w:val="22"/>
          <w:lang w:bidi="ar-SA"/>
        </w:rPr>
        <w:t>off-shore</w:t>
      </w:r>
      <w:proofErr w:type="gramEnd"/>
      <w:r w:rsidR="005116B3" w:rsidRPr="0075566C">
        <w:rPr>
          <w:rFonts w:asciiTheme="majorHAnsi" w:eastAsia="Calibri" w:hAnsiTheme="majorHAnsi"/>
          <w:sz w:val="22"/>
          <w:lang w:bidi="ar-SA"/>
        </w:rPr>
        <w:t xml:space="preserve"> wind, </w:t>
      </w:r>
      <w:r w:rsidR="009D3FF1" w:rsidRPr="0075566C">
        <w:rPr>
          <w:rFonts w:asciiTheme="majorHAnsi" w:eastAsia="Calibri" w:hAnsiTheme="majorHAnsi"/>
          <w:sz w:val="22"/>
          <w:lang w:bidi="ar-SA"/>
        </w:rPr>
        <w:t>dynamic stability</w:t>
      </w:r>
      <w:r w:rsidR="005116B3" w:rsidRPr="0075566C">
        <w:rPr>
          <w:rFonts w:asciiTheme="majorHAnsi" w:eastAsia="Calibri" w:hAnsiTheme="majorHAnsi"/>
          <w:sz w:val="22"/>
          <w:lang w:bidi="ar-SA"/>
        </w:rPr>
        <w:t xml:space="preserve"> of the system immediately after </w:t>
      </w:r>
      <w:r w:rsidR="009D3FF1" w:rsidRPr="0075566C">
        <w:rPr>
          <w:rFonts w:asciiTheme="majorHAnsi" w:eastAsia="Calibri" w:hAnsiTheme="majorHAnsi"/>
          <w:sz w:val="22"/>
          <w:lang w:bidi="ar-SA"/>
        </w:rPr>
        <w:t xml:space="preserve">the wind </w:t>
      </w:r>
      <w:r w:rsidR="005116B3" w:rsidRPr="0075566C">
        <w:rPr>
          <w:rFonts w:asciiTheme="majorHAnsi" w:eastAsia="Calibri" w:hAnsiTheme="majorHAnsi"/>
          <w:sz w:val="22"/>
          <w:lang w:bidi="ar-SA"/>
        </w:rPr>
        <w:t xml:space="preserve">loss </w:t>
      </w:r>
      <w:r w:rsidR="009D3FF1" w:rsidRPr="0075566C">
        <w:rPr>
          <w:rFonts w:asciiTheme="majorHAnsi" w:eastAsia="Calibri" w:hAnsiTheme="majorHAnsi"/>
          <w:sz w:val="22"/>
          <w:lang w:bidi="ar-SA"/>
        </w:rPr>
        <w:t>was</w:t>
      </w:r>
      <w:r w:rsidR="005116B3" w:rsidRPr="0075566C">
        <w:rPr>
          <w:rFonts w:asciiTheme="majorHAnsi" w:eastAsia="Calibri" w:hAnsiTheme="majorHAnsi"/>
          <w:sz w:val="22"/>
          <w:lang w:bidi="ar-SA"/>
        </w:rPr>
        <w:t xml:space="preserve"> </w:t>
      </w:r>
      <w:r w:rsidR="00F96BD2" w:rsidRPr="0075566C">
        <w:rPr>
          <w:rFonts w:asciiTheme="majorHAnsi" w:eastAsia="Calibri" w:hAnsiTheme="majorHAnsi"/>
          <w:sz w:val="22"/>
          <w:lang w:bidi="ar-SA"/>
        </w:rPr>
        <w:t xml:space="preserve">also </w:t>
      </w:r>
      <w:r w:rsidR="009D3FF1" w:rsidRPr="0075566C">
        <w:rPr>
          <w:rFonts w:asciiTheme="majorHAnsi" w:eastAsia="Calibri" w:hAnsiTheme="majorHAnsi"/>
          <w:sz w:val="22"/>
          <w:lang w:bidi="ar-SA"/>
        </w:rPr>
        <w:t xml:space="preserve">simulated.  </w:t>
      </w:r>
    </w:p>
    <w:p w14:paraId="535E7945" w14:textId="56F5E98F" w:rsidR="00591B79" w:rsidRPr="0075566C" w:rsidRDefault="00E222F7" w:rsidP="0075566C">
      <w:pPr>
        <w:spacing w:after="0" w:line="360" w:lineRule="auto"/>
        <w:ind w:left="0" w:firstLine="432"/>
        <w:rPr>
          <w:rFonts w:asciiTheme="majorHAnsi" w:eastAsia="Calibri" w:hAnsiTheme="majorHAnsi"/>
        </w:rPr>
      </w:pPr>
      <w:r w:rsidRPr="0075566C">
        <w:rPr>
          <w:rFonts w:asciiTheme="majorHAnsi" w:eastAsia="Calibri" w:hAnsiTheme="majorHAnsi"/>
          <w:sz w:val="22"/>
          <w:lang w:bidi="ar-SA"/>
        </w:rPr>
        <w:t>Loss of</w:t>
      </w:r>
      <w:r w:rsidR="00801688" w:rsidRPr="0075566C">
        <w:rPr>
          <w:rFonts w:asciiTheme="majorHAnsi" w:eastAsia="Calibri" w:hAnsiTheme="majorHAnsi"/>
          <w:sz w:val="22"/>
          <w:lang w:bidi="ar-SA"/>
        </w:rPr>
        <w:t xml:space="preserve"> wind energy during an entire week impacts system reliability </w:t>
      </w:r>
      <w:r w:rsidR="00AA7D1A" w:rsidRPr="0075566C">
        <w:rPr>
          <w:rFonts w:asciiTheme="majorHAnsi" w:eastAsia="Calibri" w:hAnsiTheme="majorHAnsi"/>
          <w:sz w:val="22"/>
          <w:lang w:bidi="ar-SA"/>
        </w:rPr>
        <w:t xml:space="preserve">when the </w:t>
      </w:r>
      <w:r w:rsidRPr="0075566C">
        <w:rPr>
          <w:rFonts w:asciiTheme="majorHAnsi" w:eastAsia="Calibri" w:hAnsiTheme="majorHAnsi"/>
          <w:sz w:val="22"/>
          <w:lang w:bidi="ar-SA"/>
        </w:rPr>
        <w:t xml:space="preserve">wind </w:t>
      </w:r>
      <w:r w:rsidR="00AA7D1A" w:rsidRPr="0075566C">
        <w:rPr>
          <w:rFonts w:asciiTheme="majorHAnsi" w:eastAsia="Calibri" w:hAnsiTheme="majorHAnsi"/>
          <w:sz w:val="22"/>
          <w:lang w:bidi="ar-SA"/>
        </w:rPr>
        <w:t xml:space="preserve">farms are </w:t>
      </w:r>
      <w:r w:rsidR="00F96BD2" w:rsidRPr="0075566C">
        <w:rPr>
          <w:rFonts w:asciiTheme="majorHAnsi" w:eastAsia="Calibri" w:hAnsiTheme="majorHAnsi"/>
          <w:sz w:val="22"/>
          <w:lang w:bidi="ar-SA"/>
        </w:rPr>
        <w:t>interconnected to</w:t>
      </w:r>
      <w:r w:rsidR="00AA7D1A" w:rsidRPr="0075566C">
        <w:rPr>
          <w:rFonts w:asciiTheme="majorHAnsi" w:eastAsia="Calibri" w:hAnsiTheme="majorHAnsi"/>
          <w:sz w:val="22"/>
          <w:lang w:bidi="ar-SA"/>
        </w:rPr>
        <w:t xml:space="preserve"> zones that usually </w:t>
      </w:r>
      <w:r w:rsidR="00EF3D6B" w:rsidRPr="0075566C">
        <w:rPr>
          <w:rFonts w:asciiTheme="majorHAnsi" w:eastAsia="Calibri" w:hAnsiTheme="majorHAnsi"/>
          <w:sz w:val="22"/>
          <w:lang w:bidi="ar-SA"/>
        </w:rPr>
        <w:t>drive</w:t>
      </w:r>
      <w:r w:rsidR="00AA7D1A" w:rsidRPr="0075566C">
        <w:rPr>
          <w:rFonts w:asciiTheme="majorHAnsi" w:eastAsia="Calibri" w:hAnsiTheme="majorHAnsi"/>
          <w:sz w:val="22"/>
          <w:lang w:bidi="ar-SA"/>
        </w:rPr>
        <w:t xml:space="preserve"> the loss of load expectation </w:t>
      </w:r>
      <w:r w:rsidR="00EF3D6B" w:rsidRPr="0075566C">
        <w:rPr>
          <w:rFonts w:asciiTheme="majorHAnsi" w:eastAsia="Calibri" w:hAnsiTheme="majorHAnsi"/>
          <w:sz w:val="22"/>
          <w:lang w:bidi="ar-SA"/>
        </w:rPr>
        <w:t>events</w:t>
      </w:r>
      <w:r w:rsidR="00AA7D1A" w:rsidRPr="0075566C">
        <w:rPr>
          <w:rFonts w:asciiTheme="majorHAnsi" w:eastAsia="Calibri" w:hAnsiTheme="majorHAnsi"/>
          <w:sz w:val="22"/>
          <w:lang w:bidi="ar-SA"/>
        </w:rPr>
        <w:t xml:space="preserve">, such as </w:t>
      </w:r>
      <w:r w:rsidR="00F96BD2" w:rsidRPr="0075566C">
        <w:rPr>
          <w:rFonts w:asciiTheme="majorHAnsi" w:eastAsia="Calibri" w:hAnsiTheme="majorHAnsi"/>
          <w:sz w:val="22"/>
          <w:lang w:bidi="ar-SA"/>
        </w:rPr>
        <w:t>New York City (</w:t>
      </w:r>
      <w:r w:rsidR="00AA7D1A" w:rsidRPr="0075566C">
        <w:rPr>
          <w:rFonts w:asciiTheme="majorHAnsi" w:eastAsia="Calibri" w:hAnsiTheme="majorHAnsi"/>
          <w:sz w:val="22"/>
          <w:lang w:bidi="ar-SA"/>
        </w:rPr>
        <w:t>Zone J</w:t>
      </w:r>
      <w:r w:rsidR="00F96BD2" w:rsidRPr="0075566C">
        <w:rPr>
          <w:rFonts w:asciiTheme="majorHAnsi" w:eastAsia="Calibri" w:hAnsiTheme="majorHAnsi"/>
          <w:sz w:val="22"/>
          <w:lang w:bidi="ar-SA"/>
        </w:rPr>
        <w:t>)</w:t>
      </w:r>
      <w:r w:rsidR="00AA7D1A" w:rsidRPr="0075566C">
        <w:rPr>
          <w:rFonts w:asciiTheme="majorHAnsi" w:eastAsia="Calibri" w:hAnsiTheme="majorHAnsi"/>
          <w:sz w:val="22"/>
          <w:lang w:bidi="ar-SA"/>
        </w:rPr>
        <w:t xml:space="preserve"> and</w:t>
      </w:r>
      <w:r w:rsidR="00F96BD2" w:rsidRPr="0075566C">
        <w:rPr>
          <w:rFonts w:asciiTheme="majorHAnsi" w:eastAsia="Calibri" w:hAnsiTheme="majorHAnsi"/>
          <w:sz w:val="22"/>
          <w:lang w:bidi="ar-SA"/>
        </w:rPr>
        <w:t xml:space="preserve"> Long Island (Zone</w:t>
      </w:r>
      <w:r w:rsidR="00AA7D1A" w:rsidRPr="0075566C">
        <w:rPr>
          <w:rFonts w:asciiTheme="majorHAnsi" w:eastAsia="Calibri" w:hAnsiTheme="majorHAnsi"/>
          <w:sz w:val="22"/>
          <w:lang w:bidi="ar-SA"/>
        </w:rPr>
        <w:t xml:space="preserve"> K</w:t>
      </w:r>
      <w:r w:rsidR="00F96BD2" w:rsidRPr="0075566C">
        <w:rPr>
          <w:rFonts w:asciiTheme="majorHAnsi" w:eastAsia="Calibri" w:hAnsiTheme="majorHAnsi"/>
          <w:sz w:val="22"/>
          <w:lang w:bidi="ar-SA"/>
        </w:rPr>
        <w:t>)</w:t>
      </w:r>
      <w:r w:rsidR="00AA7D1A" w:rsidRPr="0075566C">
        <w:rPr>
          <w:rFonts w:asciiTheme="majorHAnsi" w:eastAsia="Calibri" w:hAnsiTheme="majorHAnsi"/>
          <w:sz w:val="22"/>
          <w:lang w:bidi="ar-SA"/>
        </w:rPr>
        <w:t xml:space="preserve">. </w:t>
      </w:r>
      <w:r w:rsidR="00EF3D6B" w:rsidRPr="0075566C">
        <w:rPr>
          <w:rFonts w:asciiTheme="majorHAnsi" w:eastAsia="Calibri" w:hAnsiTheme="majorHAnsi"/>
          <w:sz w:val="22"/>
          <w:lang w:bidi="ar-SA"/>
        </w:rPr>
        <w:t xml:space="preserve"> </w:t>
      </w:r>
      <w:r w:rsidR="00AA7D1A" w:rsidRPr="0075566C">
        <w:rPr>
          <w:rFonts w:asciiTheme="majorHAnsi" w:eastAsia="Calibri" w:hAnsiTheme="majorHAnsi"/>
          <w:sz w:val="22"/>
          <w:lang w:bidi="ar-SA"/>
        </w:rPr>
        <w:t>The magnitude of the</w:t>
      </w:r>
      <w:r w:rsidR="00820D4C" w:rsidRPr="0075566C">
        <w:rPr>
          <w:rFonts w:asciiTheme="majorHAnsi" w:eastAsia="Calibri" w:hAnsiTheme="majorHAnsi"/>
          <w:sz w:val="22"/>
          <w:lang w:bidi="ar-SA"/>
        </w:rPr>
        <w:t xml:space="preserve"> </w:t>
      </w:r>
      <w:r w:rsidR="00AA7D1A" w:rsidRPr="0075566C">
        <w:rPr>
          <w:rFonts w:asciiTheme="majorHAnsi" w:eastAsia="Calibri" w:hAnsiTheme="majorHAnsi"/>
          <w:sz w:val="22"/>
          <w:lang w:bidi="ar-SA"/>
        </w:rPr>
        <w:t xml:space="preserve">impact also depends on the amount of </w:t>
      </w:r>
      <w:r w:rsidR="00F96BD2" w:rsidRPr="0075566C">
        <w:rPr>
          <w:rFonts w:asciiTheme="majorHAnsi" w:eastAsia="Calibri" w:hAnsiTheme="majorHAnsi"/>
          <w:sz w:val="22"/>
          <w:lang w:bidi="ar-SA"/>
        </w:rPr>
        <w:t xml:space="preserve">potential </w:t>
      </w:r>
      <w:r w:rsidR="00AA7D1A" w:rsidRPr="0075566C">
        <w:rPr>
          <w:rFonts w:asciiTheme="majorHAnsi" w:eastAsia="Calibri" w:hAnsiTheme="majorHAnsi"/>
          <w:sz w:val="22"/>
          <w:lang w:bidi="ar-SA"/>
        </w:rPr>
        <w:t xml:space="preserve">energy generated during the </w:t>
      </w:r>
      <w:r w:rsidR="00F96BD2" w:rsidRPr="0075566C">
        <w:rPr>
          <w:rFonts w:asciiTheme="majorHAnsi" w:eastAsia="Calibri" w:hAnsiTheme="majorHAnsi"/>
          <w:sz w:val="22"/>
          <w:lang w:bidi="ar-SA"/>
        </w:rPr>
        <w:t xml:space="preserve">week of the </w:t>
      </w:r>
      <w:r w:rsidR="00AA7D1A" w:rsidRPr="0075566C">
        <w:rPr>
          <w:rFonts w:asciiTheme="majorHAnsi" w:eastAsia="Calibri" w:hAnsiTheme="majorHAnsi"/>
          <w:sz w:val="22"/>
          <w:lang w:bidi="ar-SA"/>
        </w:rPr>
        <w:t>wind lull</w:t>
      </w:r>
      <w:r w:rsidR="001D251C" w:rsidRPr="0075566C">
        <w:rPr>
          <w:rFonts w:asciiTheme="majorHAnsi" w:eastAsia="Calibri" w:hAnsiTheme="majorHAnsi"/>
          <w:sz w:val="22"/>
          <w:lang w:bidi="ar-SA"/>
        </w:rPr>
        <w:t xml:space="preserve">, as well as the </w:t>
      </w:r>
      <w:r w:rsidR="00F96BD2" w:rsidRPr="0075566C">
        <w:rPr>
          <w:rFonts w:asciiTheme="majorHAnsi" w:eastAsia="Calibri" w:hAnsiTheme="majorHAnsi"/>
          <w:sz w:val="22"/>
          <w:lang w:bidi="ar-SA"/>
        </w:rPr>
        <w:t xml:space="preserve">timing </w:t>
      </w:r>
      <w:r w:rsidR="001D251C" w:rsidRPr="0075566C">
        <w:rPr>
          <w:rFonts w:asciiTheme="majorHAnsi" w:eastAsia="Calibri" w:hAnsiTheme="majorHAnsi"/>
          <w:sz w:val="22"/>
          <w:lang w:bidi="ar-SA"/>
        </w:rPr>
        <w:t>of generation during each day</w:t>
      </w:r>
      <w:r w:rsidR="00820D4C" w:rsidRPr="0075566C">
        <w:rPr>
          <w:rFonts w:asciiTheme="majorHAnsi" w:eastAsia="Calibri" w:hAnsiTheme="majorHAnsi"/>
          <w:sz w:val="22"/>
          <w:lang w:bidi="ar-SA"/>
        </w:rPr>
        <w:t xml:space="preserve"> (e.g., peak demand vs off-peak)</w:t>
      </w:r>
      <w:r w:rsidR="00AA7D1A" w:rsidRPr="0075566C">
        <w:rPr>
          <w:rFonts w:asciiTheme="majorHAnsi" w:eastAsia="Calibri" w:hAnsiTheme="majorHAnsi"/>
          <w:sz w:val="22"/>
          <w:lang w:bidi="ar-SA"/>
        </w:rPr>
        <w:t xml:space="preserve">. </w:t>
      </w:r>
      <w:r w:rsidR="00FF29AA" w:rsidRPr="0075566C">
        <w:rPr>
          <w:rFonts w:asciiTheme="majorHAnsi" w:eastAsia="Calibri" w:hAnsiTheme="majorHAnsi"/>
          <w:sz w:val="22"/>
          <w:lang w:bidi="ar-SA"/>
        </w:rPr>
        <w:t xml:space="preserve"> </w:t>
      </w:r>
      <w:r w:rsidR="00F96BD2" w:rsidRPr="0075566C">
        <w:rPr>
          <w:rFonts w:asciiTheme="majorHAnsi" w:eastAsia="Calibri" w:hAnsiTheme="majorHAnsi"/>
          <w:sz w:val="22"/>
          <w:lang w:bidi="ar-SA"/>
        </w:rPr>
        <w:t xml:space="preserve">Table </w:t>
      </w:r>
      <w:r w:rsidR="00F96BD2" w:rsidRPr="0075566C">
        <w:rPr>
          <w:rFonts w:asciiTheme="majorHAnsi" w:eastAsia="Calibri" w:hAnsiTheme="majorHAnsi"/>
          <w:sz w:val="22"/>
          <w:highlight w:val="yellow"/>
          <w:lang w:bidi="ar-SA"/>
        </w:rPr>
        <w:t>XX</w:t>
      </w:r>
      <w:r w:rsidR="00F96BD2" w:rsidRPr="0075566C">
        <w:rPr>
          <w:rFonts w:asciiTheme="majorHAnsi" w:eastAsia="Calibri" w:hAnsiTheme="majorHAnsi"/>
          <w:sz w:val="22"/>
          <w:lang w:bidi="ar-SA"/>
        </w:rPr>
        <w:t xml:space="preserve"> provides</w:t>
      </w:r>
      <w:r w:rsidR="00042E63" w:rsidRPr="0075566C">
        <w:rPr>
          <w:rFonts w:asciiTheme="majorHAnsi" w:eastAsia="Calibri" w:hAnsiTheme="majorHAnsi"/>
          <w:sz w:val="22"/>
          <w:lang w:bidi="ar-SA"/>
        </w:rPr>
        <w:t xml:space="preserve"> the LOLE results for </w:t>
      </w:r>
      <w:r w:rsidR="00F96BD2" w:rsidRPr="0075566C">
        <w:rPr>
          <w:rFonts w:asciiTheme="majorHAnsi" w:eastAsia="Calibri" w:hAnsiTheme="majorHAnsi"/>
          <w:sz w:val="22"/>
          <w:lang w:bidi="ar-SA"/>
        </w:rPr>
        <w:t>the most severe</w:t>
      </w:r>
      <w:r w:rsidR="00042E63" w:rsidRPr="0075566C">
        <w:rPr>
          <w:rFonts w:asciiTheme="majorHAnsi" w:eastAsia="Calibri" w:hAnsiTheme="majorHAnsi"/>
          <w:sz w:val="22"/>
          <w:lang w:bidi="ar-SA"/>
        </w:rPr>
        <w:t xml:space="preserve"> simulated </w:t>
      </w:r>
      <w:proofErr w:type="gramStart"/>
      <w:r w:rsidR="00E7344D" w:rsidRPr="0075566C">
        <w:rPr>
          <w:rFonts w:asciiTheme="majorHAnsi" w:eastAsia="Calibri" w:hAnsiTheme="majorHAnsi"/>
          <w:sz w:val="22"/>
          <w:lang w:bidi="ar-SA"/>
        </w:rPr>
        <w:t>off-shore</w:t>
      </w:r>
      <w:proofErr w:type="gramEnd"/>
      <w:r w:rsidR="00E7344D" w:rsidRPr="0075566C">
        <w:rPr>
          <w:rFonts w:asciiTheme="majorHAnsi" w:eastAsia="Calibri" w:hAnsiTheme="majorHAnsi"/>
          <w:sz w:val="22"/>
          <w:lang w:bidi="ar-SA"/>
        </w:rPr>
        <w:t xml:space="preserve"> wind (OSW)</w:t>
      </w:r>
      <w:r w:rsidR="00042E63" w:rsidRPr="0075566C">
        <w:rPr>
          <w:rFonts w:asciiTheme="majorHAnsi" w:eastAsia="Calibri" w:hAnsiTheme="majorHAnsi"/>
          <w:sz w:val="22"/>
          <w:lang w:bidi="ar-SA"/>
        </w:rPr>
        <w:t xml:space="preserve"> lull weeks, showing </w:t>
      </w:r>
      <w:r w:rsidR="00CB3D3C" w:rsidRPr="0075566C">
        <w:rPr>
          <w:rFonts w:asciiTheme="majorHAnsi" w:eastAsia="Calibri" w:hAnsiTheme="majorHAnsi"/>
          <w:sz w:val="22"/>
          <w:lang w:bidi="ar-SA"/>
        </w:rPr>
        <w:t xml:space="preserve">that a one week wind lull has the potential to significantly increase the probability of a loss of load event.  </w:t>
      </w:r>
      <w:r w:rsidR="00DE33D7" w:rsidRPr="0075566C">
        <w:rPr>
          <w:rFonts w:asciiTheme="majorHAnsi" w:eastAsia="Calibri" w:hAnsiTheme="majorHAnsi"/>
          <w:sz w:val="22"/>
          <w:lang w:bidi="ar-SA"/>
        </w:rPr>
        <w:t xml:space="preserve">The Figure </w:t>
      </w:r>
      <w:r w:rsidR="00DE33D7" w:rsidRPr="0075566C">
        <w:rPr>
          <w:rFonts w:asciiTheme="majorHAnsi" w:eastAsia="Calibri" w:hAnsiTheme="majorHAnsi"/>
          <w:sz w:val="22"/>
          <w:highlight w:val="yellow"/>
          <w:lang w:bidi="ar-SA"/>
        </w:rPr>
        <w:t>xx</w:t>
      </w:r>
      <w:r w:rsidR="00DE33D7" w:rsidRPr="0075566C">
        <w:rPr>
          <w:rFonts w:asciiTheme="majorHAnsi" w:eastAsia="Calibri" w:hAnsiTheme="majorHAnsi"/>
          <w:sz w:val="22"/>
          <w:lang w:bidi="ar-SA"/>
        </w:rPr>
        <w:t xml:space="preserve"> shows the </w:t>
      </w:r>
      <w:proofErr w:type="gramStart"/>
      <w:r w:rsidR="003A1E7C" w:rsidRPr="0075566C">
        <w:rPr>
          <w:rFonts w:asciiTheme="majorHAnsi" w:eastAsia="Calibri" w:hAnsiTheme="majorHAnsi"/>
          <w:sz w:val="22"/>
          <w:lang w:bidi="ar-SA"/>
        </w:rPr>
        <w:t>off-shore</w:t>
      </w:r>
      <w:proofErr w:type="gramEnd"/>
      <w:r w:rsidR="003A1E7C" w:rsidRPr="0075566C">
        <w:rPr>
          <w:rFonts w:asciiTheme="majorHAnsi" w:eastAsia="Calibri" w:hAnsiTheme="majorHAnsi"/>
          <w:sz w:val="22"/>
          <w:lang w:bidi="ar-SA"/>
        </w:rPr>
        <w:t xml:space="preserve"> </w:t>
      </w:r>
      <w:r w:rsidR="00DE33D7" w:rsidRPr="0075566C">
        <w:rPr>
          <w:rFonts w:asciiTheme="majorHAnsi" w:eastAsia="Calibri" w:hAnsiTheme="majorHAnsi"/>
          <w:sz w:val="22"/>
          <w:lang w:bidi="ar-SA"/>
        </w:rPr>
        <w:t>wind energy production during the simulated week.</w:t>
      </w:r>
      <w:r w:rsidR="00F96BD2" w:rsidRPr="0075566C">
        <w:rPr>
          <w:rFonts w:asciiTheme="majorHAnsi" w:eastAsia="Calibri" w:hAnsiTheme="majorHAnsi"/>
          <w:sz w:val="22"/>
          <w:lang w:bidi="ar-SA"/>
        </w:rPr>
        <w:t xml:space="preserve">  Details of these scenarios are provided in Appendix D.</w:t>
      </w:r>
    </w:p>
    <w:p w14:paraId="14218237" w14:textId="77777777" w:rsidR="003129F2" w:rsidRDefault="003129F2">
      <w:pPr>
        <w:rPr>
          <w:rFonts w:asciiTheme="majorHAnsi" w:eastAsia="Calibri" w:hAnsiTheme="majorHAnsi"/>
          <w:b/>
          <w:sz w:val="22"/>
          <w:lang w:bidi="ar-SA"/>
        </w:rPr>
      </w:pPr>
      <w:r>
        <w:rPr>
          <w:rFonts w:asciiTheme="majorHAnsi" w:eastAsia="Calibri" w:hAnsiTheme="majorHAnsi"/>
          <w:b/>
          <w:sz w:val="22"/>
          <w:lang w:bidi="ar-SA"/>
        </w:rPr>
        <w:br w:type="page"/>
      </w:r>
    </w:p>
    <w:p w14:paraId="508A4A6F" w14:textId="2110BD8E" w:rsidR="008009A0" w:rsidRPr="00B60580" w:rsidRDefault="00B60580" w:rsidP="00B635FD">
      <w:pPr>
        <w:spacing w:after="0" w:line="360" w:lineRule="auto"/>
        <w:ind w:left="0" w:firstLine="432"/>
        <w:rPr>
          <w:rFonts w:asciiTheme="majorHAnsi" w:eastAsia="Calibri" w:hAnsiTheme="majorHAnsi"/>
          <w:b/>
          <w:sz w:val="22"/>
          <w:lang w:bidi="ar-SA"/>
        </w:rPr>
      </w:pPr>
      <w:r w:rsidRPr="00B60580">
        <w:rPr>
          <w:rFonts w:asciiTheme="majorHAnsi" w:eastAsia="Calibri" w:hAnsiTheme="majorHAnsi"/>
          <w:b/>
          <w:sz w:val="22"/>
          <w:lang w:bidi="ar-SA"/>
        </w:rPr>
        <w:lastRenderedPageBreak/>
        <w:t xml:space="preserve">Table xx: </w:t>
      </w:r>
      <w:r w:rsidR="003129F2">
        <w:rPr>
          <w:rFonts w:asciiTheme="majorHAnsi" w:eastAsia="Calibri" w:hAnsiTheme="majorHAnsi"/>
          <w:b/>
          <w:sz w:val="22"/>
          <w:lang w:bidi="ar-SA"/>
        </w:rPr>
        <w:t>Off-Shore Wind</w:t>
      </w:r>
      <w:r w:rsidRPr="00B60580">
        <w:rPr>
          <w:rFonts w:asciiTheme="majorHAnsi" w:eastAsia="Calibri" w:hAnsiTheme="majorHAnsi"/>
          <w:b/>
          <w:sz w:val="22"/>
          <w:lang w:bidi="ar-SA"/>
        </w:rPr>
        <w:t xml:space="preserve"> Lull for the </w:t>
      </w:r>
      <w:r w:rsidR="003129F2">
        <w:rPr>
          <w:rFonts w:asciiTheme="majorHAnsi" w:eastAsia="Calibri" w:hAnsiTheme="majorHAnsi"/>
          <w:b/>
          <w:sz w:val="22"/>
          <w:lang w:bidi="ar-SA"/>
        </w:rPr>
        <w:t xml:space="preserve">Highest LOLE </w:t>
      </w:r>
      <w:r w:rsidRPr="00B60580">
        <w:rPr>
          <w:rFonts w:asciiTheme="majorHAnsi" w:eastAsia="Calibri" w:hAnsiTheme="majorHAnsi"/>
          <w:b/>
          <w:sz w:val="22"/>
          <w:lang w:bidi="ar-SA"/>
        </w:rPr>
        <w:t xml:space="preserve">Week </w:t>
      </w:r>
    </w:p>
    <w:p w14:paraId="56A70179" w14:textId="057301AA" w:rsidR="00E04A32" w:rsidRPr="00C17957" w:rsidRDefault="00410915" w:rsidP="00B635FD">
      <w:pPr>
        <w:spacing w:after="0" w:line="360" w:lineRule="auto"/>
        <w:ind w:left="0" w:firstLine="432"/>
        <w:rPr>
          <w:rFonts w:asciiTheme="majorHAnsi" w:eastAsia="Calibri" w:hAnsiTheme="majorHAnsi"/>
          <w:sz w:val="22"/>
          <w:lang w:bidi="ar-SA"/>
        </w:rPr>
      </w:pPr>
      <w:r w:rsidRPr="00410915">
        <w:rPr>
          <w:rFonts w:eastAsia="Calibri"/>
          <w:noProof/>
          <w:lang w:bidi="ar-SA"/>
        </w:rPr>
        <w:drawing>
          <wp:inline distT="0" distB="0" distL="0" distR="0" wp14:anchorId="620E2C12" wp14:editId="27B34A8D">
            <wp:extent cx="4732020" cy="99795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74806" cy="1006977"/>
                    </a:xfrm>
                    <a:prstGeom prst="rect">
                      <a:avLst/>
                    </a:prstGeom>
                    <a:noFill/>
                    <a:ln>
                      <a:noFill/>
                    </a:ln>
                  </pic:spPr>
                </pic:pic>
              </a:graphicData>
            </a:graphic>
          </wp:inline>
        </w:drawing>
      </w:r>
    </w:p>
    <w:p w14:paraId="25569C23" w14:textId="5C00F5E0" w:rsidR="000826CA" w:rsidRDefault="000826CA" w:rsidP="00C17957">
      <w:pPr>
        <w:spacing w:after="0" w:line="360" w:lineRule="auto"/>
        <w:ind w:left="0" w:firstLine="0"/>
        <w:rPr>
          <w:rFonts w:asciiTheme="majorHAnsi" w:eastAsia="Calibri" w:hAnsiTheme="majorHAnsi"/>
          <w:sz w:val="22"/>
          <w:lang w:bidi="ar-SA"/>
        </w:rPr>
      </w:pPr>
    </w:p>
    <w:p w14:paraId="3CA2400C" w14:textId="399D20D2" w:rsidR="00B60580" w:rsidRDefault="00DE33D7" w:rsidP="00C17957">
      <w:pPr>
        <w:spacing w:after="0" w:line="360" w:lineRule="auto"/>
        <w:ind w:left="0" w:firstLine="0"/>
        <w:rPr>
          <w:rFonts w:asciiTheme="majorHAnsi" w:eastAsia="Calibri" w:hAnsiTheme="majorHAnsi"/>
          <w:sz w:val="22"/>
          <w:lang w:bidi="ar-SA"/>
        </w:rPr>
      </w:pPr>
      <w:r w:rsidRPr="00DE33D7">
        <w:rPr>
          <w:noProof/>
          <w:lang w:bidi="ar-SA"/>
        </w:rPr>
        <mc:AlternateContent>
          <mc:Choice Requires="wps">
            <w:drawing>
              <wp:anchor distT="0" distB="0" distL="114300" distR="114300" simplePos="0" relativeHeight="251682816" behindDoc="0" locked="0" layoutInCell="1" allowOverlap="1" wp14:anchorId="5FA28CCB" wp14:editId="28FB8F4A">
                <wp:simplePos x="0" y="0"/>
                <wp:positionH relativeFrom="column">
                  <wp:posOffset>4434840</wp:posOffset>
                </wp:positionH>
                <wp:positionV relativeFrom="paragraph">
                  <wp:posOffset>990600</wp:posOffset>
                </wp:positionV>
                <wp:extent cx="883920" cy="434340"/>
                <wp:effectExtent l="0" t="0" r="11430" b="22860"/>
                <wp:wrapNone/>
                <wp:docPr id="91" name="TextBox 2">
                  <a:extLst xmlns:a="http://schemas.openxmlformats.org/drawingml/2006/main">
                    <a:ext uri="{FF2B5EF4-FFF2-40B4-BE49-F238E27FC236}">
                      <a16:creationId xmlns:a16="http://schemas.microsoft.com/office/drawing/2014/main" id="{F7C8D7D4-6A33-4BEE-83AA-F8D3DB2D2C6B}"/>
                    </a:ext>
                  </a:extLst>
                </wp:docPr>
                <wp:cNvGraphicFramePr/>
                <a:graphic xmlns:a="http://schemas.openxmlformats.org/drawingml/2006/main">
                  <a:graphicData uri="http://schemas.microsoft.com/office/word/2010/wordprocessingShape">
                    <wps:wsp>
                      <wps:cNvSpPr txBox="1"/>
                      <wps:spPr>
                        <a:xfrm>
                          <a:off x="0" y="0"/>
                          <a:ext cx="883920" cy="434340"/>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14:paraId="3099CDAD" w14:textId="77777777" w:rsidR="00933FB9" w:rsidRPr="00DE33D7" w:rsidRDefault="00933FB9" w:rsidP="00DE33D7">
                            <w:pPr>
                              <w:pStyle w:val="NormalWeb"/>
                              <w:spacing w:before="0" w:beforeAutospacing="0" w:after="0" w:afterAutospacing="0"/>
                              <w:rPr>
                                <w:sz w:val="18"/>
                                <w:szCs w:val="18"/>
                              </w:rPr>
                            </w:pPr>
                            <w:r w:rsidRPr="00DE33D7">
                              <w:rPr>
                                <w:rFonts w:asciiTheme="minorHAnsi" w:hAnsi="Calibri" w:cstheme="minorBidi"/>
                                <w:color w:val="000000" w:themeColor="dark1"/>
                                <w:sz w:val="18"/>
                                <w:szCs w:val="18"/>
                              </w:rPr>
                              <w:t xml:space="preserve">Total Energy - </w:t>
                            </w:r>
                            <w:r w:rsidRPr="00DE33D7">
                              <w:rPr>
                                <w:rFonts w:asciiTheme="minorHAnsi" w:hAnsi="Calibri" w:cstheme="minorBidi"/>
                                <w:color w:val="000000" w:themeColor="dark1"/>
                                <w:sz w:val="18"/>
                                <w:szCs w:val="18"/>
                              </w:rPr>
                              <w:br/>
                              <w:t>184,127 MWh</w:t>
                            </w:r>
                          </w:p>
                        </w:txbxContent>
                      </wps:txbx>
                      <wps:bodyPr vertOverflow="clip" horzOverflow="clip" wrap="square" rtlCol="0" anchor="t"/>
                    </wps:wsp>
                  </a:graphicData>
                </a:graphic>
                <wp14:sizeRelH relativeFrom="margin">
                  <wp14:pctWidth>0</wp14:pctWidth>
                </wp14:sizeRelH>
              </wp:anchor>
            </w:drawing>
          </mc:Choice>
          <mc:Fallback>
            <w:pict>
              <v:shape w14:anchorId="5FA28CCB" id="TextBox 2" o:spid="_x0000_s1036" type="#_x0000_t202" style="position:absolute;margin-left:349.2pt;margin-top:78pt;width:69.6pt;height:34.2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" fillcolor="white [3201]" strokecolor="#7f7f7f [1601]">
                <v:textbox>
                  <w:txbxContent>
                    <w:p w14:paraId="3099CDAD" w14:textId="77777777" w:rsidR="00933FB9" w:rsidRPr="00DE33D7" w:rsidRDefault="00933FB9" w:rsidP="00DE33D7">
                      <w:pPr>
                        <w:pStyle w:val="NormalWeb"/>
                        <w:spacing w:before="0" w:beforeAutospacing="0" w:after="0" w:afterAutospacing="0"/>
                        <w:rPr>
                          <w:sz w:val="18"/>
                          <w:szCs w:val="18"/>
                        </w:rPr>
                      </w:pPr>
                      <w:r w:rsidRPr="00DE33D7">
                        <w:rPr>
                          <w:rFonts w:asciiTheme="minorHAnsi" w:hAnsi="Calibri" w:cstheme="minorBidi"/>
                          <w:color w:val="000000" w:themeColor="dark1"/>
                          <w:sz w:val="18"/>
                          <w:szCs w:val="18"/>
                        </w:rPr>
                        <w:t xml:space="preserve">Total Energy - </w:t>
                      </w:r>
                      <w:r w:rsidRPr="00DE33D7">
                        <w:rPr>
                          <w:rFonts w:asciiTheme="minorHAnsi" w:hAnsi="Calibri" w:cstheme="minorBidi"/>
                          <w:color w:val="000000" w:themeColor="dark1"/>
                          <w:sz w:val="18"/>
                          <w:szCs w:val="18"/>
                        </w:rPr>
                        <w:br/>
                        <w:t>184,127 MWh</w:t>
                      </w:r>
                    </w:p>
                  </w:txbxContent>
                </v:textbox>
              </v:shape>
            </w:pict>
          </mc:Fallback>
        </mc:AlternateContent>
      </w:r>
      <w:r>
        <w:rPr>
          <w:rFonts w:asciiTheme="majorHAnsi" w:eastAsia="Calibri" w:hAnsiTheme="majorHAnsi"/>
          <w:noProof/>
          <w:sz w:val="22"/>
          <w:lang w:bidi="ar-SA"/>
        </w:rPr>
        <w:drawing>
          <wp:anchor distT="0" distB="0" distL="114300" distR="114300" simplePos="0" relativeHeight="251686912" behindDoc="0" locked="0" layoutInCell="1" allowOverlap="1" wp14:anchorId="7896FEFF" wp14:editId="1AB4B452">
            <wp:simplePos x="0" y="0"/>
            <wp:positionH relativeFrom="column">
              <wp:posOffset>0</wp:posOffset>
            </wp:positionH>
            <wp:positionV relativeFrom="paragraph">
              <wp:posOffset>0</wp:posOffset>
            </wp:positionV>
            <wp:extent cx="5340985" cy="2781935"/>
            <wp:effectExtent l="0" t="0" r="0" b="0"/>
            <wp:wrapTopAndBottom/>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40985" cy="2781935"/>
                    </a:xfrm>
                    <a:prstGeom prst="rect">
                      <a:avLst/>
                    </a:prstGeom>
                    <a:noFill/>
                  </pic:spPr>
                </pic:pic>
              </a:graphicData>
            </a:graphic>
          </wp:anchor>
        </w:drawing>
      </w:r>
    </w:p>
    <w:p w14:paraId="365C5030" w14:textId="458CE7E8" w:rsidR="002E0A80" w:rsidRDefault="002E0A80" w:rsidP="00C17957">
      <w:pPr>
        <w:spacing w:after="0" w:line="360" w:lineRule="auto"/>
        <w:ind w:left="0" w:firstLine="0"/>
        <w:rPr>
          <w:rFonts w:asciiTheme="majorHAnsi" w:eastAsia="Calibri" w:hAnsiTheme="majorHAnsi"/>
          <w:sz w:val="22"/>
          <w:lang w:bidi="ar-SA"/>
        </w:rPr>
      </w:pPr>
    </w:p>
    <w:p w14:paraId="7DB839AB" w14:textId="42EC114E" w:rsidR="002E0A80" w:rsidRDefault="002E0A80" w:rsidP="0075566C">
      <w:pPr>
        <w:spacing w:after="0" w:line="360" w:lineRule="auto"/>
        <w:ind w:left="0" w:firstLine="432"/>
        <w:rPr>
          <w:rFonts w:asciiTheme="majorHAnsi" w:eastAsia="Calibri" w:hAnsiTheme="majorHAnsi"/>
          <w:sz w:val="22"/>
          <w:lang w:bidi="ar-SA"/>
        </w:rPr>
      </w:pPr>
      <w:r>
        <w:rPr>
          <w:rFonts w:asciiTheme="majorHAnsi" w:eastAsia="Calibri" w:hAnsiTheme="majorHAnsi"/>
          <w:sz w:val="22"/>
          <w:lang w:bidi="ar-SA"/>
        </w:rPr>
        <w:t xml:space="preserve">Additionally, </w:t>
      </w:r>
      <w:r w:rsidR="003A1E7C">
        <w:rPr>
          <w:rFonts w:asciiTheme="majorHAnsi" w:eastAsia="Calibri" w:hAnsiTheme="majorHAnsi"/>
          <w:sz w:val="22"/>
          <w:lang w:bidi="ar-SA"/>
        </w:rPr>
        <w:t xml:space="preserve">a one-week outage </w:t>
      </w:r>
      <w:r>
        <w:rPr>
          <w:rFonts w:asciiTheme="majorHAnsi" w:eastAsia="Calibri" w:hAnsiTheme="majorHAnsi"/>
          <w:sz w:val="22"/>
          <w:lang w:bidi="ar-SA"/>
        </w:rPr>
        <w:t xml:space="preserve">of the largest </w:t>
      </w:r>
      <w:r w:rsidR="00CB3D3C">
        <w:rPr>
          <w:rFonts w:asciiTheme="majorHAnsi" w:eastAsia="Calibri" w:hAnsiTheme="majorHAnsi"/>
          <w:sz w:val="22"/>
          <w:lang w:bidi="ar-SA"/>
        </w:rPr>
        <w:t xml:space="preserve">generation </w:t>
      </w:r>
      <w:r>
        <w:rPr>
          <w:rFonts w:asciiTheme="majorHAnsi" w:eastAsia="Calibri" w:hAnsiTheme="majorHAnsi"/>
          <w:sz w:val="22"/>
          <w:lang w:bidi="ar-SA"/>
        </w:rPr>
        <w:t>source in Zone J (</w:t>
      </w:r>
      <w:r w:rsidRPr="0075566C">
        <w:rPr>
          <w:rFonts w:asciiTheme="majorHAnsi" w:eastAsia="Calibri" w:hAnsiTheme="majorHAnsi"/>
          <w:sz w:val="22"/>
          <w:lang w:bidi="ar-SA"/>
        </w:rPr>
        <w:t>i.e.</w:t>
      </w:r>
      <w:r w:rsidR="003232AA" w:rsidRPr="0075566C">
        <w:rPr>
          <w:rFonts w:asciiTheme="majorHAnsi" w:eastAsia="Calibri" w:hAnsiTheme="majorHAnsi"/>
          <w:sz w:val="22"/>
          <w:lang w:bidi="ar-SA"/>
        </w:rPr>
        <w:t>,</w:t>
      </w:r>
      <w:r>
        <w:rPr>
          <w:rFonts w:asciiTheme="majorHAnsi" w:eastAsia="Calibri" w:hAnsiTheme="majorHAnsi"/>
          <w:sz w:val="22"/>
          <w:lang w:bidi="ar-SA"/>
        </w:rPr>
        <w:t xml:space="preserve"> loss of Ravenswood 3</w:t>
      </w:r>
      <w:r w:rsidR="003D70D6">
        <w:rPr>
          <w:rFonts w:asciiTheme="majorHAnsi" w:eastAsia="Calibri" w:hAnsiTheme="majorHAnsi"/>
          <w:sz w:val="22"/>
          <w:lang w:bidi="ar-SA"/>
        </w:rPr>
        <w:t xml:space="preserve"> steam turbine generator</w:t>
      </w:r>
      <w:r>
        <w:rPr>
          <w:rFonts w:asciiTheme="majorHAnsi" w:eastAsia="Calibri" w:hAnsiTheme="majorHAnsi"/>
          <w:sz w:val="22"/>
          <w:lang w:bidi="ar-SA"/>
        </w:rPr>
        <w:t>) was simulated for the highest event week</w:t>
      </w:r>
      <w:r w:rsidR="003232AA">
        <w:rPr>
          <w:rFonts w:asciiTheme="majorHAnsi" w:eastAsia="Calibri" w:hAnsiTheme="majorHAnsi"/>
          <w:sz w:val="22"/>
          <w:lang w:bidi="ar-SA"/>
        </w:rPr>
        <w:t xml:space="preserve"> of the 70x30 “Base Load” </w:t>
      </w:r>
      <w:r w:rsidR="003A1E7C">
        <w:rPr>
          <w:rFonts w:asciiTheme="majorHAnsi" w:eastAsia="Calibri" w:hAnsiTheme="majorHAnsi"/>
          <w:sz w:val="22"/>
          <w:lang w:bidi="ar-SA"/>
        </w:rPr>
        <w:t>condition</w:t>
      </w:r>
      <w:r>
        <w:rPr>
          <w:rFonts w:asciiTheme="majorHAnsi" w:eastAsia="Calibri" w:hAnsiTheme="majorHAnsi"/>
          <w:sz w:val="22"/>
          <w:lang w:bidi="ar-SA"/>
        </w:rPr>
        <w:t xml:space="preserve">. </w:t>
      </w:r>
      <w:r w:rsidR="003232AA">
        <w:rPr>
          <w:rFonts w:asciiTheme="majorHAnsi" w:eastAsia="Calibri" w:hAnsiTheme="majorHAnsi"/>
          <w:sz w:val="22"/>
          <w:lang w:bidi="ar-SA"/>
        </w:rPr>
        <w:t xml:space="preserve"> </w:t>
      </w:r>
      <w:r w:rsidR="003A1E7C">
        <w:rPr>
          <w:rFonts w:asciiTheme="majorHAnsi" w:eastAsia="Calibri" w:hAnsiTheme="majorHAnsi"/>
          <w:sz w:val="22"/>
          <w:lang w:bidi="ar-SA"/>
        </w:rPr>
        <w:t>The results</w:t>
      </w:r>
      <w:r w:rsidR="003129F2">
        <w:rPr>
          <w:rFonts w:asciiTheme="majorHAnsi" w:eastAsia="Calibri" w:hAnsiTheme="majorHAnsi"/>
          <w:sz w:val="22"/>
          <w:lang w:bidi="ar-SA"/>
        </w:rPr>
        <w:t xml:space="preserve">, shown in Table </w:t>
      </w:r>
      <w:r w:rsidR="003129F2" w:rsidRPr="0075566C">
        <w:rPr>
          <w:rFonts w:asciiTheme="majorHAnsi" w:eastAsia="Calibri" w:hAnsiTheme="majorHAnsi"/>
          <w:sz w:val="22"/>
          <w:highlight w:val="yellow"/>
          <w:lang w:bidi="ar-SA"/>
        </w:rPr>
        <w:t>XX</w:t>
      </w:r>
      <w:r w:rsidR="003129F2">
        <w:rPr>
          <w:rFonts w:asciiTheme="majorHAnsi" w:eastAsia="Calibri" w:hAnsiTheme="majorHAnsi"/>
          <w:sz w:val="22"/>
          <w:lang w:bidi="ar-SA"/>
        </w:rPr>
        <w:t>,</w:t>
      </w:r>
      <w:r w:rsidR="003A1E7C">
        <w:rPr>
          <w:rFonts w:asciiTheme="majorHAnsi" w:eastAsia="Calibri" w:hAnsiTheme="majorHAnsi"/>
          <w:sz w:val="22"/>
          <w:lang w:bidi="ar-SA"/>
        </w:rPr>
        <w:t xml:space="preserve"> demonstrate that a </w:t>
      </w:r>
      <w:r w:rsidR="003D70D6">
        <w:rPr>
          <w:rFonts w:asciiTheme="majorHAnsi" w:eastAsia="Calibri" w:hAnsiTheme="majorHAnsi"/>
          <w:sz w:val="22"/>
          <w:lang w:bidi="ar-SA"/>
        </w:rPr>
        <w:t>one-week</w:t>
      </w:r>
      <w:r w:rsidR="003A1E7C">
        <w:rPr>
          <w:rFonts w:asciiTheme="majorHAnsi" w:eastAsia="Calibri" w:hAnsiTheme="majorHAnsi"/>
          <w:sz w:val="22"/>
          <w:lang w:bidi="ar-SA"/>
        </w:rPr>
        <w:t xml:space="preserve"> outage of approximately 6,</w:t>
      </w:r>
      <w:r w:rsidR="003D70D6">
        <w:rPr>
          <w:rFonts w:asciiTheme="majorHAnsi" w:eastAsia="Calibri" w:hAnsiTheme="majorHAnsi"/>
          <w:sz w:val="22"/>
          <w:lang w:bidi="ar-SA"/>
        </w:rPr>
        <w:t>1</w:t>
      </w:r>
      <w:r w:rsidR="003A1E7C">
        <w:rPr>
          <w:rFonts w:asciiTheme="majorHAnsi" w:eastAsia="Calibri" w:hAnsiTheme="majorHAnsi"/>
          <w:sz w:val="22"/>
          <w:lang w:bidi="ar-SA"/>
        </w:rPr>
        <w:t>00 MW of offshore wind</w:t>
      </w:r>
      <w:r w:rsidR="003D70D6">
        <w:rPr>
          <w:rFonts w:asciiTheme="majorHAnsi" w:eastAsia="Calibri" w:hAnsiTheme="majorHAnsi"/>
          <w:sz w:val="22"/>
          <w:lang w:bidi="ar-SA"/>
        </w:rPr>
        <w:t xml:space="preserve"> (4,300 MW in New York City and 1,800 MW in Long Island) could have roughly the same impact to resource adequacy as the outage of a 1,000 MW conventional generator.  </w:t>
      </w:r>
    </w:p>
    <w:p w14:paraId="417D507D" w14:textId="0712BE15" w:rsidR="000E3FF0" w:rsidRDefault="000E3FF0" w:rsidP="00C17957">
      <w:pPr>
        <w:spacing w:after="0" w:line="360" w:lineRule="auto"/>
        <w:ind w:left="0" w:firstLine="0"/>
        <w:rPr>
          <w:rFonts w:asciiTheme="majorHAnsi" w:eastAsia="Calibri" w:hAnsiTheme="majorHAnsi"/>
          <w:sz w:val="22"/>
          <w:lang w:bidi="ar-SA"/>
        </w:rPr>
      </w:pPr>
    </w:p>
    <w:p w14:paraId="2E76FFDF" w14:textId="58F7420D" w:rsidR="000E3FF0" w:rsidRDefault="00E04A32" w:rsidP="00C17957">
      <w:pPr>
        <w:spacing w:after="0" w:line="360" w:lineRule="auto"/>
        <w:ind w:left="0" w:firstLine="0"/>
        <w:rPr>
          <w:rFonts w:asciiTheme="majorHAnsi" w:eastAsia="Calibri" w:hAnsiTheme="majorHAnsi"/>
          <w:sz w:val="22"/>
          <w:lang w:bidi="ar-SA"/>
        </w:rPr>
      </w:pPr>
      <w:r w:rsidRPr="00E04A32">
        <w:rPr>
          <w:rFonts w:eastAsia="Calibri"/>
          <w:noProof/>
          <w:lang w:bidi="ar-SA"/>
        </w:rPr>
        <w:drawing>
          <wp:inline distT="0" distB="0" distL="0" distR="0" wp14:anchorId="64D21CC3" wp14:editId="291600F7">
            <wp:extent cx="4953000" cy="184563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64896" cy="1850063"/>
                    </a:xfrm>
                    <a:prstGeom prst="rect">
                      <a:avLst/>
                    </a:prstGeom>
                    <a:noFill/>
                    <a:ln>
                      <a:noFill/>
                    </a:ln>
                  </pic:spPr>
                </pic:pic>
              </a:graphicData>
            </a:graphic>
          </wp:inline>
        </w:drawing>
      </w:r>
    </w:p>
    <w:p w14:paraId="20ADE07D" w14:textId="1265DF0B" w:rsidR="003129F2" w:rsidRDefault="003129F2" w:rsidP="00C17957">
      <w:pPr>
        <w:spacing w:after="0" w:line="360" w:lineRule="auto"/>
        <w:ind w:left="0" w:firstLine="0"/>
        <w:rPr>
          <w:rFonts w:asciiTheme="majorHAnsi" w:eastAsia="Calibri" w:hAnsiTheme="majorHAnsi"/>
          <w:sz w:val="22"/>
          <w:lang w:bidi="ar-SA"/>
        </w:rPr>
      </w:pPr>
    </w:p>
    <w:p w14:paraId="1E74A381" w14:textId="77777777" w:rsidR="003129F2" w:rsidRPr="0075566C" w:rsidRDefault="003129F2" w:rsidP="0075566C">
      <w:pPr>
        <w:spacing w:after="0" w:line="360" w:lineRule="auto"/>
        <w:ind w:left="0" w:firstLine="432"/>
        <w:rPr>
          <w:rFonts w:asciiTheme="majorHAnsi" w:eastAsia="Calibri" w:hAnsiTheme="majorHAnsi"/>
        </w:rPr>
      </w:pPr>
      <w:r w:rsidRPr="0075566C">
        <w:rPr>
          <w:rFonts w:asciiTheme="majorHAnsi" w:eastAsia="Calibri" w:hAnsiTheme="majorHAnsi"/>
          <w:sz w:val="22"/>
          <w:lang w:bidi="ar-SA"/>
        </w:rPr>
        <w:t xml:space="preserve">With high penetration of renewable intermittent resources, the system will need dispatchable, long-duration resources to balance intermittent supply with demand especially during extended periods where the intermittent resources are not available. These types of resources will need to be significant in </w:t>
      </w:r>
      <w:proofErr w:type="gramStart"/>
      <w:r w:rsidRPr="0075566C">
        <w:rPr>
          <w:rFonts w:asciiTheme="majorHAnsi" w:eastAsia="Calibri" w:hAnsiTheme="majorHAnsi"/>
          <w:sz w:val="22"/>
          <w:lang w:bidi="ar-SA"/>
        </w:rPr>
        <w:t>capacity, and</w:t>
      </w:r>
      <w:proofErr w:type="gramEnd"/>
      <w:r w:rsidRPr="0075566C">
        <w:rPr>
          <w:rFonts w:asciiTheme="majorHAnsi" w:eastAsia="Calibri" w:hAnsiTheme="majorHAnsi"/>
          <w:sz w:val="22"/>
          <w:lang w:bidi="ar-SA"/>
        </w:rPr>
        <w:t xml:space="preserve"> have attributes such as the ability to come on-line quickly, stay on-line for as long as needed, maintain the system’s balance and stability, and adapt to meet rapid, steep ramping needs.  </w:t>
      </w:r>
    </w:p>
    <w:p w14:paraId="06B09ECB" w14:textId="77777777" w:rsidR="000826CA" w:rsidRPr="00CB3391" w:rsidRDefault="000826CA" w:rsidP="00CB3391">
      <w:pPr>
        <w:pStyle w:val="Heading3"/>
        <w:rPr>
          <w:rFonts w:eastAsia="Calibri"/>
        </w:rPr>
      </w:pPr>
      <w:bookmarkStart w:id="72" w:name="_Toc80032268"/>
      <w:bookmarkStart w:id="73" w:name="_Toc80191658"/>
      <w:bookmarkStart w:id="74" w:name="_Toc81138693"/>
      <w:r w:rsidRPr="00CB3391">
        <w:rPr>
          <w:rFonts w:eastAsia="Calibri"/>
        </w:rPr>
        <w:t>Storage resources</w:t>
      </w:r>
      <w:bookmarkEnd w:id="72"/>
      <w:bookmarkEnd w:id="73"/>
      <w:bookmarkEnd w:id="74"/>
    </w:p>
    <w:p w14:paraId="40C88E70" w14:textId="49B919E4" w:rsidR="000826CA" w:rsidRDefault="000826CA" w:rsidP="00B635FD">
      <w:pPr>
        <w:spacing w:after="0" w:line="360" w:lineRule="auto"/>
        <w:ind w:left="0" w:firstLine="432"/>
        <w:rPr>
          <w:rFonts w:asciiTheme="majorHAnsi" w:eastAsia="Calibri" w:hAnsiTheme="majorHAnsi"/>
          <w:sz w:val="22"/>
          <w:lang w:bidi="ar-SA"/>
        </w:rPr>
      </w:pPr>
      <w:r w:rsidRPr="00C17957">
        <w:rPr>
          <w:rFonts w:asciiTheme="majorHAnsi" w:eastAsia="Calibri" w:hAnsiTheme="majorHAnsi"/>
          <w:sz w:val="22"/>
          <w:lang w:bidi="ar-SA"/>
        </w:rPr>
        <w:t xml:space="preserve">The seasonal </w:t>
      </w:r>
      <w:r w:rsidR="003D70D6">
        <w:rPr>
          <w:rFonts w:asciiTheme="majorHAnsi" w:eastAsia="Calibri" w:hAnsiTheme="majorHAnsi"/>
          <w:sz w:val="22"/>
          <w:lang w:bidi="ar-SA"/>
        </w:rPr>
        <w:t xml:space="preserve">power </w:t>
      </w:r>
      <w:r w:rsidRPr="00C17957">
        <w:rPr>
          <w:rFonts w:asciiTheme="majorHAnsi" w:eastAsia="Calibri" w:hAnsiTheme="majorHAnsi"/>
          <w:sz w:val="22"/>
          <w:lang w:bidi="ar-SA"/>
        </w:rPr>
        <w:t xml:space="preserve">capability </w:t>
      </w:r>
      <w:r w:rsidR="00C928E5">
        <w:rPr>
          <w:rFonts w:asciiTheme="majorHAnsi" w:eastAsia="Calibri" w:hAnsiTheme="majorHAnsi"/>
          <w:sz w:val="22"/>
          <w:lang w:bidi="ar-SA"/>
        </w:rPr>
        <w:t xml:space="preserve">of suppliers </w:t>
      </w:r>
      <w:r w:rsidRPr="00C17957">
        <w:rPr>
          <w:rFonts w:asciiTheme="majorHAnsi" w:eastAsia="Calibri" w:hAnsiTheme="majorHAnsi"/>
          <w:sz w:val="22"/>
          <w:lang w:bidi="ar-SA"/>
        </w:rPr>
        <w:t xml:space="preserve">would typically be the main consideration when evaluating most generation resources for their ability to serve load and provide for reliability. However, with energy storage resources, there are two other critical aspects that need to be considered.  The first is the duration needed from the storage device. Load duration curves can provide the context for </w:t>
      </w:r>
      <w:r w:rsidR="00E222F7">
        <w:rPr>
          <w:rFonts w:asciiTheme="majorHAnsi" w:eastAsia="Calibri" w:hAnsiTheme="majorHAnsi"/>
          <w:sz w:val="22"/>
          <w:lang w:bidi="ar-SA"/>
        </w:rPr>
        <w:t xml:space="preserve">how </w:t>
      </w:r>
      <w:r w:rsidRPr="00C17957">
        <w:rPr>
          <w:rFonts w:asciiTheme="majorHAnsi" w:eastAsia="Calibri" w:hAnsiTheme="majorHAnsi"/>
          <w:sz w:val="22"/>
          <w:lang w:bidi="ar-SA"/>
        </w:rPr>
        <w:t xml:space="preserve">long a storage device may be needed for reliability. The duration of need can be a significant amount of </w:t>
      </w:r>
      <w:r w:rsidR="00C928E5">
        <w:rPr>
          <w:rFonts w:asciiTheme="majorHAnsi" w:eastAsia="Calibri" w:hAnsiTheme="majorHAnsi"/>
          <w:sz w:val="22"/>
          <w:lang w:bidi="ar-SA"/>
        </w:rPr>
        <w:t xml:space="preserve">time during </w:t>
      </w:r>
      <w:r w:rsidRPr="00C17957">
        <w:rPr>
          <w:rFonts w:asciiTheme="majorHAnsi" w:eastAsia="Calibri" w:hAnsiTheme="majorHAnsi"/>
          <w:sz w:val="22"/>
          <w:lang w:bidi="ar-SA"/>
        </w:rPr>
        <w:t xml:space="preserve">a given day. The second critical aspect involves charging the storage device. Since the “fuel” for storage is electricity from </w:t>
      </w:r>
      <w:r w:rsidR="00C928E5">
        <w:rPr>
          <w:rFonts w:asciiTheme="majorHAnsi" w:eastAsia="Calibri" w:hAnsiTheme="majorHAnsi"/>
          <w:sz w:val="22"/>
          <w:lang w:bidi="ar-SA"/>
        </w:rPr>
        <w:t xml:space="preserve">local resources and </w:t>
      </w:r>
      <w:r w:rsidRPr="00C17957">
        <w:rPr>
          <w:rFonts w:asciiTheme="majorHAnsi" w:eastAsia="Calibri" w:hAnsiTheme="majorHAnsi"/>
          <w:sz w:val="22"/>
          <w:lang w:bidi="ar-SA"/>
        </w:rPr>
        <w:t xml:space="preserve">the grid, the surplus energy in the “load pocket” where </w:t>
      </w:r>
      <w:r w:rsidR="00C928E5">
        <w:rPr>
          <w:rFonts w:asciiTheme="majorHAnsi" w:eastAsia="Calibri" w:hAnsiTheme="majorHAnsi"/>
          <w:sz w:val="22"/>
          <w:lang w:bidi="ar-SA"/>
        </w:rPr>
        <w:t>storage</w:t>
      </w:r>
      <w:r w:rsidRPr="00C17957">
        <w:rPr>
          <w:rFonts w:asciiTheme="majorHAnsi" w:eastAsia="Calibri" w:hAnsiTheme="majorHAnsi"/>
          <w:sz w:val="22"/>
          <w:lang w:bidi="ar-SA"/>
        </w:rPr>
        <w:t xml:space="preserve"> is located needs to be more than the energy that is needed from the storage device including losses. The NYISO Climate Change Phase II study noted that battery storage resources help to fill in voids created by reduced output from renewable resources, but </w:t>
      </w:r>
      <w:r w:rsidRPr="00C17957">
        <w:rPr>
          <w:rFonts w:asciiTheme="majorHAnsi" w:eastAsia="Calibri" w:hAnsiTheme="majorHAnsi"/>
          <w:i/>
          <w:sz w:val="22"/>
          <w:lang w:bidi="ar-SA"/>
        </w:rPr>
        <w:t>periods of reduced renewable generation rapidly deplete battery storage resource</w:t>
      </w:r>
      <w:r w:rsidRPr="00C17957">
        <w:rPr>
          <w:rFonts w:asciiTheme="majorHAnsi" w:eastAsia="Calibri" w:hAnsiTheme="majorHAnsi"/>
          <w:sz w:val="22"/>
          <w:lang w:bidi="ar-SA"/>
        </w:rPr>
        <w:t xml:space="preserve"> capabilities (</w:t>
      </w:r>
      <w:r w:rsidR="00FF4B67">
        <w:rPr>
          <w:rFonts w:asciiTheme="majorHAnsi" w:eastAsia="Calibri" w:hAnsiTheme="majorHAnsi"/>
          <w:sz w:val="22"/>
          <w:lang w:bidi="ar-SA"/>
        </w:rPr>
        <w:t>e</w:t>
      </w:r>
      <w:r w:rsidRPr="00C17957">
        <w:rPr>
          <w:rFonts w:asciiTheme="majorHAnsi" w:eastAsia="Calibri" w:hAnsiTheme="majorHAnsi"/>
          <w:sz w:val="22"/>
          <w:lang w:bidi="ar-SA"/>
        </w:rPr>
        <w:t>mphasis added)</w:t>
      </w:r>
      <w:r w:rsidR="00FF4B67">
        <w:rPr>
          <w:rFonts w:asciiTheme="majorHAnsi" w:eastAsia="Calibri" w:hAnsiTheme="majorHAnsi"/>
          <w:sz w:val="22"/>
          <w:lang w:bidi="ar-SA"/>
        </w:rPr>
        <w:t>.</w:t>
      </w:r>
      <w:r w:rsidRPr="00C17957">
        <w:rPr>
          <w:rFonts w:asciiTheme="majorHAnsi" w:eastAsia="Calibri" w:hAnsiTheme="majorHAnsi"/>
          <w:sz w:val="22"/>
          <w:lang w:bidi="ar-SA"/>
        </w:rPr>
        <w:t xml:space="preserve">  Additionally, the “Pathways to Carbon-Neutral NYC</w:t>
      </w:r>
      <w:r w:rsidR="00FF4B67">
        <w:rPr>
          <w:rFonts w:asciiTheme="majorHAnsi" w:eastAsia="Calibri" w:hAnsiTheme="majorHAnsi"/>
          <w:sz w:val="22"/>
          <w:lang w:bidi="ar-SA"/>
        </w:rPr>
        <w:t>,</w:t>
      </w:r>
      <w:r w:rsidRPr="00C17957">
        <w:rPr>
          <w:rFonts w:asciiTheme="majorHAnsi" w:eastAsia="Calibri" w:hAnsiTheme="majorHAnsi"/>
          <w:sz w:val="22"/>
          <w:lang w:bidi="ar-SA"/>
        </w:rPr>
        <w:t xml:space="preserve">” which </w:t>
      </w:r>
      <w:r w:rsidRPr="00C17957">
        <w:rPr>
          <w:rFonts w:asciiTheme="majorHAnsi" w:eastAsia="Calibri" w:hAnsiTheme="majorHAnsi"/>
          <w:color w:val="221E1F"/>
          <w:sz w:val="22"/>
          <w:lang w:bidi="ar-SA"/>
        </w:rPr>
        <w:t>was commissioned by the NYC Mayor’s Office of Sustainability, Con Edison, and National Grid</w:t>
      </w:r>
      <w:r w:rsidR="00FF4B67">
        <w:rPr>
          <w:rFonts w:asciiTheme="majorHAnsi" w:eastAsia="Calibri" w:hAnsiTheme="majorHAnsi"/>
          <w:color w:val="221E1F"/>
          <w:sz w:val="22"/>
          <w:lang w:bidi="ar-SA"/>
        </w:rPr>
        <w:t>,</w:t>
      </w:r>
      <w:r w:rsidRPr="00C17957">
        <w:rPr>
          <w:rFonts w:asciiTheme="majorHAnsi" w:eastAsia="Calibri" w:hAnsiTheme="majorHAnsi"/>
          <w:color w:val="221E1F"/>
          <w:sz w:val="22"/>
          <w:lang w:bidi="ar-SA"/>
        </w:rPr>
        <w:t xml:space="preserve"> </w:t>
      </w:r>
      <w:r w:rsidRPr="00C17957">
        <w:rPr>
          <w:rFonts w:asciiTheme="majorHAnsi" w:eastAsia="Calibri" w:hAnsiTheme="majorHAnsi"/>
          <w:sz w:val="22"/>
          <w:lang w:bidi="ar-SA"/>
        </w:rPr>
        <w:t xml:space="preserve">noted a stringent regulatory and siting regime </w:t>
      </w:r>
      <w:r w:rsidR="00FF4B67">
        <w:rPr>
          <w:rFonts w:asciiTheme="majorHAnsi" w:eastAsia="Calibri" w:hAnsiTheme="majorHAnsi"/>
          <w:sz w:val="22"/>
          <w:lang w:bidi="ar-SA"/>
        </w:rPr>
        <w:t xml:space="preserve">for storage </w:t>
      </w:r>
      <w:r w:rsidRPr="00C17957">
        <w:rPr>
          <w:rFonts w:asciiTheme="majorHAnsi" w:eastAsia="Calibri" w:hAnsiTheme="majorHAnsi"/>
          <w:sz w:val="22"/>
          <w:lang w:bidi="ar-SA"/>
        </w:rPr>
        <w:t xml:space="preserve">in </w:t>
      </w:r>
      <w:r w:rsidR="00FF4B67">
        <w:rPr>
          <w:rFonts w:asciiTheme="majorHAnsi" w:eastAsia="Calibri" w:hAnsiTheme="majorHAnsi"/>
          <w:sz w:val="22"/>
          <w:lang w:bidi="ar-SA"/>
        </w:rPr>
        <w:t>New York C</w:t>
      </w:r>
      <w:r w:rsidRPr="00C17957">
        <w:rPr>
          <w:rFonts w:asciiTheme="majorHAnsi" w:eastAsia="Calibri" w:hAnsiTheme="majorHAnsi"/>
          <w:sz w:val="22"/>
          <w:lang w:bidi="ar-SA"/>
        </w:rPr>
        <w:t>ity</w:t>
      </w:r>
      <w:r w:rsidR="00FF4B67">
        <w:rPr>
          <w:rFonts w:asciiTheme="majorHAnsi" w:eastAsia="Calibri" w:hAnsiTheme="majorHAnsi"/>
          <w:sz w:val="22"/>
          <w:lang w:bidi="ar-SA"/>
        </w:rPr>
        <w:t>,</w:t>
      </w:r>
      <w:r w:rsidRPr="00C17957">
        <w:rPr>
          <w:rFonts w:asciiTheme="majorHAnsi" w:eastAsia="Calibri" w:hAnsiTheme="majorHAnsi"/>
          <w:sz w:val="22"/>
          <w:lang w:bidi="ar-SA"/>
        </w:rPr>
        <w:t xml:space="preserve"> including site-based limitations and </w:t>
      </w:r>
      <w:r w:rsidR="00FF4B67">
        <w:rPr>
          <w:rFonts w:asciiTheme="majorHAnsi" w:eastAsia="Calibri" w:hAnsiTheme="majorHAnsi"/>
          <w:sz w:val="22"/>
          <w:lang w:bidi="ar-SA"/>
        </w:rPr>
        <w:t>f</w:t>
      </w:r>
      <w:r w:rsidRPr="00C17957">
        <w:rPr>
          <w:rFonts w:asciiTheme="majorHAnsi" w:eastAsia="Calibri" w:hAnsiTheme="majorHAnsi"/>
          <w:sz w:val="22"/>
          <w:lang w:bidi="ar-SA"/>
        </w:rPr>
        <w:t>ire codes regarding siting of battery storage.</w:t>
      </w:r>
      <w:r w:rsidR="00DE5719">
        <w:rPr>
          <w:rStyle w:val="FootnoteReference"/>
          <w:rFonts w:asciiTheme="majorHAnsi" w:eastAsia="Calibri" w:hAnsiTheme="majorHAnsi"/>
          <w:sz w:val="22"/>
          <w:lang w:bidi="ar-SA"/>
        </w:rPr>
        <w:footnoteReference w:id="18"/>
      </w:r>
    </w:p>
    <w:p w14:paraId="690D3D78" w14:textId="29DF263F" w:rsidR="000826CA" w:rsidRPr="00C17957" w:rsidRDefault="000826CA" w:rsidP="00C17957">
      <w:pPr>
        <w:spacing w:after="0" w:line="360" w:lineRule="auto"/>
        <w:ind w:left="0" w:firstLine="0"/>
        <w:rPr>
          <w:rFonts w:asciiTheme="majorHAnsi" w:eastAsia="Calibri" w:hAnsiTheme="majorHAnsi"/>
          <w:sz w:val="22"/>
          <w:lang w:bidi="ar-SA"/>
        </w:rPr>
      </w:pPr>
    </w:p>
    <w:p w14:paraId="3BFC1C2E" w14:textId="34692ABE" w:rsidR="000826CA" w:rsidRPr="00E5308C" w:rsidRDefault="000826CA" w:rsidP="00E5308C">
      <w:pPr>
        <w:pStyle w:val="Heading3"/>
        <w:rPr>
          <w:rFonts w:eastAsia="Calibri"/>
        </w:rPr>
      </w:pPr>
      <w:bookmarkStart w:id="75" w:name="_Toc80032269"/>
      <w:bookmarkStart w:id="76" w:name="_Toc80191659"/>
      <w:bookmarkStart w:id="77" w:name="_Toc81138694"/>
      <w:r w:rsidRPr="00E5308C">
        <w:rPr>
          <w:rFonts w:eastAsia="Calibri"/>
        </w:rPr>
        <w:t xml:space="preserve">Dispatchable </w:t>
      </w:r>
      <w:r w:rsidR="00790192" w:rsidRPr="00E5308C">
        <w:t>R</w:t>
      </w:r>
      <w:r w:rsidRPr="00E5308C">
        <w:t>esources</w:t>
      </w:r>
      <w:bookmarkEnd w:id="75"/>
      <w:bookmarkEnd w:id="76"/>
      <w:bookmarkEnd w:id="77"/>
    </w:p>
    <w:p w14:paraId="56DB8A64" w14:textId="77777777" w:rsidR="00A66A62" w:rsidRDefault="000826CA" w:rsidP="00B635FD">
      <w:pPr>
        <w:spacing w:after="0" w:line="360" w:lineRule="auto"/>
        <w:ind w:left="0" w:firstLine="432"/>
        <w:rPr>
          <w:rFonts w:asciiTheme="majorHAnsi" w:eastAsia="Calibri" w:hAnsiTheme="majorHAnsi"/>
          <w:sz w:val="22"/>
          <w:lang w:bidi="ar-SA"/>
        </w:rPr>
      </w:pPr>
      <w:r w:rsidRPr="00C17957">
        <w:rPr>
          <w:rFonts w:asciiTheme="majorHAnsi" w:eastAsia="Calibri" w:hAnsiTheme="majorHAnsi"/>
          <w:sz w:val="22"/>
          <w:lang w:bidi="ar-SA"/>
        </w:rPr>
        <w:t xml:space="preserve">Given the move to a more </w:t>
      </w:r>
      <w:proofErr w:type="gramStart"/>
      <w:r w:rsidRPr="00C17957">
        <w:rPr>
          <w:rFonts w:asciiTheme="majorHAnsi" w:eastAsia="Calibri" w:hAnsiTheme="majorHAnsi"/>
          <w:sz w:val="22"/>
          <w:lang w:bidi="ar-SA"/>
        </w:rPr>
        <w:t>intermittent</w:t>
      </w:r>
      <w:r w:rsidR="00FF4B67">
        <w:rPr>
          <w:rFonts w:asciiTheme="majorHAnsi" w:eastAsia="Calibri" w:hAnsiTheme="majorHAnsi"/>
          <w:sz w:val="22"/>
          <w:lang w:bidi="ar-SA"/>
        </w:rPr>
        <w:t>-resource</w:t>
      </w:r>
      <w:proofErr w:type="gramEnd"/>
      <w:r w:rsidRPr="00C17957">
        <w:rPr>
          <w:rFonts w:asciiTheme="majorHAnsi" w:eastAsia="Calibri" w:hAnsiTheme="majorHAnsi"/>
          <w:sz w:val="22"/>
          <w:lang w:bidi="ar-SA"/>
        </w:rPr>
        <w:t xml:space="preserve"> based system, the NYISO has performed several studies that have shown the need for significant amounts of dispatchable resources. </w:t>
      </w:r>
    </w:p>
    <w:p w14:paraId="676D0398" w14:textId="068320A2" w:rsidR="002B5259" w:rsidRDefault="000826CA" w:rsidP="00B635FD">
      <w:pPr>
        <w:spacing w:after="0" w:line="360" w:lineRule="auto"/>
        <w:ind w:left="0" w:firstLine="432"/>
        <w:rPr>
          <w:rFonts w:asciiTheme="majorHAnsi" w:eastAsia="Calibri" w:hAnsiTheme="majorHAnsi"/>
          <w:sz w:val="22"/>
          <w:lang w:bidi="ar-SA"/>
        </w:rPr>
      </w:pPr>
      <w:r w:rsidRPr="00C17957">
        <w:rPr>
          <w:rFonts w:asciiTheme="majorHAnsi" w:eastAsia="Calibri" w:hAnsiTheme="majorHAnsi"/>
          <w:sz w:val="22"/>
          <w:lang w:bidi="ar-SA"/>
        </w:rPr>
        <w:t>The 70</w:t>
      </w:r>
      <w:r w:rsidR="002B5259">
        <w:rPr>
          <w:rFonts w:asciiTheme="majorHAnsi" w:eastAsia="Calibri" w:hAnsiTheme="majorHAnsi"/>
          <w:sz w:val="22"/>
          <w:lang w:bidi="ar-SA"/>
        </w:rPr>
        <w:t xml:space="preserve"> </w:t>
      </w:r>
      <w:r w:rsidR="00A66A62">
        <w:rPr>
          <w:rFonts w:asciiTheme="majorHAnsi" w:eastAsia="Calibri" w:hAnsiTheme="majorHAnsi"/>
          <w:sz w:val="22"/>
          <w:lang w:bidi="ar-SA"/>
        </w:rPr>
        <w:t>x</w:t>
      </w:r>
      <w:r w:rsidR="00A66A62" w:rsidRPr="00C17957">
        <w:rPr>
          <w:rFonts w:asciiTheme="majorHAnsi" w:eastAsia="Calibri" w:hAnsiTheme="majorHAnsi"/>
          <w:sz w:val="22"/>
          <w:lang w:bidi="ar-SA"/>
        </w:rPr>
        <w:t xml:space="preserve"> </w:t>
      </w:r>
      <w:r w:rsidRPr="00C17957">
        <w:rPr>
          <w:rFonts w:asciiTheme="majorHAnsi" w:eastAsia="Calibri" w:hAnsiTheme="majorHAnsi"/>
          <w:sz w:val="22"/>
          <w:lang w:bidi="ar-SA"/>
        </w:rPr>
        <w:t xml:space="preserve">30 </w:t>
      </w:r>
      <w:r w:rsidR="00726C4E">
        <w:rPr>
          <w:rFonts w:asciiTheme="majorHAnsi" w:eastAsia="Calibri" w:hAnsiTheme="majorHAnsi"/>
          <w:sz w:val="22"/>
          <w:lang w:bidi="ar-SA"/>
        </w:rPr>
        <w:t xml:space="preserve">(70% renewable energy delivered to New York consumers by 2030) </w:t>
      </w:r>
      <w:r w:rsidRPr="00C17957">
        <w:rPr>
          <w:rFonts w:asciiTheme="majorHAnsi" w:eastAsia="Calibri" w:hAnsiTheme="majorHAnsi"/>
          <w:sz w:val="22"/>
          <w:lang w:bidi="ar-SA"/>
        </w:rPr>
        <w:t xml:space="preserve">scenario performed in the 2020 RNA modeled </w:t>
      </w:r>
      <w:r w:rsidR="00933C1C">
        <w:rPr>
          <w:rFonts w:asciiTheme="majorHAnsi" w:eastAsia="Calibri" w:hAnsiTheme="majorHAnsi"/>
          <w:sz w:val="22"/>
          <w:lang w:bidi="ar-SA"/>
        </w:rPr>
        <w:t>a possible</w:t>
      </w:r>
      <w:r w:rsidR="00933C1C" w:rsidRPr="00C17957">
        <w:rPr>
          <w:rFonts w:asciiTheme="majorHAnsi" w:eastAsia="Calibri" w:hAnsiTheme="majorHAnsi"/>
          <w:sz w:val="22"/>
          <w:lang w:bidi="ar-SA"/>
        </w:rPr>
        <w:t xml:space="preserve"> </w:t>
      </w:r>
      <w:r w:rsidRPr="00C17957">
        <w:rPr>
          <w:rFonts w:asciiTheme="majorHAnsi" w:eastAsia="Calibri" w:hAnsiTheme="majorHAnsi"/>
          <w:sz w:val="22"/>
          <w:lang w:bidi="ar-SA"/>
        </w:rPr>
        <w:t xml:space="preserve">renewable resource mix </w:t>
      </w:r>
      <w:r w:rsidR="00933C1C">
        <w:rPr>
          <w:rFonts w:asciiTheme="majorHAnsi" w:eastAsia="Calibri" w:hAnsiTheme="majorHAnsi"/>
          <w:sz w:val="22"/>
          <w:lang w:bidi="ar-SA"/>
        </w:rPr>
        <w:t xml:space="preserve">to meet the 70 x 30 target. </w:t>
      </w:r>
      <w:r w:rsidRPr="00C17957">
        <w:rPr>
          <w:rFonts w:asciiTheme="majorHAnsi" w:eastAsia="Calibri" w:hAnsiTheme="majorHAnsi"/>
          <w:sz w:val="22"/>
          <w:lang w:bidi="ar-SA"/>
        </w:rPr>
        <w:t xml:space="preserve">The RNA scenario then determined how much fossil resources would need to be retained in order to meet reliability criteria. The analysis showed that over 6,000 MW of </w:t>
      </w:r>
      <w:r w:rsidR="00933C1C">
        <w:rPr>
          <w:rFonts w:asciiTheme="majorHAnsi" w:eastAsia="Calibri" w:hAnsiTheme="majorHAnsi"/>
          <w:sz w:val="22"/>
          <w:lang w:bidi="ar-SA"/>
        </w:rPr>
        <w:t>conventional generation</w:t>
      </w:r>
      <w:r w:rsidRPr="00C17957">
        <w:rPr>
          <w:rFonts w:asciiTheme="majorHAnsi" w:eastAsia="Calibri" w:hAnsiTheme="majorHAnsi"/>
          <w:sz w:val="22"/>
          <w:lang w:bidi="ar-SA"/>
        </w:rPr>
        <w:t xml:space="preserve"> in </w:t>
      </w:r>
      <w:r w:rsidR="00933C1C">
        <w:rPr>
          <w:rFonts w:asciiTheme="majorHAnsi" w:eastAsia="Calibri" w:hAnsiTheme="majorHAnsi"/>
          <w:sz w:val="22"/>
          <w:lang w:bidi="ar-SA"/>
        </w:rPr>
        <w:t>New York City</w:t>
      </w:r>
      <w:r w:rsidR="00933C1C" w:rsidRPr="00C17957">
        <w:rPr>
          <w:rFonts w:asciiTheme="majorHAnsi" w:eastAsia="Calibri" w:hAnsiTheme="majorHAnsi"/>
          <w:sz w:val="22"/>
          <w:lang w:bidi="ar-SA"/>
        </w:rPr>
        <w:t xml:space="preserve"> </w:t>
      </w:r>
      <w:r w:rsidR="00933C1C">
        <w:rPr>
          <w:rFonts w:asciiTheme="majorHAnsi" w:eastAsia="Calibri" w:hAnsiTheme="majorHAnsi"/>
          <w:sz w:val="22"/>
          <w:lang w:bidi="ar-SA"/>
        </w:rPr>
        <w:t xml:space="preserve">would </w:t>
      </w:r>
      <w:r w:rsidRPr="00C17957">
        <w:rPr>
          <w:rFonts w:asciiTheme="majorHAnsi" w:eastAsia="Calibri" w:hAnsiTheme="majorHAnsi"/>
          <w:sz w:val="22"/>
          <w:lang w:bidi="ar-SA"/>
        </w:rPr>
        <w:t xml:space="preserve">need to be retained in order to maintain reliability within applicable criteria.  Also, </w:t>
      </w:r>
      <w:r w:rsidR="00933C1C">
        <w:rPr>
          <w:rFonts w:asciiTheme="majorHAnsi" w:eastAsia="Calibri" w:hAnsiTheme="majorHAnsi"/>
          <w:sz w:val="22"/>
          <w:lang w:bidi="ar-SA"/>
        </w:rPr>
        <w:t>the analysis</w:t>
      </w:r>
      <w:r w:rsidR="00933C1C" w:rsidRPr="00C17957">
        <w:rPr>
          <w:rFonts w:asciiTheme="majorHAnsi" w:eastAsia="Calibri" w:hAnsiTheme="majorHAnsi"/>
          <w:sz w:val="22"/>
          <w:lang w:bidi="ar-SA"/>
        </w:rPr>
        <w:t xml:space="preserve"> </w:t>
      </w:r>
      <w:r w:rsidRPr="00C17957">
        <w:rPr>
          <w:rFonts w:asciiTheme="majorHAnsi" w:eastAsia="Calibri" w:hAnsiTheme="majorHAnsi"/>
          <w:sz w:val="22"/>
          <w:lang w:bidi="ar-SA"/>
        </w:rPr>
        <w:t>showed over 2</w:t>
      </w:r>
      <w:r w:rsidR="00A7491B">
        <w:rPr>
          <w:rFonts w:asciiTheme="majorHAnsi" w:eastAsia="Calibri" w:hAnsiTheme="majorHAnsi"/>
          <w:sz w:val="22"/>
          <w:lang w:bidi="ar-SA"/>
        </w:rPr>
        <w:t>4</w:t>
      </w:r>
      <w:r w:rsidRPr="00C17957">
        <w:rPr>
          <w:rFonts w:asciiTheme="majorHAnsi" w:eastAsia="Calibri" w:hAnsiTheme="majorHAnsi"/>
          <w:sz w:val="22"/>
          <w:lang w:bidi="ar-SA"/>
        </w:rPr>
        <w:t xml:space="preserve">,000 MW </w:t>
      </w:r>
      <w:r w:rsidR="00933C1C">
        <w:rPr>
          <w:rFonts w:asciiTheme="majorHAnsi" w:eastAsia="Calibri" w:hAnsiTheme="majorHAnsi"/>
          <w:sz w:val="22"/>
          <w:lang w:bidi="ar-SA"/>
        </w:rPr>
        <w:t xml:space="preserve">of conventional generation would be </w:t>
      </w:r>
      <w:r w:rsidRPr="00C17957">
        <w:rPr>
          <w:rFonts w:asciiTheme="majorHAnsi" w:eastAsia="Calibri" w:hAnsiTheme="majorHAnsi"/>
          <w:sz w:val="22"/>
          <w:lang w:bidi="ar-SA"/>
        </w:rPr>
        <w:t xml:space="preserve">needed statewide. </w:t>
      </w:r>
    </w:p>
    <w:p w14:paraId="67D09EB9" w14:textId="40F051E9" w:rsidR="00884359" w:rsidRDefault="002B5259" w:rsidP="00B635FD">
      <w:pPr>
        <w:spacing w:after="0" w:line="360" w:lineRule="auto"/>
        <w:ind w:left="0" w:firstLine="432"/>
        <w:rPr>
          <w:rFonts w:asciiTheme="majorHAnsi" w:eastAsia="Calibri" w:hAnsiTheme="majorHAnsi"/>
          <w:sz w:val="22"/>
          <w:lang w:bidi="ar-SA"/>
        </w:rPr>
      </w:pPr>
      <w:r>
        <w:rPr>
          <w:rFonts w:asciiTheme="majorHAnsi" w:eastAsia="Calibri" w:hAnsiTheme="majorHAnsi"/>
          <w:sz w:val="22"/>
          <w:lang w:bidi="ar-SA"/>
        </w:rPr>
        <w:lastRenderedPageBreak/>
        <w:t xml:space="preserve">The 70 x 30 transmission security results reported in the RNA focused on steady state thermal loading of the </w:t>
      </w:r>
      <w:r w:rsidR="00933C1C">
        <w:rPr>
          <w:rFonts w:asciiTheme="majorHAnsi" w:eastAsia="Calibri" w:hAnsiTheme="majorHAnsi"/>
          <w:sz w:val="22"/>
          <w:lang w:bidi="ar-SA"/>
        </w:rPr>
        <w:t>bulk system</w:t>
      </w:r>
      <w:r w:rsidR="00884359">
        <w:rPr>
          <w:rFonts w:asciiTheme="majorHAnsi" w:eastAsia="Calibri" w:hAnsiTheme="majorHAnsi"/>
          <w:sz w:val="22"/>
          <w:lang w:bidi="ar-SA"/>
        </w:rPr>
        <w:t>.  Appendix XX provides the details of the 70 x 30 dynamics analysis.  No dynamics criteria violations were observed for the dynamics transmission security analysis</w:t>
      </w:r>
      <w:r w:rsidR="00933C1C">
        <w:rPr>
          <w:rFonts w:asciiTheme="majorHAnsi" w:eastAsia="Calibri" w:hAnsiTheme="majorHAnsi"/>
          <w:sz w:val="22"/>
          <w:lang w:bidi="ar-SA"/>
        </w:rPr>
        <w:t xml:space="preserve"> when considering the retention of conventional generation</w:t>
      </w:r>
      <w:r w:rsidR="00884359">
        <w:rPr>
          <w:rFonts w:asciiTheme="majorHAnsi" w:eastAsia="Calibri" w:hAnsiTheme="majorHAnsi"/>
          <w:sz w:val="22"/>
          <w:lang w:bidi="ar-SA"/>
        </w:rPr>
        <w:t xml:space="preserve">.  </w:t>
      </w:r>
    </w:p>
    <w:p w14:paraId="7A6D05E7" w14:textId="5E8335FA" w:rsidR="00712742" w:rsidRDefault="00712742" w:rsidP="00712742">
      <w:pPr>
        <w:pStyle w:val="BodyText"/>
      </w:pPr>
      <w:r>
        <w:t xml:space="preserve">With the planned increased to renewable energy resources on the system, there are several important considerations to evaluate in addition to traditional steady state and dynamics analysis.  It is expected that many renewable generators will </w:t>
      </w:r>
      <w:r w:rsidR="00933C1C">
        <w:t xml:space="preserve">be </w:t>
      </w:r>
      <w:r>
        <w:t>connected to the grid asynchronously through power electronic devices (</w:t>
      </w:r>
      <w:r w:rsidRPr="00E222F7">
        <w:rPr>
          <w:i/>
        </w:rPr>
        <w:t>i.e.</w:t>
      </w:r>
      <w:r w:rsidR="00E222F7" w:rsidRPr="00E222F7">
        <w:rPr>
          <w:i/>
        </w:rPr>
        <w:t>,</w:t>
      </w:r>
      <w:r>
        <w:t xml:space="preserve"> inverter-based resources).  The ability of inverter-based resources to function properly often depends on the strength of the grid at or near the interconnection of the resources.  Grid strength is a commonly used term to describe how the system responds to system changes (</w:t>
      </w:r>
      <w:r w:rsidRPr="00E222F7">
        <w:rPr>
          <w:i/>
        </w:rPr>
        <w:t>e.g.</w:t>
      </w:r>
      <w:r w:rsidR="00E222F7" w:rsidRPr="00E222F7">
        <w:rPr>
          <w:i/>
        </w:rPr>
        <w:t>,</w:t>
      </w:r>
      <w:r>
        <w:t xml:space="preserve"> changes in load, </w:t>
      </w:r>
      <w:r w:rsidR="00E222F7">
        <w:t xml:space="preserve">and </w:t>
      </w:r>
      <w:r>
        <w:t>equipment switching).  In a “strong” system, the voltage and angle are relatively insensitive to changes in current injection from the inverter-based resource.  Inverter-based resources connecting to a portion of the system rich in synchronous generation that is electrically close or relatively large is likely connecting to a strong system.  Inverter-based resources connected to a “weak” portion of the grid may be subject to instability, adverse control interactions, and other issues.</w:t>
      </w:r>
      <w:r w:rsidRPr="00E64E70">
        <w:rPr>
          <w:vertAlign w:val="superscript"/>
        </w:rPr>
        <w:footnoteReference w:id="19"/>
      </w:r>
      <w:r w:rsidRPr="00E64E70">
        <w:rPr>
          <w:vertAlign w:val="superscript"/>
        </w:rPr>
        <w:t xml:space="preserve"> </w:t>
      </w:r>
      <w:r>
        <w:t xml:space="preserve"> </w:t>
      </w:r>
    </w:p>
    <w:p w14:paraId="3A2BBFAC" w14:textId="5E142736" w:rsidR="00D229FC" w:rsidRDefault="00D229FC" w:rsidP="00D229FC">
      <w:pPr>
        <w:pStyle w:val="BodyText"/>
      </w:pPr>
      <w:r>
        <w:t xml:space="preserve">The prevailing measure of system strength is the </w:t>
      </w:r>
      <w:r w:rsidR="00933C1C">
        <w:t>s</w:t>
      </w:r>
      <w:r>
        <w:t>hort-</w:t>
      </w:r>
      <w:r w:rsidR="00933C1C">
        <w:t>c</w:t>
      </w:r>
      <w:r>
        <w:t xml:space="preserve">ircuit </w:t>
      </w:r>
      <w:r w:rsidR="00933C1C">
        <w:t>r</w:t>
      </w:r>
      <w:r>
        <w:t xml:space="preserve">atio calculation.  </w:t>
      </w:r>
      <w:r w:rsidR="00933C1C">
        <w:t xml:space="preserve">Short-circuit ratio </w:t>
      </w:r>
      <w:r>
        <w:t xml:space="preserve">is defined as the ratio of short-circuit apparent power (SCMVA) at the point of interconnection (POI) from a </w:t>
      </w:r>
      <w:r w:rsidR="00933C1C">
        <w:t>three</w:t>
      </w:r>
      <w:r>
        <w:t xml:space="preserve">-phase fault at the POI to the power rating of the resource.  A typical threshold for identifying </w:t>
      </w:r>
      <w:r w:rsidR="00933C1C">
        <w:t>weak system strength is a short-circuit ratio of</w:t>
      </w:r>
      <w:r>
        <w:t xml:space="preserve"> 3</w:t>
      </w:r>
      <w:r w:rsidR="00933C1C">
        <w:t>.0</w:t>
      </w:r>
      <w:r>
        <w:t>.</w:t>
      </w:r>
      <w:r w:rsidRPr="00E64E70">
        <w:rPr>
          <w:vertAlign w:val="superscript"/>
        </w:rPr>
        <w:footnoteReference w:id="20"/>
      </w:r>
      <w:r w:rsidRPr="00E64E70">
        <w:rPr>
          <w:vertAlign w:val="superscript"/>
        </w:rPr>
        <w:t xml:space="preserve"> </w:t>
      </w:r>
      <w:r>
        <w:t xml:space="preserve">   </w:t>
      </w:r>
      <w:r w:rsidRPr="007F4000">
        <w:rPr>
          <w:highlight w:val="yellow"/>
        </w:rPr>
        <w:t>Figure XX</w:t>
      </w:r>
      <w:r>
        <w:t xml:space="preserve"> </w:t>
      </w:r>
      <w:r w:rsidR="005D47F0">
        <w:t xml:space="preserve">highlights potential weak areas of the system </w:t>
      </w:r>
      <w:r>
        <w:t xml:space="preserve">(buses 115 kV and greater) under peak load conditions.  Additional details are provided in </w:t>
      </w:r>
      <w:r w:rsidRPr="007F4000">
        <w:rPr>
          <w:highlight w:val="yellow"/>
        </w:rPr>
        <w:t>Appendix XX</w:t>
      </w:r>
      <w:r>
        <w:t>.</w:t>
      </w:r>
    </w:p>
    <w:p w14:paraId="1A557441" w14:textId="77777777" w:rsidR="003129F2" w:rsidRDefault="003129F2">
      <w:pPr>
        <w:rPr>
          <w:rFonts w:ascii="Franklin Gothic Demi" w:hAnsi="Franklin Gothic Demi"/>
          <w:highlight w:val="yellow"/>
        </w:rPr>
      </w:pPr>
      <w:r>
        <w:rPr>
          <w:rFonts w:ascii="Franklin Gothic Demi" w:hAnsi="Franklin Gothic Demi"/>
          <w:highlight w:val="yellow"/>
        </w:rPr>
        <w:br w:type="page"/>
      </w:r>
    </w:p>
    <w:p w14:paraId="30A0DC4E" w14:textId="7026C4B6" w:rsidR="00D229FC" w:rsidRDefault="00D229FC" w:rsidP="007F4000">
      <w:pPr>
        <w:spacing w:after="0" w:line="360" w:lineRule="auto"/>
        <w:ind w:left="0" w:firstLine="432"/>
      </w:pPr>
      <w:r w:rsidRPr="000A2B46">
        <w:rPr>
          <w:rFonts w:ascii="Franklin Gothic Demi" w:hAnsi="Franklin Gothic Demi"/>
          <w:highlight w:val="yellow"/>
        </w:rPr>
        <w:lastRenderedPageBreak/>
        <w:t>Figure XX</w:t>
      </w:r>
      <w:r w:rsidRPr="00603CF4">
        <w:rPr>
          <w:rFonts w:ascii="Franklin Gothic Demi" w:hAnsi="Franklin Gothic Demi"/>
        </w:rPr>
        <w:t xml:space="preserve">:  </w:t>
      </w:r>
      <w:r w:rsidR="00933C1C">
        <w:rPr>
          <w:rFonts w:ascii="Franklin Gothic Demi" w:hAnsi="Franklin Gothic Demi"/>
        </w:rPr>
        <w:t xml:space="preserve">70x30 </w:t>
      </w:r>
      <w:r>
        <w:rPr>
          <w:rFonts w:ascii="Franklin Gothic Demi" w:hAnsi="Franklin Gothic Demi"/>
        </w:rPr>
        <w:t>Short-Circuit Ratio (Peak Load)</w:t>
      </w:r>
    </w:p>
    <w:p w14:paraId="45AD5A42" w14:textId="37F292B7" w:rsidR="00712742" w:rsidRDefault="00D229FC" w:rsidP="00B635FD">
      <w:pPr>
        <w:spacing w:after="0" w:line="360" w:lineRule="auto"/>
        <w:ind w:left="0" w:firstLine="432"/>
        <w:rPr>
          <w:rFonts w:asciiTheme="majorHAnsi" w:eastAsia="Calibri" w:hAnsiTheme="majorHAnsi"/>
          <w:sz w:val="22"/>
          <w:lang w:bidi="ar-SA"/>
        </w:rPr>
      </w:pPr>
      <w:r>
        <w:rPr>
          <w:rFonts w:asciiTheme="majorHAnsi" w:eastAsia="Calibri" w:hAnsiTheme="majorHAnsi"/>
          <w:noProof/>
          <w:sz w:val="22"/>
          <w:lang w:bidi="ar-SA"/>
        </w:rPr>
        <w:drawing>
          <wp:inline distT="0" distB="0" distL="0" distR="0" wp14:anchorId="23AE50AC" wp14:editId="2A7A7BF8">
            <wp:extent cx="4542155" cy="3749675"/>
            <wp:effectExtent l="0" t="0" r="0" b="31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42155" cy="3749675"/>
                    </a:xfrm>
                    <a:prstGeom prst="rect">
                      <a:avLst/>
                    </a:prstGeom>
                    <a:noFill/>
                  </pic:spPr>
                </pic:pic>
              </a:graphicData>
            </a:graphic>
          </wp:inline>
        </w:drawing>
      </w:r>
    </w:p>
    <w:p w14:paraId="69715093" w14:textId="3E26B9D4" w:rsidR="00712742" w:rsidRDefault="00712742" w:rsidP="00B635FD">
      <w:pPr>
        <w:spacing w:after="0" w:line="360" w:lineRule="auto"/>
        <w:ind w:left="0" w:firstLine="432"/>
        <w:rPr>
          <w:rFonts w:asciiTheme="majorHAnsi" w:eastAsia="Calibri" w:hAnsiTheme="majorHAnsi"/>
          <w:sz w:val="22"/>
          <w:lang w:bidi="ar-SA"/>
        </w:rPr>
      </w:pPr>
    </w:p>
    <w:p w14:paraId="64F5E390" w14:textId="77777777" w:rsidR="00D229FC" w:rsidRDefault="00D229FC" w:rsidP="00D229FC">
      <w:pPr>
        <w:pStyle w:val="BodyText"/>
      </w:pPr>
      <w:r>
        <w:rPr>
          <w:rFonts w:asciiTheme="majorHAnsi" w:eastAsia="Calibri" w:hAnsiTheme="majorHAnsi"/>
        </w:rPr>
        <w:t xml:space="preserve">Another measure of system strength is </w:t>
      </w:r>
      <w:r>
        <w:t>light flicker caused by the connection of large reactive devices (such as a shunt reactive device or a load).  Some NY Transmission Owners have flicker (or Delta-V) criteria.  For example, Avangrid criteria for voltage flicker is a change of 3% in bus voltage.</w:t>
      </w:r>
      <w:r w:rsidRPr="00DC1BF2">
        <w:rPr>
          <w:vertAlign w:val="superscript"/>
        </w:rPr>
        <w:footnoteReference w:id="21"/>
      </w:r>
      <w:r w:rsidRPr="00DC1BF2">
        <w:rPr>
          <w:vertAlign w:val="superscript"/>
        </w:rPr>
        <w:t xml:space="preserve"> </w:t>
      </w:r>
      <w:r>
        <w:t xml:space="preserve">  Figure XX shows the areas of the NYCA (buses 115 kV and greater) that are more susceptible to voltage flicker.  Additional details are provided in </w:t>
      </w:r>
      <w:r w:rsidRPr="00E4725F">
        <w:rPr>
          <w:highlight w:val="yellow"/>
        </w:rPr>
        <w:t>Appendix XX</w:t>
      </w:r>
      <w:r>
        <w:t>.</w:t>
      </w:r>
    </w:p>
    <w:p w14:paraId="3DDE9386" w14:textId="77777777" w:rsidR="003129F2" w:rsidRDefault="003129F2">
      <w:pPr>
        <w:rPr>
          <w:rFonts w:ascii="Franklin Gothic Demi" w:hAnsi="Franklin Gothic Demi"/>
          <w:highlight w:val="yellow"/>
        </w:rPr>
      </w:pPr>
      <w:r>
        <w:rPr>
          <w:rFonts w:ascii="Franklin Gothic Demi" w:hAnsi="Franklin Gothic Demi"/>
          <w:highlight w:val="yellow"/>
        </w:rPr>
        <w:br w:type="page"/>
      </w:r>
    </w:p>
    <w:p w14:paraId="79C01A3F" w14:textId="56B02093" w:rsidR="00D229FC" w:rsidRDefault="00D229FC" w:rsidP="007F4000">
      <w:pPr>
        <w:spacing w:after="0" w:line="360" w:lineRule="auto"/>
        <w:ind w:left="0" w:firstLine="432"/>
      </w:pPr>
      <w:r w:rsidRPr="000A2B46">
        <w:rPr>
          <w:rFonts w:ascii="Franklin Gothic Demi" w:hAnsi="Franklin Gothic Demi"/>
          <w:highlight w:val="yellow"/>
        </w:rPr>
        <w:lastRenderedPageBreak/>
        <w:t>Figure XX</w:t>
      </w:r>
      <w:r w:rsidRPr="00603CF4">
        <w:rPr>
          <w:rFonts w:ascii="Franklin Gothic Demi" w:hAnsi="Franklin Gothic Demi"/>
        </w:rPr>
        <w:t xml:space="preserve">:  </w:t>
      </w:r>
      <w:r w:rsidR="005D47F0">
        <w:rPr>
          <w:rFonts w:ascii="Franklin Gothic Demi" w:hAnsi="Franklin Gothic Demi"/>
        </w:rPr>
        <w:t xml:space="preserve">70x30 </w:t>
      </w:r>
      <w:r>
        <w:rPr>
          <w:rFonts w:ascii="Franklin Gothic Demi" w:hAnsi="Franklin Gothic Demi"/>
        </w:rPr>
        <w:t>Peak Load Voltage Flicker</w:t>
      </w:r>
    </w:p>
    <w:p w14:paraId="6EB3C205" w14:textId="63D9F34B" w:rsidR="00712742" w:rsidRDefault="00D229FC" w:rsidP="007F4000">
      <w:pPr>
        <w:spacing w:after="0" w:line="360" w:lineRule="auto"/>
        <w:ind w:left="0" w:firstLine="0"/>
        <w:rPr>
          <w:rFonts w:asciiTheme="majorHAnsi" w:eastAsia="Calibri" w:hAnsiTheme="majorHAnsi"/>
          <w:sz w:val="22"/>
          <w:lang w:bidi="ar-SA"/>
        </w:rPr>
      </w:pPr>
      <w:r>
        <w:rPr>
          <w:noProof/>
          <w:lang w:bidi="ar-SA"/>
        </w:rPr>
        <w:drawing>
          <wp:inline distT="0" distB="0" distL="0" distR="0" wp14:anchorId="3B5781C0" wp14:editId="2719861B">
            <wp:extent cx="4359275" cy="3657600"/>
            <wp:effectExtent l="0" t="0" r="317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59275" cy="3657600"/>
                    </a:xfrm>
                    <a:prstGeom prst="rect">
                      <a:avLst/>
                    </a:prstGeom>
                  </pic:spPr>
                </pic:pic>
              </a:graphicData>
            </a:graphic>
          </wp:inline>
        </w:drawing>
      </w:r>
    </w:p>
    <w:p w14:paraId="3BEB05C9" w14:textId="77777777" w:rsidR="00D229FC" w:rsidRDefault="00D229FC" w:rsidP="00B635FD">
      <w:pPr>
        <w:spacing w:after="0" w:line="360" w:lineRule="auto"/>
        <w:ind w:left="0" w:firstLine="432"/>
        <w:rPr>
          <w:rFonts w:asciiTheme="majorHAnsi" w:eastAsia="Calibri" w:hAnsiTheme="majorHAnsi"/>
          <w:sz w:val="22"/>
          <w:lang w:bidi="ar-SA"/>
        </w:rPr>
      </w:pPr>
    </w:p>
    <w:p w14:paraId="51D1E6A7" w14:textId="3BEE6A1A" w:rsidR="000826CA" w:rsidRPr="00C17957" w:rsidRDefault="000826CA" w:rsidP="005D47F0">
      <w:pPr>
        <w:spacing w:after="0" w:line="360" w:lineRule="auto"/>
        <w:ind w:left="0" w:firstLine="432"/>
        <w:rPr>
          <w:rFonts w:asciiTheme="majorHAnsi" w:eastAsia="Calibri" w:hAnsiTheme="majorHAnsi"/>
          <w:sz w:val="22"/>
          <w:lang w:bidi="ar-SA"/>
        </w:rPr>
      </w:pPr>
      <w:r w:rsidRPr="00C17957">
        <w:rPr>
          <w:rFonts w:asciiTheme="majorHAnsi" w:eastAsia="Calibri" w:hAnsiTheme="majorHAnsi"/>
          <w:sz w:val="22"/>
          <w:lang w:bidi="ar-SA"/>
        </w:rPr>
        <w:t xml:space="preserve">Moving to 2040, the CLCPA requires generation to be emission-free. The </w:t>
      </w:r>
      <w:hyperlink r:id="rId43" w:history="1">
        <w:r w:rsidRPr="00641F71">
          <w:rPr>
            <w:rStyle w:val="Hyperlink"/>
            <w:rFonts w:asciiTheme="majorHAnsi" w:eastAsia="Calibri" w:hAnsiTheme="majorHAnsi"/>
            <w:sz w:val="22"/>
            <w:lang w:bidi="ar-SA"/>
          </w:rPr>
          <w:t xml:space="preserve">Climate Change Phase II study </w:t>
        </w:r>
      </w:hyperlink>
      <w:r w:rsidRPr="00C17957">
        <w:rPr>
          <w:rFonts w:asciiTheme="majorHAnsi" w:eastAsia="Calibri" w:hAnsiTheme="majorHAnsi"/>
          <w:sz w:val="22"/>
          <w:lang w:bidi="ar-SA"/>
        </w:rPr>
        <w:t>looked at 100</w:t>
      </w:r>
      <w:r w:rsidR="00726C4E">
        <w:rPr>
          <w:rFonts w:asciiTheme="majorHAnsi" w:eastAsia="Calibri" w:hAnsiTheme="majorHAnsi"/>
          <w:sz w:val="22"/>
          <w:lang w:bidi="ar-SA"/>
        </w:rPr>
        <w:t xml:space="preserve"> by </w:t>
      </w:r>
      <w:r w:rsidRPr="00C17957">
        <w:rPr>
          <w:rFonts w:asciiTheme="majorHAnsi" w:eastAsia="Calibri" w:hAnsiTheme="majorHAnsi"/>
          <w:sz w:val="22"/>
          <w:lang w:bidi="ar-SA"/>
        </w:rPr>
        <w:t xml:space="preserve">40 </w:t>
      </w:r>
      <w:r w:rsidR="00726C4E">
        <w:rPr>
          <w:rFonts w:asciiTheme="majorHAnsi" w:eastAsia="Calibri" w:hAnsiTheme="majorHAnsi"/>
          <w:sz w:val="22"/>
          <w:lang w:bidi="ar-SA"/>
        </w:rPr>
        <w:t xml:space="preserve">(carbon free electricity to New York consumers by 2040).  It </w:t>
      </w:r>
      <w:r w:rsidRPr="00C17957">
        <w:rPr>
          <w:rFonts w:asciiTheme="majorHAnsi" w:eastAsia="Calibri" w:hAnsiTheme="majorHAnsi"/>
          <w:sz w:val="22"/>
          <w:lang w:bidi="ar-SA"/>
        </w:rPr>
        <w:t>noted the significant amount of dispatchable resources that would be needed</w:t>
      </w:r>
      <w:r w:rsidR="00726C4E">
        <w:rPr>
          <w:rFonts w:asciiTheme="majorHAnsi" w:eastAsia="Calibri" w:hAnsiTheme="majorHAnsi"/>
          <w:sz w:val="22"/>
          <w:lang w:bidi="ar-SA"/>
        </w:rPr>
        <w:t xml:space="preserve"> to meet that </w:t>
      </w:r>
      <w:proofErr w:type="gramStart"/>
      <w:r w:rsidR="00726C4E">
        <w:rPr>
          <w:rFonts w:asciiTheme="majorHAnsi" w:eastAsia="Calibri" w:hAnsiTheme="majorHAnsi"/>
          <w:sz w:val="22"/>
          <w:lang w:bidi="ar-SA"/>
        </w:rPr>
        <w:t>goal</w:t>
      </w:r>
      <w:r w:rsidRPr="00C17957">
        <w:rPr>
          <w:rFonts w:asciiTheme="majorHAnsi" w:eastAsia="Calibri" w:hAnsiTheme="majorHAnsi"/>
          <w:sz w:val="22"/>
          <w:lang w:bidi="ar-SA"/>
        </w:rPr>
        <w:t>, but</w:t>
      </w:r>
      <w:proofErr w:type="gramEnd"/>
      <w:r w:rsidRPr="00C17957">
        <w:rPr>
          <w:rFonts w:asciiTheme="majorHAnsi" w:eastAsia="Calibri" w:hAnsiTheme="majorHAnsi"/>
          <w:sz w:val="22"/>
          <w:lang w:bidi="ar-SA"/>
        </w:rPr>
        <w:t xml:space="preserve"> did not describe the technology that would be able to provide a disp</w:t>
      </w:r>
      <w:r w:rsidR="00726C4E">
        <w:rPr>
          <w:rFonts w:asciiTheme="majorHAnsi" w:eastAsia="Calibri" w:hAnsiTheme="majorHAnsi"/>
          <w:sz w:val="22"/>
          <w:lang w:bidi="ar-SA"/>
        </w:rPr>
        <w:t>a</w:t>
      </w:r>
      <w:r w:rsidRPr="00C17957">
        <w:rPr>
          <w:rFonts w:asciiTheme="majorHAnsi" w:eastAsia="Calibri" w:hAnsiTheme="majorHAnsi"/>
          <w:sz w:val="22"/>
          <w:lang w:bidi="ar-SA"/>
        </w:rPr>
        <w:t>tchable resource</w:t>
      </w:r>
      <w:r w:rsidR="00726C4E">
        <w:rPr>
          <w:rFonts w:asciiTheme="majorHAnsi" w:eastAsia="Calibri" w:hAnsiTheme="majorHAnsi"/>
          <w:sz w:val="22"/>
          <w:lang w:bidi="ar-SA"/>
        </w:rPr>
        <w:t>,</w:t>
      </w:r>
      <w:r w:rsidRPr="00C17957">
        <w:rPr>
          <w:rFonts w:asciiTheme="majorHAnsi" w:eastAsia="Calibri" w:hAnsiTheme="majorHAnsi"/>
          <w:sz w:val="22"/>
          <w:lang w:bidi="ar-SA"/>
        </w:rPr>
        <w:t xml:space="preserve"> instead choosing to </w:t>
      </w:r>
      <w:r w:rsidR="00726C4E">
        <w:rPr>
          <w:rFonts w:asciiTheme="majorHAnsi" w:eastAsia="Calibri" w:hAnsiTheme="majorHAnsi"/>
          <w:sz w:val="22"/>
          <w:lang w:bidi="ar-SA"/>
        </w:rPr>
        <w:t>refer to</w:t>
      </w:r>
      <w:r w:rsidRPr="00C17957">
        <w:rPr>
          <w:rFonts w:asciiTheme="majorHAnsi" w:eastAsia="Calibri" w:hAnsiTheme="majorHAnsi"/>
          <w:sz w:val="22"/>
          <w:lang w:bidi="ar-SA"/>
        </w:rPr>
        <w:t xml:space="preserve"> generic dispatchable, emission-free resources. Not surprisingly</w:t>
      </w:r>
      <w:r w:rsidR="00726C4E">
        <w:rPr>
          <w:rFonts w:asciiTheme="majorHAnsi" w:eastAsia="Calibri" w:hAnsiTheme="majorHAnsi"/>
          <w:sz w:val="22"/>
          <w:lang w:bidi="ar-SA"/>
        </w:rPr>
        <w:t xml:space="preserve">, </w:t>
      </w:r>
      <w:r w:rsidRPr="00C17957">
        <w:rPr>
          <w:rFonts w:asciiTheme="majorHAnsi" w:eastAsia="Calibri" w:hAnsiTheme="majorHAnsi"/>
          <w:sz w:val="22"/>
          <w:lang w:bidi="ar-SA"/>
        </w:rPr>
        <w:t>the Climate Change report found that a similar amount of dispatchable resources as the RNA case would be needed</w:t>
      </w:r>
      <w:r w:rsidR="00726C4E">
        <w:rPr>
          <w:rFonts w:asciiTheme="majorHAnsi" w:eastAsia="Calibri" w:hAnsiTheme="majorHAnsi"/>
          <w:sz w:val="22"/>
          <w:lang w:bidi="ar-SA"/>
        </w:rPr>
        <w:t xml:space="preserve"> to maintain reliability under baseline assumptions</w:t>
      </w:r>
      <w:r w:rsidRPr="00C17957">
        <w:rPr>
          <w:rFonts w:asciiTheme="majorHAnsi" w:eastAsia="Calibri" w:hAnsiTheme="majorHAnsi"/>
          <w:sz w:val="22"/>
          <w:lang w:bidi="ar-SA"/>
        </w:rPr>
        <w:t xml:space="preserve">. </w:t>
      </w:r>
      <w:r w:rsidRPr="00C17957">
        <w:rPr>
          <w:rFonts w:asciiTheme="majorHAnsi" w:eastAsia="Calibri" w:hAnsiTheme="majorHAnsi"/>
          <w:b/>
          <w:sz w:val="22"/>
          <w:lang w:bidi="ar-SA"/>
        </w:rPr>
        <w:t>However, under CLCPA assumptions, the amount of dispatchable emission-free resources needed increases to approximately 35,000 MW</w:t>
      </w:r>
      <w:r w:rsidRPr="00C17957">
        <w:rPr>
          <w:rFonts w:asciiTheme="majorHAnsi" w:eastAsia="Calibri" w:hAnsiTheme="majorHAnsi"/>
          <w:sz w:val="22"/>
          <w:lang w:bidi="ar-SA"/>
        </w:rPr>
        <w:t xml:space="preserve">. The </w:t>
      </w:r>
      <w:r w:rsidR="005D47F0">
        <w:rPr>
          <w:rFonts w:asciiTheme="majorHAnsi" w:eastAsia="Calibri" w:hAnsiTheme="majorHAnsi"/>
          <w:sz w:val="22"/>
          <w:lang w:bidi="ar-SA"/>
        </w:rPr>
        <w:t xml:space="preserve">Climate Change </w:t>
      </w:r>
      <w:r w:rsidRPr="00C17957">
        <w:rPr>
          <w:rFonts w:asciiTheme="majorHAnsi" w:eastAsia="Calibri" w:hAnsiTheme="majorHAnsi"/>
          <w:sz w:val="22"/>
          <w:lang w:bidi="ar-SA"/>
        </w:rPr>
        <w:t xml:space="preserve">Study noted that the current system is heavily dependent on existing fossil-fueled resources to maintain </w:t>
      </w:r>
      <w:proofErr w:type="gramStart"/>
      <w:r w:rsidRPr="00C17957">
        <w:rPr>
          <w:rFonts w:asciiTheme="majorHAnsi" w:eastAsia="Calibri" w:hAnsiTheme="majorHAnsi"/>
          <w:sz w:val="22"/>
          <w:lang w:bidi="ar-SA"/>
        </w:rPr>
        <w:t>reliability, and</w:t>
      </w:r>
      <w:proofErr w:type="gramEnd"/>
      <w:r w:rsidRPr="00C17957">
        <w:rPr>
          <w:rFonts w:asciiTheme="majorHAnsi" w:eastAsia="Calibri" w:hAnsiTheme="majorHAnsi"/>
          <w:sz w:val="22"/>
          <w:lang w:bidi="ar-SA"/>
        </w:rPr>
        <w:t xml:space="preserve"> eliminating these resources from the mix </w:t>
      </w:r>
      <w:r w:rsidR="00726C4E">
        <w:rPr>
          <w:rFonts w:asciiTheme="majorHAnsi" w:eastAsia="Calibri" w:hAnsiTheme="majorHAnsi"/>
          <w:sz w:val="22"/>
          <w:lang w:bidi="ar-SA"/>
        </w:rPr>
        <w:t>“</w:t>
      </w:r>
      <w:r w:rsidRPr="00C17957">
        <w:rPr>
          <w:rFonts w:asciiTheme="majorHAnsi" w:eastAsia="Calibri" w:hAnsiTheme="majorHAnsi"/>
          <w:sz w:val="22"/>
          <w:lang w:bidi="ar-SA"/>
        </w:rPr>
        <w:t xml:space="preserve">will require an </w:t>
      </w:r>
      <w:r w:rsidRPr="00C17957">
        <w:rPr>
          <w:rFonts w:asciiTheme="majorHAnsi" w:eastAsia="Calibri" w:hAnsiTheme="majorHAnsi"/>
          <w:i/>
          <w:sz w:val="22"/>
          <w:lang w:bidi="ar-SA"/>
        </w:rPr>
        <w:t xml:space="preserve">unprecedented level of investment in new </w:t>
      </w:r>
      <w:r w:rsidRPr="00C17957">
        <w:rPr>
          <w:rFonts w:asciiTheme="majorHAnsi" w:eastAsia="Calibri" w:hAnsiTheme="majorHAnsi"/>
          <w:sz w:val="22"/>
          <w:lang w:bidi="ar-SA"/>
        </w:rPr>
        <w:t>and replacement infrastructure, and/or the emergence of a zero-carbon fuel source for thermal generating resources</w:t>
      </w:r>
      <w:r w:rsidR="00726C4E">
        <w:rPr>
          <w:rFonts w:asciiTheme="majorHAnsi" w:eastAsia="Calibri" w:hAnsiTheme="majorHAnsi"/>
          <w:sz w:val="22"/>
          <w:lang w:bidi="ar-SA"/>
        </w:rPr>
        <w:t xml:space="preserve">”” </w:t>
      </w:r>
      <w:r w:rsidRPr="00C17957">
        <w:rPr>
          <w:rFonts w:asciiTheme="majorHAnsi" w:eastAsia="Calibri" w:hAnsiTheme="majorHAnsi"/>
          <w:sz w:val="22"/>
          <w:lang w:bidi="ar-SA"/>
        </w:rPr>
        <w:t>(emphasis added)</w:t>
      </w:r>
      <w:r w:rsidR="00FC7FFB">
        <w:rPr>
          <w:rStyle w:val="FootnoteReference"/>
          <w:rFonts w:asciiTheme="majorHAnsi" w:eastAsia="Calibri" w:hAnsiTheme="majorHAnsi"/>
          <w:sz w:val="22"/>
          <w:lang w:bidi="ar-SA"/>
        </w:rPr>
        <w:footnoteReference w:id="22"/>
      </w:r>
      <w:r w:rsidR="00726C4E">
        <w:rPr>
          <w:rFonts w:asciiTheme="majorHAnsi" w:eastAsia="Calibri" w:hAnsiTheme="majorHAnsi"/>
          <w:sz w:val="22"/>
          <w:lang w:bidi="ar-SA"/>
        </w:rPr>
        <w:t>.</w:t>
      </w:r>
      <w:r w:rsidRPr="00C17957">
        <w:rPr>
          <w:rFonts w:asciiTheme="majorHAnsi" w:eastAsia="Calibri" w:hAnsiTheme="majorHAnsi"/>
          <w:sz w:val="22"/>
          <w:lang w:bidi="ar-SA"/>
        </w:rPr>
        <w:t xml:space="preserve">  The Climate Change Phase II study did note that while the amount of </w:t>
      </w:r>
      <w:r w:rsidR="005D47F0">
        <w:rPr>
          <w:rFonts w:asciiTheme="majorHAnsi" w:eastAsia="Calibri" w:hAnsiTheme="majorHAnsi"/>
          <w:sz w:val="22"/>
          <w:lang w:bidi="ar-SA"/>
        </w:rPr>
        <w:t xml:space="preserve">installed capacity (MW) </w:t>
      </w:r>
      <w:r w:rsidRPr="00C17957">
        <w:rPr>
          <w:rFonts w:asciiTheme="majorHAnsi" w:eastAsia="Calibri" w:hAnsiTheme="majorHAnsi"/>
          <w:sz w:val="22"/>
          <w:lang w:bidi="ar-SA"/>
        </w:rPr>
        <w:t xml:space="preserve">of dispatchable resources is significant, the amount of </w:t>
      </w:r>
      <w:r w:rsidR="005D47F0">
        <w:rPr>
          <w:rFonts w:asciiTheme="majorHAnsi" w:eastAsia="Calibri" w:hAnsiTheme="majorHAnsi"/>
          <w:sz w:val="22"/>
          <w:lang w:bidi="ar-SA"/>
        </w:rPr>
        <w:t>energy generated (</w:t>
      </w:r>
      <w:r w:rsidRPr="00C17957">
        <w:rPr>
          <w:rFonts w:asciiTheme="majorHAnsi" w:eastAsia="Calibri" w:hAnsiTheme="majorHAnsi"/>
          <w:sz w:val="22"/>
          <w:lang w:bidi="ar-SA"/>
        </w:rPr>
        <w:t>MWh</w:t>
      </w:r>
      <w:r w:rsidR="005D47F0">
        <w:rPr>
          <w:rFonts w:asciiTheme="majorHAnsi" w:eastAsia="Calibri" w:hAnsiTheme="majorHAnsi"/>
          <w:sz w:val="22"/>
          <w:lang w:bidi="ar-SA"/>
        </w:rPr>
        <w:t>)</w:t>
      </w:r>
      <w:r w:rsidRPr="00C17957">
        <w:rPr>
          <w:rFonts w:asciiTheme="majorHAnsi" w:eastAsia="Calibri" w:hAnsiTheme="majorHAnsi"/>
          <w:sz w:val="22"/>
          <w:lang w:bidi="ar-SA"/>
        </w:rPr>
        <w:t xml:space="preserve"> </w:t>
      </w:r>
      <w:r w:rsidR="00726C4E">
        <w:rPr>
          <w:rFonts w:asciiTheme="majorHAnsi" w:eastAsia="Calibri" w:hAnsiTheme="majorHAnsi"/>
          <w:sz w:val="22"/>
          <w:lang w:bidi="ar-SA"/>
        </w:rPr>
        <w:lastRenderedPageBreak/>
        <w:t xml:space="preserve">required from such resources </w:t>
      </w:r>
      <w:r w:rsidRPr="00C17957">
        <w:rPr>
          <w:rFonts w:asciiTheme="majorHAnsi" w:eastAsia="Calibri" w:hAnsiTheme="majorHAnsi"/>
          <w:sz w:val="22"/>
          <w:lang w:bidi="ar-SA"/>
        </w:rPr>
        <w:t>would likely not be significant</w:t>
      </w:r>
      <w:r w:rsidR="00726C4E">
        <w:rPr>
          <w:rFonts w:asciiTheme="majorHAnsi" w:eastAsia="Calibri" w:hAnsiTheme="majorHAnsi"/>
          <w:sz w:val="22"/>
          <w:lang w:bidi="ar-SA"/>
        </w:rPr>
        <w:t>,</w:t>
      </w:r>
      <w:r w:rsidRPr="00C17957">
        <w:rPr>
          <w:rFonts w:asciiTheme="majorHAnsi" w:eastAsia="Calibri" w:hAnsiTheme="majorHAnsi"/>
          <w:sz w:val="22"/>
          <w:lang w:bidi="ar-SA"/>
        </w:rPr>
        <w:t xml:space="preserve"> with the percent of </w:t>
      </w:r>
      <w:r w:rsidR="00726C4E">
        <w:rPr>
          <w:rFonts w:asciiTheme="majorHAnsi" w:eastAsia="Calibri" w:hAnsiTheme="majorHAnsi"/>
          <w:sz w:val="22"/>
          <w:lang w:bidi="ar-SA"/>
        </w:rPr>
        <w:t xml:space="preserve">total </w:t>
      </w:r>
      <w:r w:rsidRPr="00C17957">
        <w:rPr>
          <w:rFonts w:asciiTheme="majorHAnsi" w:eastAsia="Calibri" w:hAnsiTheme="majorHAnsi"/>
          <w:sz w:val="22"/>
          <w:lang w:bidi="ar-SA"/>
        </w:rPr>
        <w:t xml:space="preserve">energy being in the range of 10% – 20% range depending on the penetration </w:t>
      </w:r>
      <w:r w:rsidR="00726C4E">
        <w:rPr>
          <w:rFonts w:asciiTheme="majorHAnsi" w:eastAsia="Calibri" w:hAnsiTheme="majorHAnsi"/>
          <w:sz w:val="22"/>
          <w:lang w:bidi="ar-SA"/>
        </w:rPr>
        <w:t xml:space="preserve">level </w:t>
      </w:r>
      <w:r w:rsidRPr="00C17957">
        <w:rPr>
          <w:rFonts w:asciiTheme="majorHAnsi" w:eastAsia="Calibri" w:hAnsiTheme="majorHAnsi"/>
          <w:sz w:val="22"/>
          <w:lang w:bidi="ar-SA"/>
        </w:rPr>
        <w:t>of intermittent resources.</w:t>
      </w:r>
    </w:p>
    <w:p w14:paraId="67B54C44" w14:textId="30B1DCD8" w:rsidR="000826CA" w:rsidRPr="00C17957" w:rsidRDefault="000826CA" w:rsidP="00B635FD">
      <w:pPr>
        <w:spacing w:after="0" w:line="360" w:lineRule="auto"/>
        <w:ind w:left="0" w:firstLine="432"/>
        <w:rPr>
          <w:rFonts w:asciiTheme="majorHAnsi" w:eastAsia="Calibri" w:hAnsiTheme="majorHAnsi"/>
          <w:sz w:val="22"/>
          <w:lang w:bidi="ar-SA"/>
        </w:rPr>
      </w:pPr>
      <w:r w:rsidRPr="00C17957">
        <w:rPr>
          <w:rFonts w:asciiTheme="majorHAnsi" w:eastAsia="Calibri" w:hAnsiTheme="majorHAnsi"/>
          <w:sz w:val="22"/>
          <w:lang w:bidi="ar-SA"/>
        </w:rPr>
        <w:t>The report “Pathways to Carbon-Neutral NYC</w:t>
      </w:r>
      <w:r w:rsidR="00641F71">
        <w:rPr>
          <w:rFonts w:asciiTheme="majorHAnsi" w:eastAsia="Calibri" w:hAnsiTheme="majorHAnsi"/>
          <w:sz w:val="22"/>
          <w:lang w:bidi="ar-SA"/>
        </w:rPr>
        <w:t xml:space="preserve">, </w:t>
      </w:r>
      <w:r w:rsidR="00DE5719">
        <w:rPr>
          <w:rFonts w:asciiTheme="majorHAnsi" w:eastAsia="Calibri" w:hAnsiTheme="majorHAnsi"/>
          <w:sz w:val="22"/>
          <w:lang w:bidi="ar-SA"/>
        </w:rPr>
        <w:t xml:space="preserve">issued </w:t>
      </w:r>
      <w:r w:rsidR="00641F71">
        <w:rPr>
          <w:rFonts w:asciiTheme="majorHAnsi" w:eastAsia="Calibri" w:hAnsiTheme="majorHAnsi"/>
          <w:sz w:val="22"/>
          <w:lang w:bidi="ar-SA"/>
        </w:rPr>
        <w:t>April 2021</w:t>
      </w:r>
      <w:r w:rsidR="00641F71">
        <w:rPr>
          <w:rStyle w:val="FootnoteReference"/>
          <w:rFonts w:asciiTheme="majorHAnsi" w:eastAsia="Calibri" w:hAnsiTheme="majorHAnsi"/>
          <w:sz w:val="22"/>
          <w:lang w:bidi="ar-SA"/>
        </w:rPr>
        <w:footnoteReference w:id="23"/>
      </w:r>
      <w:r w:rsidRPr="00C17957">
        <w:rPr>
          <w:rFonts w:asciiTheme="majorHAnsi" w:eastAsia="Calibri" w:hAnsiTheme="majorHAnsi"/>
          <w:sz w:val="22"/>
          <w:lang w:bidi="ar-SA"/>
        </w:rPr>
        <w:t xml:space="preserve">” stated “Both low carbon gas and battery storage can supply dispatchable electricity to the grid. </w:t>
      </w:r>
      <w:r w:rsidRPr="00C17957">
        <w:rPr>
          <w:rFonts w:asciiTheme="majorHAnsi" w:eastAsia="Calibri" w:hAnsiTheme="majorHAnsi"/>
          <w:i/>
          <w:sz w:val="22"/>
          <w:lang w:bidi="ar-SA"/>
        </w:rPr>
        <w:t>However, both technologies are untested at the scale required to deeply decarbonize the city.</w:t>
      </w:r>
      <w:r w:rsidRPr="00C17957">
        <w:rPr>
          <w:rFonts w:asciiTheme="majorHAnsi" w:eastAsia="Calibri" w:hAnsiTheme="majorHAnsi"/>
          <w:sz w:val="22"/>
          <w:lang w:bidi="ar-SA"/>
        </w:rPr>
        <w:t xml:space="preserve"> Batteries are limited by the amount of energy that they can store and how fast that energy can be discharged. Batteries also require capital to build and space to occupy. At the same time, low carbon gas availability is uncertain, and there is no policy framework to develop these resources at scale. While maintaining gas-fired electricity generation assets can avoid new capital expenditures, sources of </w:t>
      </w:r>
      <w:r w:rsidR="00E62999">
        <w:rPr>
          <w:rFonts w:asciiTheme="majorHAnsi" w:eastAsia="Calibri" w:hAnsiTheme="majorHAnsi"/>
          <w:sz w:val="22"/>
          <w:lang w:bidi="ar-SA"/>
        </w:rPr>
        <w:t xml:space="preserve">[renewable natural gas] </w:t>
      </w:r>
      <w:r w:rsidRPr="00C17957">
        <w:rPr>
          <w:rFonts w:asciiTheme="majorHAnsi" w:eastAsia="Calibri" w:hAnsiTheme="majorHAnsi"/>
          <w:sz w:val="22"/>
          <w:lang w:bidi="ar-SA"/>
        </w:rPr>
        <w:t>RNG would need to be connected to the existing pipeline gas transmission and distribution system, requiring investments. Additionally, RNG combustion still generates air pollutant emissions, which must be considered (emphasis added)</w:t>
      </w:r>
      <w:r w:rsidR="004E3CB4">
        <w:rPr>
          <w:rFonts w:asciiTheme="majorHAnsi" w:eastAsia="Calibri" w:hAnsiTheme="majorHAnsi"/>
          <w:sz w:val="22"/>
          <w:lang w:bidi="ar-SA"/>
        </w:rPr>
        <w:t>.”</w:t>
      </w:r>
    </w:p>
    <w:p w14:paraId="598AA77E" w14:textId="6410063F" w:rsidR="000826CA" w:rsidRPr="00C17957" w:rsidRDefault="000826CA" w:rsidP="00B635FD">
      <w:pPr>
        <w:spacing w:after="0" w:line="360" w:lineRule="auto"/>
        <w:ind w:left="0" w:firstLine="432"/>
        <w:rPr>
          <w:rFonts w:asciiTheme="majorHAnsi" w:eastAsia="Calibri" w:hAnsiTheme="majorHAnsi"/>
          <w:sz w:val="22"/>
          <w:lang w:bidi="ar-SA"/>
        </w:rPr>
      </w:pPr>
      <w:r w:rsidRPr="00C17957">
        <w:rPr>
          <w:rFonts w:asciiTheme="majorHAnsi" w:eastAsia="Calibri" w:hAnsiTheme="majorHAnsi"/>
          <w:sz w:val="22"/>
          <w:lang w:bidi="ar-SA"/>
        </w:rPr>
        <w:t xml:space="preserve">The NYISO </w:t>
      </w:r>
      <w:hyperlink r:id="rId44" w:history="1">
        <w:r w:rsidRPr="005E6AC4">
          <w:rPr>
            <w:rStyle w:val="Hyperlink"/>
            <w:rFonts w:asciiTheme="majorHAnsi" w:eastAsia="Calibri" w:hAnsiTheme="majorHAnsi"/>
            <w:sz w:val="22"/>
            <w:lang w:bidi="ar-SA"/>
          </w:rPr>
          <w:t>Grid in Transition</w:t>
        </w:r>
      </w:hyperlink>
      <w:r w:rsidRPr="00C17957">
        <w:rPr>
          <w:rFonts w:asciiTheme="majorHAnsi" w:eastAsia="Calibri" w:hAnsiTheme="majorHAnsi"/>
          <w:sz w:val="22"/>
          <w:lang w:bidi="ar-SA"/>
        </w:rPr>
        <w:t xml:space="preserve"> study noted that it is generally recognized today that meeting New York load with high levels of intermittent resource output, particularly solar and wind generation, will require the NYISO to have sufficient flexible, dispatchable and potentially fast ramping supply to balance variations in intermittent resource output. These variations will include not only short-term variations in output during the operating day as a result of changes in wind speed and cloud cover but also a sustained ramp up of solar output at the beginning of the day as the sun rises and a sustained ramp down of solar output at the end of the day as the sun sets.  The Climate Change Phase II study noted in the winter under the CLCPA scenario that th</w:t>
      </w:r>
      <w:r w:rsidR="00DE5719">
        <w:rPr>
          <w:rFonts w:asciiTheme="majorHAnsi" w:eastAsia="Calibri" w:hAnsiTheme="majorHAnsi"/>
          <w:sz w:val="22"/>
          <w:lang w:bidi="ar-SA"/>
        </w:rPr>
        <w:t>e</w:t>
      </w:r>
      <w:r w:rsidRPr="00C17957">
        <w:rPr>
          <w:rFonts w:asciiTheme="majorHAnsi" w:eastAsia="Calibri" w:hAnsiTheme="majorHAnsi"/>
          <w:sz w:val="22"/>
          <w:lang w:bidi="ar-SA"/>
        </w:rPr>
        <w:t xml:space="preserve"> </w:t>
      </w:r>
      <w:r w:rsidR="00DE5719">
        <w:rPr>
          <w:rFonts w:asciiTheme="majorHAnsi" w:eastAsia="Calibri" w:hAnsiTheme="majorHAnsi"/>
          <w:sz w:val="22"/>
          <w:lang w:bidi="ar-SA"/>
        </w:rPr>
        <w:t>one</w:t>
      </w:r>
      <w:r w:rsidRPr="00C17957">
        <w:rPr>
          <w:rFonts w:asciiTheme="majorHAnsi" w:eastAsia="Calibri" w:hAnsiTheme="majorHAnsi"/>
          <w:sz w:val="22"/>
          <w:lang w:bidi="ar-SA"/>
        </w:rPr>
        <w:t xml:space="preserve">-hour ramp requirements could be over 10,000 MW and a </w:t>
      </w:r>
      <w:r w:rsidR="00DE5719">
        <w:rPr>
          <w:rFonts w:asciiTheme="majorHAnsi" w:eastAsia="Calibri" w:hAnsiTheme="majorHAnsi"/>
          <w:sz w:val="22"/>
          <w:lang w:bidi="ar-SA"/>
        </w:rPr>
        <w:t>six</w:t>
      </w:r>
      <w:r w:rsidRPr="00C17957">
        <w:rPr>
          <w:rFonts w:asciiTheme="majorHAnsi" w:eastAsia="Calibri" w:hAnsiTheme="majorHAnsi"/>
          <w:sz w:val="22"/>
          <w:lang w:bidi="ar-SA"/>
        </w:rPr>
        <w:t xml:space="preserve">-hour ramp of over 25,000 MW, as noted in the graph below. </w:t>
      </w:r>
    </w:p>
    <w:p w14:paraId="24D3B730" w14:textId="77777777" w:rsidR="003129F2" w:rsidRDefault="003129F2">
      <w:pPr>
        <w:rPr>
          <w:rFonts w:asciiTheme="majorHAnsi" w:eastAsia="Calibri" w:hAnsiTheme="majorHAnsi" w:cs="+mn-cs"/>
          <w:color w:val="000000"/>
          <w:kern w:val="24"/>
          <w:sz w:val="22"/>
          <w:lang w:bidi="ar-SA"/>
        </w:rPr>
      </w:pPr>
      <w:r>
        <w:rPr>
          <w:rFonts w:asciiTheme="majorHAnsi" w:eastAsia="Calibri" w:hAnsiTheme="majorHAnsi" w:cs="+mn-cs"/>
          <w:color w:val="000000"/>
          <w:kern w:val="24"/>
          <w:sz w:val="22"/>
          <w:lang w:bidi="ar-SA"/>
        </w:rPr>
        <w:br w:type="page"/>
      </w:r>
    </w:p>
    <w:p w14:paraId="7A7BA556" w14:textId="322732C6" w:rsidR="000826CA" w:rsidRPr="00C17957" w:rsidRDefault="000826CA" w:rsidP="00C17957">
      <w:pPr>
        <w:spacing w:after="0" w:line="360" w:lineRule="auto"/>
        <w:ind w:left="0" w:firstLine="0"/>
        <w:jc w:val="center"/>
        <w:rPr>
          <w:rFonts w:asciiTheme="majorHAnsi" w:eastAsia="Calibri" w:hAnsiTheme="majorHAnsi"/>
          <w:sz w:val="22"/>
          <w:lang w:bidi="ar-SA"/>
        </w:rPr>
      </w:pPr>
      <w:r w:rsidRPr="00C17957">
        <w:rPr>
          <w:rFonts w:asciiTheme="majorHAnsi" w:eastAsia="Calibri" w:hAnsiTheme="majorHAnsi" w:cs="+mn-cs"/>
          <w:color w:val="000000"/>
          <w:kern w:val="24"/>
          <w:sz w:val="22"/>
          <w:lang w:bidi="ar-SA"/>
        </w:rPr>
        <w:lastRenderedPageBreak/>
        <w:t>Maximum Hourly Ramping Requirement</w:t>
      </w:r>
      <w:r w:rsidRPr="00C17957">
        <w:rPr>
          <w:rFonts w:asciiTheme="majorHAnsi" w:eastAsia="Calibri" w:hAnsiTheme="majorHAnsi" w:cs="+mn-cs"/>
          <w:color w:val="000000"/>
          <w:kern w:val="24"/>
          <w:sz w:val="22"/>
          <w:lang w:bidi="ar-SA"/>
        </w:rPr>
        <w:br/>
        <w:t>Winter CLCPA Load Scenario, Baseline Case</w:t>
      </w:r>
    </w:p>
    <w:p w14:paraId="7482D497" w14:textId="77777777" w:rsidR="000826CA" w:rsidRPr="00C17957" w:rsidRDefault="000826CA" w:rsidP="00C17957">
      <w:pPr>
        <w:spacing w:after="0" w:line="360" w:lineRule="auto"/>
        <w:ind w:left="0" w:firstLine="0"/>
        <w:rPr>
          <w:rFonts w:asciiTheme="majorHAnsi" w:eastAsia="Calibri" w:hAnsiTheme="majorHAnsi"/>
          <w:sz w:val="22"/>
          <w:lang w:bidi="ar-SA"/>
        </w:rPr>
      </w:pPr>
      <w:r w:rsidRPr="00C17957">
        <w:rPr>
          <w:rFonts w:asciiTheme="majorHAnsi" w:eastAsia="Calibri" w:hAnsiTheme="majorHAnsi"/>
          <w:noProof/>
          <w:sz w:val="22"/>
          <w:lang w:bidi="ar-SA"/>
        </w:rPr>
        <w:drawing>
          <wp:inline distT="0" distB="0" distL="0" distR="0" wp14:anchorId="77CA4861" wp14:editId="26479A11">
            <wp:extent cx="5575300" cy="4045236"/>
            <wp:effectExtent l="0" t="0" r="6350"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5"/>
                    <a:stretch>
                      <a:fillRect/>
                    </a:stretch>
                  </pic:blipFill>
                  <pic:spPr>
                    <a:xfrm>
                      <a:off x="0" y="0"/>
                      <a:ext cx="5581487" cy="4049725"/>
                    </a:xfrm>
                    <a:prstGeom prst="rect">
                      <a:avLst/>
                    </a:prstGeom>
                  </pic:spPr>
                </pic:pic>
              </a:graphicData>
            </a:graphic>
          </wp:inline>
        </w:drawing>
      </w:r>
    </w:p>
    <w:p w14:paraId="58B20699" w14:textId="391604E5" w:rsidR="000826CA" w:rsidRPr="00C17957" w:rsidRDefault="000826CA" w:rsidP="00B635FD">
      <w:pPr>
        <w:spacing w:after="0" w:line="360" w:lineRule="auto"/>
        <w:ind w:left="0" w:firstLine="432"/>
        <w:rPr>
          <w:rFonts w:asciiTheme="majorHAnsi" w:eastAsia="Calibri" w:hAnsiTheme="majorHAnsi"/>
          <w:sz w:val="22"/>
          <w:lang w:bidi="ar-SA"/>
        </w:rPr>
      </w:pPr>
      <w:r w:rsidRPr="00C17957">
        <w:rPr>
          <w:rFonts w:asciiTheme="majorHAnsi" w:eastAsia="Calibri" w:hAnsiTheme="majorHAnsi"/>
          <w:sz w:val="22"/>
          <w:lang w:bidi="ar-SA"/>
        </w:rPr>
        <w:t xml:space="preserve">One last </w:t>
      </w:r>
      <w:r w:rsidR="00A20A49">
        <w:rPr>
          <w:rFonts w:asciiTheme="majorHAnsi" w:eastAsia="Calibri" w:hAnsiTheme="majorHAnsi"/>
          <w:sz w:val="22"/>
          <w:lang w:bidi="ar-SA"/>
        </w:rPr>
        <w:t>point</w:t>
      </w:r>
      <w:r w:rsidR="00A20A49" w:rsidRPr="00C17957">
        <w:rPr>
          <w:rFonts w:asciiTheme="majorHAnsi" w:eastAsia="Calibri" w:hAnsiTheme="majorHAnsi"/>
          <w:sz w:val="22"/>
          <w:lang w:bidi="ar-SA"/>
        </w:rPr>
        <w:t xml:space="preserve"> </w:t>
      </w:r>
      <w:r w:rsidR="00A20A49">
        <w:rPr>
          <w:rFonts w:asciiTheme="majorHAnsi" w:eastAsia="Calibri" w:hAnsiTheme="majorHAnsi"/>
          <w:sz w:val="22"/>
          <w:lang w:bidi="ar-SA"/>
        </w:rPr>
        <w:t>bears noting:  W</w:t>
      </w:r>
      <w:r w:rsidRPr="00C17957">
        <w:rPr>
          <w:rFonts w:asciiTheme="majorHAnsi" w:eastAsia="Calibri" w:hAnsiTheme="majorHAnsi"/>
          <w:sz w:val="22"/>
          <w:lang w:bidi="ar-SA"/>
        </w:rPr>
        <w:t xml:space="preserve">hile there are hundreds of projects </w:t>
      </w:r>
      <w:r w:rsidR="005F31B9">
        <w:rPr>
          <w:rFonts w:asciiTheme="majorHAnsi" w:eastAsia="Calibri" w:hAnsiTheme="majorHAnsi"/>
          <w:sz w:val="22"/>
          <w:lang w:bidi="ar-SA"/>
        </w:rPr>
        <w:t>i</w:t>
      </w:r>
      <w:r w:rsidRPr="00C17957">
        <w:rPr>
          <w:rFonts w:asciiTheme="majorHAnsi" w:eastAsia="Calibri" w:hAnsiTheme="majorHAnsi"/>
          <w:sz w:val="22"/>
          <w:lang w:bidi="ar-SA"/>
        </w:rPr>
        <w:t xml:space="preserve">n the NYISO interconnection queue, there are none that would be </w:t>
      </w:r>
      <w:r w:rsidR="00991888">
        <w:rPr>
          <w:rFonts w:asciiTheme="majorHAnsi" w:eastAsia="Calibri" w:hAnsiTheme="majorHAnsi"/>
          <w:sz w:val="22"/>
          <w:lang w:bidi="ar-SA"/>
        </w:rPr>
        <w:t>cap</w:t>
      </w:r>
      <w:r w:rsidRPr="00C17957">
        <w:rPr>
          <w:rFonts w:asciiTheme="majorHAnsi" w:eastAsia="Calibri" w:hAnsiTheme="majorHAnsi"/>
          <w:sz w:val="22"/>
          <w:lang w:bidi="ar-SA"/>
        </w:rPr>
        <w:t xml:space="preserve">able </w:t>
      </w:r>
      <w:r w:rsidR="00991888">
        <w:rPr>
          <w:rFonts w:asciiTheme="majorHAnsi" w:eastAsia="Calibri" w:hAnsiTheme="majorHAnsi"/>
          <w:sz w:val="22"/>
          <w:lang w:bidi="ar-SA"/>
        </w:rPr>
        <w:t>of</w:t>
      </w:r>
      <w:r w:rsidRPr="00C17957">
        <w:rPr>
          <w:rFonts w:asciiTheme="majorHAnsi" w:eastAsia="Calibri" w:hAnsiTheme="majorHAnsi"/>
          <w:sz w:val="22"/>
          <w:lang w:bidi="ar-SA"/>
        </w:rPr>
        <w:t xml:space="preserve"> provid</w:t>
      </w:r>
      <w:r w:rsidR="00991888">
        <w:rPr>
          <w:rFonts w:asciiTheme="majorHAnsi" w:eastAsia="Calibri" w:hAnsiTheme="majorHAnsi"/>
          <w:sz w:val="22"/>
          <w:lang w:bidi="ar-SA"/>
        </w:rPr>
        <w:t>ing</w:t>
      </w:r>
      <w:r w:rsidRPr="00C17957">
        <w:rPr>
          <w:rFonts w:asciiTheme="majorHAnsi" w:eastAsia="Calibri" w:hAnsiTheme="majorHAnsi"/>
          <w:sz w:val="22"/>
          <w:lang w:bidi="ar-SA"/>
        </w:rPr>
        <w:t xml:space="preserve"> emission-free, dispatchable resources that could </w:t>
      </w:r>
      <w:r w:rsidR="005F31B9">
        <w:rPr>
          <w:rFonts w:asciiTheme="majorHAnsi" w:eastAsia="Calibri" w:hAnsiTheme="majorHAnsi"/>
          <w:sz w:val="22"/>
          <w:lang w:bidi="ar-SA"/>
        </w:rPr>
        <w:t>perform</w:t>
      </w:r>
      <w:r w:rsidRPr="00C17957">
        <w:rPr>
          <w:rFonts w:asciiTheme="majorHAnsi" w:eastAsia="Calibri" w:hAnsiTheme="majorHAnsi"/>
          <w:sz w:val="22"/>
          <w:lang w:bidi="ar-SA"/>
        </w:rPr>
        <w:t xml:space="preserve"> on a multi-day period</w:t>
      </w:r>
      <w:r w:rsidR="00991888">
        <w:rPr>
          <w:rFonts w:asciiTheme="majorHAnsi" w:eastAsia="Calibri" w:hAnsiTheme="majorHAnsi"/>
          <w:sz w:val="22"/>
          <w:lang w:bidi="ar-SA"/>
        </w:rPr>
        <w:t xml:space="preserve"> to maintain bulk power system reliability</w:t>
      </w:r>
      <w:r w:rsidRPr="00C17957">
        <w:rPr>
          <w:rFonts w:asciiTheme="majorHAnsi" w:eastAsia="Calibri" w:hAnsiTheme="majorHAnsi"/>
          <w:sz w:val="22"/>
          <w:lang w:bidi="ar-SA"/>
        </w:rPr>
        <w:t>.</w:t>
      </w:r>
      <w:r w:rsidR="00DE5719">
        <w:rPr>
          <w:rFonts w:asciiTheme="majorHAnsi" w:eastAsia="Calibri" w:hAnsiTheme="majorHAnsi"/>
          <w:sz w:val="22"/>
          <w:lang w:bidi="ar-SA"/>
        </w:rPr>
        <w:t xml:space="preserve">  Such resources are not yet </w:t>
      </w:r>
      <w:r w:rsidR="005D47F0">
        <w:rPr>
          <w:rFonts w:asciiTheme="majorHAnsi" w:eastAsia="Calibri" w:hAnsiTheme="majorHAnsi"/>
          <w:sz w:val="22"/>
          <w:lang w:bidi="ar-SA"/>
        </w:rPr>
        <w:t xml:space="preserve">widely </w:t>
      </w:r>
      <w:r w:rsidR="00DE5719">
        <w:rPr>
          <w:rFonts w:asciiTheme="majorHAnsi" w:eastAsia="Calibri" w:hAnsiTheme="majorHAnsi"/>
          <w:sz w:val="22"/>
          <w:lang w:bidi="ar-SA"/>
        </w:rPr>
        <w:t>commercially available.</w:t>
      </w:r>
    </w:p>
    <w:p w14:paraId="40B407EE" w14:textId="77777777" w:rsidR="000826CA" w:rsidRPr="00C17957" w:rsidRDefault="000826CA" w:rsidP="00C17957">
      <w:pPr>
        <w:spacing w:after="0" w:line="360" w:lineRule="auto"/>
        <w:ind w:left="0" w:firstLine="0"/>
        <w:rPr>
          <w:rFonts w:asciiTheme="majorHAnsi" w:eastAsia="Calibri" w:hAnsiTheme="majorHAnsi"/>
          <w:sz w:val="22"/>
          <w:lang w:bidi="ar-SA"/>
        </w:rPr>
      </w:pPr>
    </w:p>
    <w:p w14:paraId="55A101F6" w14:textId="7F9CD91E" w:rsidR="000826CA" w:rsidRPr="00C17957" w:rsidRDefault="000826CA" w:rsidP="00C17957">
      <w:pPr>
        <w:spacing w:after="0" w:line="360" w:lineRule="auto"/>
        <w:ind w:left="0" w:firstLine="0"/>
        <w:rPr>
          <w:rFonts w:asciiTheme="majorHAnsi" w:eastAsia="Calibri" w:hAnsiTheme="majorHAnsi"/>
          <w:b/>
          <w:i/>
          <w:sz w:val="22"/>
          <w:lang w:bidi="ar-SA"/>
        </w:rPr>
      </w:pPr>
      <w:r w:rsidRPr="00C17957">
        <w:rPr>
          <w:rFonts w:asciiTheme="majorHAnsi" w:eastAsia="Calibri" w:hAnsiTheme="majorHAnsi"/>
          <w:b/>
          <w:i/>
          <w:sz w:val="22"/>
          <w:lang w:bidi="ar-SA"/>
        </w:rPr>
        <w:t>Key takeaways</w:t>
      </w:r>
    </w:p>
    <w:p w14:paraId="1CD525AB" w14:textId="0E1B20FD" w:rsidR="000826CA" w:rsidRPr="00C17957" w:rsidRDefault="000826CA" w:rsidP="007F4000">
      <w:pPr>
        <w:numPr>
          <w:ilvl w:val="0"/>
          <w:numId w:val="23"/>
        </w:numPr>
        <w:spacing w:after="0" w:line="360" w:lineRule="auto"/>
        <w:contextualSpacing/>
        <w:rPr>
          <w:rFonts w:asciiTheme="majorHAnsi" w:eastAsia="Calibri" w:hAnsiTheme="majorHAnsi"/>
          <w:i/>
          <w:sz w:val="22"/>
          <w:lang w:bidi="ar-SA"/>
        </w:rPr>
      </w:pPr>
      <w:r w:rsidRPr="00C17957">
        <w:rPr>
          <w:rFonts w:asciiTheme="majorHAnsi" w:eastAsia="Calibri" w:hAnsiTheme="majorHAnsi"/>
          <w:i/>
          <w:sz w:val="22"/>
          <w:lang w:bidi="ar-SA"/>
        </w:rPr>
        <w:t>A system with significant amounts of intermittent resources will need significant amounts of dispatchable resources that can run for multiple day periods</w:t>
      </w:r>
      <w:r w:rsidR="00991888">
        <w:rPr>
          <w:rFonts w:asciiTheme="majorHAnsi" w:eastAsia="Calibri" w:hAnsiTheme="majorHAnsi"/>
          <w:i/>
          <w:sz w:val="22"/>
          <w:lang w:bidi="ar-SA"/>
        </w:rPr>
        <w:t>.</w:t>
      </w:r>
    </w:p>
    <w:p w14:paraId="3812C8CB" w14:textId="211A89A9" w:rsidR="000826CA" w:rsidRPr="00C17957" w:rsidRDefault="000826CA" w:rsidP="007F4000">
      <w:pPr>
        <w:numPr>
          <w:ilvl w:val="0"/>
          <w:numId w:val="23"/>
        </w:numPr>
        <w:spacing w:after="0" w:line="360" w:lineRule="auto"/>
        <w:contextualSpacing/>
        <w:rPr>
          <w:rFonts w:asciiTheme="majorHAnsi" w:eastAsia="Calibri" w:hAnsiTheme="majorHAnsi"/>
          <w:i/>
          <w:sz w:val="22"/>
          <w:lang w:bidi="ar-SA"/>
        </w:rPr>
      </w:pPr>
      <w:r w:rsidRPr="00C17957">
        <w:rPr>
          <w:rFonts w:asciiTheme="majorHAnsi" w:eastAsia="Calibri" w:hAnsiTheme="majorHAnsi"/>
          <w:i/>
          <w:sz w:val="22"/>
          <w:lang w:bidi="ar-SA"/>
        </w:rPr>
        <w:t>Due to the characteristics of sun and wind resources, there will be high ramping requirements needed from the dispatchable resources</w:t>
      </w:r>
      <w:r w:rsidR="00991888">
        <w:rPr>
          <w:rFonts w:asciiTheme="majorHAnsi" w:eastAsia="Calibri" w:hAnsiTheme="majorHAnsi"/>
          <w:i/>
          <w:sz w:val="22"/>
          <w:lang w:bidi="ar-SA"/>
        </w:rPr>
        <w:t>.</w:t>
      </w:r>
      <w:r w:rsidRPr="00C17957">
        <w:rPr>
          <w:rFonts w:asciiTheme="majorHAnsi" w:eastAsia="Calibri" w:hAnsiTheme="majorHAnsi"/>
          <w:i/>
          <w:sz w:val="22"/>
          <w:lang w:bidi="ar-SA"/>
        </w:rPr>
        <w:t xml:space="preserve"> </w:t>
      </w:r>
    </w:p>
    <w:p w14:paraId="43ADEC03" w14:textId="7EC31212" w:rsidR="000826CA" w:rsidRPr="00C17957" w:rsidRDefault="000826CA" w:rsidP="007F4000">
      <w:pPr>
        <w:numPr>
          <w:ilvl w:val="0"/>
          <w:numId w:val="23"/>
        </w:numPr>
        <w:spacing w:after="0" w:line="360" w:lineRule="auto"/>
        <w:contextualSpacing/>
        <w:rPr>
          <w:rFonts w:asciiTheme="majorHAnsi" w:eastAsia="Calibri" w:hAnsiTheme="majorHAnsi"/>
          <w:i/>
          <w:sz w:val="22"/>
          <w:lang w:bidi="ar-SA"/>
        </w:rPr>
      </w:pPr>
      <w:r w:rsidRPr="00C17957">
        <w:rPr>
          <w:rFonts w:asciiTheme="majorHAnsi" w:eastAsia="Calibri" w:hAnsiTheme="majorHAnsi"/>
          <w:i/>
          <w:sz w:val="22"/>
          <w:lang w:bidi="ar-SA"/>
        </w:rPr>
        <w:t>A 100</w:t>
      </w:r>
      <w:r w:rsidR="005F31B9">
        <w:rPr>
          <w:rFonts w:asciiTheme="majorHAnsi" w:eastAsia="Calibri" w:hAnsiTheme="majorHAnsi"/>
          <w:i/>
          <w:sz w:val="22"/>
          <w:lang w:bidi="ar-SA"/>
        </w:rPr>
        <w:t xml:space="preserve"> </w:t>
      </w:r>
      <w:r w:rsidRPr="00C17957">
        <w:rPr>
          <w:rFonts w:asciiTheme="majorHAnsi" w:eastAsia="Calibri" w:hAnsiTheme="majorHAnsi"/>
          <w:i/>
          <w:sz w:val="22"/>
          <w:lang w:bidi="ar-SA"/>
        </w:rPr>
        <w:t>x</w:t>
      </w:r>
      <w:r w:rsidR="005F31B9">
        <w:rPr>
          <w:rFonts w:asciiTheme="majorHAnsi" w:eastAsia="Calibri" w:hAnsiTheme="majorHAnsi"/>
          <w:i/>
          <w:sz w:val="22"/>
          <w:lang w:bidi="ar-SA"/>
        </w:rPr>
        <w:t xml:space="preserve"> </w:t>
      </w:r>
      <w:r w:rsidRPr="00C17957">
        <w:rPr>
          <w:rFonts w:asciiTheme="majorHAnsi" w:eastAsia="Calibri" w:hAnsiTheme="majorHAnsi"/>
          <w:i/>
          <w:sz w:val="22"/>
          <w:lang w:bidi="ar-SA"/>
        </w:rPr>
        <w:t xml:space="preserve">40 </w:t>
      </w:r>
      <w:r w:rsidR="005F31B9">
        <w:rPr>
          <w:rFonts w:asciiTheme="majorHAnsi" w:eastAsia="Calibri" w:hAnsiTheme="majorHAnsi"/>
          <w:i/>
          <w:sz w:val="22"/>
          <w:lang w:bidi="ar-SA"/>
        </w:rPr>
        <w:t xml:space="preserve">power </w:t>
      </w:r>
      <w:r w:rsidRPr="00C17957">
        <w:rPr>
          <w:rFonts w:asciiTheme="majorHAnsi" w:eastAsia="Calibri" w:hAnsiTheme="majorHAnsi"/>
          <w:i/>
          <w:sz w:val="22"/>
          <w:lang w:bidi="ar-SA"/>
        </w:rPr>
        <w:t>system will require those dispatchable resources to be emission</w:t>
      </w:r>
      <w:r w:rsidR="005F31B9">
        <w:rPr>
          <w:rFonts w:asciiTheme="majorHAnsi" w:eastAsia="Calibri" w:hAnsiTheme="majorHAnsi"/>
          <w:i/>
          <w:sz w:val="22"/>
          <w:lang w:bidi="ar-SA"/>
        </w:rPr>
        <w:t>s</w:t>
      </w:r>
      <w:r w:rsidRPr="00C17957">
        <w:rPr>
          <w:rFonts w:asciiTheme="majorHAnsi" w:eastAsia="Calibri" w:hAnsiTheme="majorHAnsi"/>
          <w:i/>
          <w:sz w:val="22"/>
          <w:lang w:bidi="ar-SA"/>
        </w:rPr>
        <w:t xml:space="preserve"> free</w:t>
      </w:r>
    </w:p>
    <w:p w14:paraId="024407E2" w14:textId="66060A73" w:rsidR="000826CA" w:rsidRPr="00C17957" w:rsidRDefault="000826CA" w:rsidP="007F4000">
      <w:pPr>
        <w:numPr>
          <w:ilvl w:val="0"/>
          <w:numId w:val="23"/>
        </w:numPr>
        <w:spacing w:after="0" w:line="360" w:lineRule="auto"/>
        <w:contextualSpacing/>
        <w:rPr>
          <w:rFonts w:asciiTheme="majorHAnsi" w:eastAsia="Calibri" w:hAnsiTheme="majorHAnsi"/>
          <w:sz w:val="22"/>
          <w:lang w:bidi="ar-SA"/>
        </w:rPr>
      </w:pPr>
      <w:r w:rsidRPr="00C17957">
        <w:rPr>
          <w:rFonts w:asciiTheme="majorHAnsi" w:eastAsia="Calibri" w:hAnsiTheme="majorHAnsi"/>
          <w:i/>
          <w:sz w:val="22"/>
          <w:lang w:bidi="ar-SA"/>
        </w:rPr>
        <w:t>Dispatchable resources that are emission</w:t>
      </w:r>
      <w:r w:rsidR="005F31B9">
        <w:rPr>
          <w:rFonts w:asciiTheme="majorHAnsi" w:eastAsia="Calibri" w:hAnsiTheme="majorHAnsi"/>
          <w:i/>
          <w:sz w:val="22"/>
          <w:lang w:bidi="ar-SA"/>
        </w:rPr>
        <w:t>s</w:t>
      </w:r>
      <w:r w:rsidRPr="00C17957">
        <w:rPr>
          <w:rFonts w:asciiTheme="majorHAnsi" w:eastAsia="Calibri" w:hAnsiTheme="majorHAnsi"/>
          <w:i/>
          <w:sz w:val="22"/>
          <w:lang w:bidi="ar-SA"/>
        </w:rPr>
        <w:t xml:space="preserve"> free </w:t>
      </w:r>
      <w:proofErr w:type="gramStart"/>
      <w:r w:rsidRPr="00C17957">
        <w:rPr>
          <w:rFonts w:asciiTheme="majorHAnsi" w:eastAsia="Calibri" w:hAnsiTheme="majorHAnsi"/>
          <w:i/>
          <w:sz w:val="22"/>
          <w:lang w:bidi="ar-SA"/>
        </w:rPr>
        <w:t>and on the scale</w:t>
      </w:r>
      <w:proofErr w:type="gramEnd"/>
      <w:r w:rsidRPr="00C17957">
        <w:rPr>
          <w:rFonts w:asciiTheme="majorHAnsi" w:eastAsia="Calibri" w:hAnsiTheme="majorHAnsi"/>
          <w:i/>
          <w:sz w:val="22"/>
          <w:lang w:bidi="ar-SA"/>
        </w:rPr>
        <w:t xml:space="preserve"> needed are not yet tested or in the NYISO interconnection queue</w:t>
      </w:r>
      <w:r w:rsidR="00991888">
        <w:rPr>
          <w:rFonts w:asciiTheme="majorHAnsi" w:eastAsia="Calibri" w:hAnsiTheme="majorHAnsi"/>
          <w:i/>
          <w:sz w:val="22"/>
          <w:lang w:bidi="ar-SA"/>
        </w:rPr>
        <w:t>.</w:t>
      </w:r>
    </w:p>
    <w:p w14:paraId="06EF25F2" w14:textId="77777777" w:rsidR="000826CA" w:rsidRPr="00C17957" w:rsidRDefault="000826CA" w:rsidP="00C17957">
      <w:pPr>
        <w:spacing w:after="0" w:line="360" w:lineRule="auto"/>
        <w:ind w:left="0" w:firstLine="0"/>
        <w:rPr>
          <w:rFonts w:asciiTheme="majorHAnsi" w:eastAsia="Calibri" w:hAnsiTheme="majorHAnsi"/>
          <w:sz w:val="22"/>
          <w:lang w:bidi="ar-SA"/>
        </w:rPr>
      </w:pPr>
    </w:p>
    <w:p w14:paraId="5E790C67" w14:textId="77777777" w:rsidR="000826CA" w:rsidRPr="000B41AB" w:rsidRDefault="000826CA" w:rsidP="007F4000">
      <w:pPr>
        <w:pStyle w:val="Heading2"/>
        <w:rPr>
          <w:rFonts w:eastAsia="Calibri"/>
        </w:rPr>
      </w:pPr>
      <w:bookmarkStart w:id="78" w:name="_Toc80032270"/>
      <w:bookmarkStart w:id="79" w:name="_Toc80191660"/>
      <w:bookmarkStart w:id="80" w:name="_Toc81138695"/>
      <w:r w:rsidRPr="000B41AB">
        <w:rPr>
          <w:rFonts w:eastAsia="Calibri"/>
        </w:rPr>
        <w:lastRenderedPageBreak/>
        <w:t>Transmission</w:t>
      </w:r>
      <w:bookmarkEnd w:id="78"/>
      <w:bookmarkEnd w:id="79"/>
      <w:bookmarkEnd w:id="80"/>
    </w:p>
    <w:p w14:paraId="45E07AC3" w14:textId="622CD984" w:rsidR="009822BC" w:rsidRDefault="000826CA" w:rsidP="00B635FD">
      <w:pPr>
        <w:spacing w:after="0" w:line="360" w:lineRule="auto"/>
        <w:ind w:left="0" w:firstLine="432"/>
        <w:jc w:val="both"/>
        <w:rPr>
          <w:rFonts w:asciiTheme="majorHAnsi" w:eastAsia="Calibri" w:hAnsiTheme="majorHAnsi"/>
          <w:sz w:val="22"/>
          <w:lang w:bidi="ar-SA"/>
        </w:rPr>
      </w:pPr>
      <w:r w:rsidRPr="00C17957">
        <w:rPr>
          <w:rFonts w:asciiTheme="majorHAnsi" w:eastAsia="Calibri" w:hAnsiTheme="majorHAnsi"/>
          <w:sz w:val="22"/>
          <w:lang w:bidi="ar-SA"/>
        </w:rPr>
        <w:t xml:space="preserve">Transmission will play a key role in moving power from where the </w:t>
      </w:r>
      <w:r w:rsidR="005F31B9">
        <w:rPr>
          <w:rFonts w:asciiTheme="majorHAnsi" w:eastAsia="Calibri" w:hAnsiTheme="majorHAnsi"/>
          <w:sz w:val="22"/>
          <w:lang w:bidi="ar-SA"/>
        </w:rPr>
        <w:t>i</w:t>
      </w:r>
      <w:r w:rsidRPr="00C17957">
        <w:rPr>
          <w:rFonts w:asciiTheme="majorHAnsi" w:eastAsia="Calibri" w:hAnsiTheme="majorHAnsi"/>
          <w:sz w:val="22"/>
          <w:lang w:bidi="ar-SA"/>
        </w:rPr>
        <w:t xml:space="preserve">ntermittent resources are located to the load centers. The build out of transmission can be broken down into two components.  The first is inter-zonal bulk power capability and the second is intra-zonal local transmission capability. The NYISO has moved forward with two Public Policy </w:t>
      </w:r>
      <w:r w:rsidR="005F31B9">
        <w:rPr>
          <w:rFonts w:asciiTheme="majorHAnsi" w:eastAsia="Calibri" w:hAnsiTheme="majorHAnsi"/>
          <w:sz w:val="22"/>
          <w:lang w:bidi="ar-SA"/>
        </w:rPr>
        <w:t xml:space="preserve">Transmission </w:t>
      </w:r>
      <w:r w:rsidRPr="00C17957">
        <w:rPr>
          <w:rFonts w:asciiTheme="majorHAnsi" w:eastAsia="Calibri" w:hAnsiTheme="majorHAnsi"/>
          <w:sz w:val="22"/>
          <w:lang w:bidi="ar-SA"/>
        </w:rPr>
        <w:t xml:space="preserve">projects. One in the west that will provide capability to move Niagara </w:t>
      </w:r>
      <w:r w:rsidR="005F31B9">
        <w:rPr>
          <w:rFonts w:asciiTheme="majorHAnsi" w:eastAsia="Calibri" w:hAnsiTheme="majorHAnsi"/>
          <w:sz w:val="22"/>
          <w:lang w:bidi="ar-SA"/>
        </w:rPr>
        <w:t xml:space="preserve">hydro </w:t>
      </w:r>
      <w:r w:rsidRPr="00C17957">
        <w:rPr>
          <w:rFonts w:asciiTheme="majorHAnsi" w:eastAsia="Calibri" w:hAnsiTheme="majorHAnsi"/>
          <w:sz w:val="22"/>
          <w:lang w:bidi="ar-SA"/>
        </w:rPr>
        <w:t xml:space="preserve">generation and Ontario </w:t>
      </w:r>
      <w:r w:rsidR="005F31B9">
        <w:rPr>
          <w:rFonts w:asciiTheme="majorHAnsi" w:eastAsia="Calibri" w:hAnsiTheme="majorHAnsi"/>
          <w:sz w:val="22"/>
          <w:lang w:bidi="ar-SA"/>
        </w:rPr>
        <w:t xml:space="preserve">renewable resource </w:t>
      </w:r>
      <w:r w:rsidRPr="00C17957">
        <w:rPr>
          <w:rFonts w:asciiTheme="majorHAnsi" w:eastAsia="Calibri" w:hAnsiTheme="majorHAnsi"/>
          <w:sz w:val="22"/>
          <w:lang w:bidi="ar-SA"/>
        </w:rPr>
        <w:t>imports out of the western area of the state</w:t>
      </w:r>
      <w:r w:rsidR="005F31B9">
        <w:rPr>
          <w:rFonts w:asciiTheme="majorHAnsi" w:eastAsia="Calibri" w:hAnsiTheme="majorHAnsi"/>
          <w:sz w:val="22"/>
          <w:lang w:bidi="ar-SA"/>
        </w:rPr>
        <w:t xml:space="preserve"> to serve load areas in the eastern and southern portions of New York</w:t>
      </w:r>
      <w:r w:rsidRPr="00C17957">
        <w:rPr>
          <w:rFonts w:asciiTheme="majorHAnsi" w:eastAsia="Calibri" w:hAnsiTheme="majorHAnsi"/>
          <w:sz w:val="22"/>
          <w:lang w:bidi="ar-SA"/>
        </w:rPr>
        <w:t>. The second project moves power from upstate to the southeast part of the state</w:t>
      </w:r>
      <w:r w:rsidR="005F31B9">
        <w:rPr>
          <w:rFonts w:asciiTheme="majorHAnsi" w:eastAsia="Calibri" w:hAnsiTheme="majorHAnsi"/>
          <w:sz w:val="22"/>
          <w:lang w:bidi="ar-SA"/>
        </w:rPr>
        <w:t xml:space="preserve"> by replacing and adding transmission lines in the Mohawk River Valley and the Hudson River Valley</w:t>
      </w:r>
      <w:r w:rsidRPr="00C17957">
        <w:rPr>
          <w:rFonts w:asciiTheme="majorHAnsi" w:eastAsia="Calibri" w:hAnsiTheme="majorHAnsi"/>
          <w:sz w:val="22"/>
          <w:lang w:bidi="ar-SA"/>
        </w:rPr>
        <w:t xml:space="preserve">. </w:t>
      </w:r>
    </w:p>
    <w:p w14:paraId="3018FE62" w14:textId="22035BC9" w:rsidR="005F31B9" w:rsidRDefault="000826CA" w:rsidP="00B635FD">
      <w:pPr>
        <w:spacing w:after="0" w:line="360" w:lineRule="auto"/>
        <w:ind w:left="0" w:firstLine="432"/>
        <w:jc w:val="both"/>
        <w:rPr>
          <w:rFonts w:asciiTheme="majorHAnsi" w:eastAsia="Calibri" w:hAnsiTheme="majorHAnsi"/>
          <w:sz w:val="22"/>
          <w:lang w:bidi="ar-SA"/>
        </w:rPr>
      </w:pPr>
      <w:r w:rsidRPr="00C17957">
        <w:rPr>
          <w:rFonts w:asciiTheme="majorHAnsi" w:eastAsia="Calibri" w:hAnsiTheme="majorHAnsi"/>
          <w:sz w:val="22"/>
          <w:lang w:bidi="ar-SA"/>
        </w:rPr>
        <w:t xml:space="preserve">Additionally, </w:t>
      </w:r>
      <w:bookmarkStart w:id="81" w:name="_Toc71897923"/>
      <w:r w:rsidRPr="00C17957">
        <w:rPr>
          <w:rFonts w:asciiTheme="majorHAnsi" w:eastAsia="Calibri" w:hAnsiTheme="majorHAnsi"/>
          <w:sz w:val="22"/>
          <w:lang w:bidi="ar-SA"/>
        </w:rPr>
        <w:t>the N</w:t>
      </w:r>
      <w:r w:rsidR="005F31B9">
        <w:rPr>
          <w:rFonts w:asciiTheme="majorHAnsi" w:eastAsia="Calibri" w:hAnsiTheme="majorHAnsi"/>
          <w:sz w:val="22"/>
          <w:lang w:bidi="ar-SA"/>
        </w:rPr>
        <w:t xml:space="preserve">ew </w:t>
      </w:r>
      <w:r w:rsidRPr="00C17957">
        <w:rPr>
          <w:rFonts w:asciiTheme="majorHAnsi" w:eastAsia="Calibri" w:hAnsiTheme="majorHAnsi"/>
          <w:sz w:val="22"/>
          <w:lang w:bidi="ar-SA"/>
        </w:rPr>
        <w:t>Y</w:t>
      </w:r>
      <w:r w:rsidR="005F31B9">
        <w:rPr>
          <w:rFonts w:asciiTheme="majorHAnsi" w:eastAsia="Calibri" w:hAnsiTheme="majorHAnsi"/>
          <w:sz w:val="22"/>
          <w:lang w:bidi="ar-SA"/>
        </w:rPr>
        <w:t xml:space="preserve">ork </w:t>
      </w:r>
      <w:r w:rsidRPr="00C17957">
        <w:rPr>
          <w:rFonts w:asciiTheme="majorHAnsi" w:eastAsia="Calibri" w:hAnsiTheme="majorHAnsi"/>
          <w:sz w:val="22"/>
          <w:lang w:bidi="ar-SA"/>
        </w:rPr>
        <w:t>S</w:t>
      </w:r>
      <w:r w:rsidR="005F31B9">
        <w:rPr>
          <w:rFonts w:asciiTheme="majorHAnsi" w:eastAsia="Calibri" w:hAnsiTheme="majorHAnsi"/>
          <w:sz w:val="22"/>
          <w:lang w:bidi="ar-SA"/>
        </w:rPr>
        <w:t>tate</w:t>
      </w:r>
      <w:r w:rsidRPr="00C17957">
        <w:rPr>
          <w:rFonts w:asciiTheme="majorHAnsi" w:eastAsia="Calibri" w:hAnsiTheme="majorHAnsi"/>
          <w:sz w:val="22"/>
          <w:lang w:bidi="ar-SA"/>
        </w:rPr>
        <w:t xml:space="preserve"> Accelerated Renewable Energy Growth and Community Benefit Act (AREA)</w:t>
      </w:r>
      <w:bookmarkEnd w:id="81"/>
      <w:r w:rsidRPr="00C17957">
        <w:rPr>
          <w:rFonts w:asciiTheme="majorHAnsi" w:eastAsia="Calibri" w:hAnsiTheme="majorHAnsi"/>
          <w:sz w:val="22"/>
          <w:lang w:bidi="ar-SA"/>
        </w:rPr>
        <w:t>, enacted in 2020, seeks to accelerate siting and construction of large-scale clean energy projects.</w:t>
      </w:r>
      <w:r w:rsidR="00991888">
        <w:rPr>
          <w:rStyle w:val="FootnoteReference"/>
          <w:rFonts w:asciiTheme="majorHAnsi" w:eastAsia="Calibri" w:hAnsiTheme="majorHAnsi"/>
          <w:sz w:val="22"/>
          <w:lang w:bidi="ar-SA"/>
        </w:rPr>
        <w:footnoteReference w:id="24"/>
      </w:r>
      <w:r w:rsidRPr="00C17957">
        <w:rPr>
          <w:rFonts w:asciiTheme="majorHAnsi" w:eastAsia="Calibri" w:hAnsiTheme="majorHAnsi"/>
          <w:sz w:val="22"/>
          <w:lang w:bidi="ar-SA"/>
        </w:rPr>
        <w:t xml:space="preserve"> </w:t>
      </w:r>
      <w:r w:rsidR="00FA2B07">
        <w:rPr>
          <w:rFonts w:asciiTheme="majorHAnsi" w:eastAsia="Calibri" w:hAnsiTheme="majorHAnsi"/>
          <w:sz w:val="22"/>
          <w:lang w:bidi="ar-SA"/>
        </w:rPr>
        <w:t xml:space="preserve">The </w:t>
      </w:r>
      <w:r w:rsidRPr="00C17957">
        <w:rPr>
          <w:rFonts w:asciiTheme="majorHAnsi" w:eastAsia="Calibri" w:hAnsiTheme="majorHAnsi"/>
          <w:sz w:val="22"/>
          <w:lang w:bidi="ar-SA"/>
        </w:rPr>
        <w:t xml:space="preserve">AREA authorized the New York Power Authority (NYPA) to undertake the development of transmission investments needed to achieve CLCPA targets. </w:t>
      </w:r>
      <w:r w:rsidR="009822BC" w:rsidRPr="00C17957">
        <w:rPr>
          <w:rFonts w:asciiTheme="majorHAnsi" w:eastAsia="Arial Narrow" w:hAnsiTheme="majorHAnsi"/>
          <w:bCs/>
          <w:sz w:val="22"/>
          <w:lang w:bidi="ar-SA"/>
        </w:rPr>
        <w:t>On October 15, 2020, the PSC adopted criteria for designating priority transmission projects. The PSC also approved NYPA’s request to proceed with development of its proposed Northern New York Transmission Projects.</w:t>
      </w:r>
      <w:r w:rsidR="00FA2B07">
        <w:rPr>
          <w:rStyle w:val="FootnoteReference"/>
          <w:rFonts w:asciiTheme="majorHAnsi" w:eastAsia="Arial Narrow" w:hAnsiTheme="majorHAnsi"/>
          <w:bCs/>
          <w:sz w:val="22"/>
          <w:lang w:bidi="ar-SA"/>
        </w:rPr>
        <w:footnoteReference w:id="25"/>
      </w:r>
      <w:r w:rsidR="009822BC" w:rsidRPr="00C17957">
        <w:rPr>
          <w:rFonts w:asciiTheme="majorHAnsi" w:eastAsia="Arial Narrow" w:hAnsiTheme="majorHAnsi"/>
          <w:bCs/>
          <w:sz w:val="22"/>
          <w:lang w:bidi="ar-SA"/>
        </w:rPr>
        <w:t xml:space="preserve"> These transmission upgrades seek to increase the capacity of certain transmission lines in northern New York to accommodate incremental delivery of renewable energy.</w:t>
      </w:r>
      <w:r w:rsidR="00FA2B07">
        <w:rPr>
          <w:rFonts w:asciiTheme="majorHAnsi" w:eastAsia="Arial Narrow" w:hAnsiTheme="majorHAnsi"/>
          <w:bCs/>
          <w:sz w:val="22"/>
          <w:lang w:bidi="ar-SA"/>
        </w:rPr>
        <w:t xml:space="preserve">  </w:t>
      </w:r>
      <w:r w:rsidR="005F31B9">
        <w:rPr>
          <w:rFonts w:asciiTheme="majorHAnsi" w:eastAsia="Calibri" w:hAnsiTheme="majorHAnsi"/>
          <w:sz w:val="22"/>
          <w:lang w:bidi="ar-SA"/>
        </w:rPr>
        <w:t>Under the new law t</w:t>
      </w:r>
      <w:r w:rsidRPr="00C17957">
        <w:rPr>
          <w:rFonts w:asciiTheme="majorHAnsi" w:eastAsia="Calibri" w:hAnsiTheme="majorHAnsi"/>
          <w:sz w:val="22"/>
          <w:lang w:bidi="ar-SA"/>
        </w:rPr>
        <w:t>he New York P</w:t>
      </w:r>
      <w:r w:rsidR="005F31B9">
        <w:rPr>
          <w:rFonts w:asciiTheme="majorHAnsi" w:eastAsia="Calibri" w:hAnsiTheme="majorHAnsi"/>
          <w:sz w:val="22"/>
          <w:lang w:bidi="ar-SA"/>
        </w:rPr>
        <w:t xml:space="preserve">ublic Service Commission </w:t>
      </w:r>
      <w:r w:rsidRPr="00C17957">
        <w:rPr>
          <w:rFonts w:asciiTheme="majorHAnsi" w:eastAsia="Calibri" w:hAnsiTheme="majorHAnsi"/>
          <w:sz w:val="22"/>
          <w:lang w:bidi="ar-SA"/>
        </w:rPr>
        <w:t>authorize</w:t>
      </w:r>
      <w:r w:rsidR="005F31B9">
        <w:rPr>
          <w:rFonts w:asciiTheme="majorHAnsi" w:eastAsia="Calibri" w:hAnsiTheme="majorHAnsi"/>
          <w:sz w:val="22"/>
          <w:lang w:bidi="ar-SA"/>
        </w:rPr>
        <w:t>d</w:t>
      </w:r>
      <w:r w:rsidRPr="00C17957">
        <w:rPr>
          <w:rFonts w:asciiTheme="majorHAnsi" w:eastAsia="Calibri" w:hAnsiTheme="majorHAnsi"/>
          <w:sz w:val="22"/>
          <w:lang w:bidi="ar-SA"/>
        </w:rPr>
        <w:t xml:space="preserve"> NYPA to pursue construction of its proposed Northern New York transmission expansion project. The project will increase the capacity of transmission lines in northern New York.  </w:t>
      </w:r>
    </w:p>
    <w:p w14:paraId="06E185BF" w14:textId="77777777" w:rsidR="005F31B9" w:rsidRDefault="005F31B9" w:rsidP="005F31B9">
      <w:pPr>
        <w:widowControl w:val="0"/>
        <w:spacing w:after="120" w:line="360" w:lineRule="auto"/>
        <w:ind w:left="0" w:firstLine="432"/>
        <w:jc w:val="both"/>
        <w:rPr>
          <w:rFonts w:asciiTheme="majorHAnsi" w:eastAsia="Calibri" w:hAnsiTheme="majorHAnsi"/>
          <w:sz w:val="22"/>
          <w:lang w:bidi="ar-SA"/>
        </w:rPr>
      </w:pPr>
      <w:r>
        <w:rPr>
          <w:rFonts w:asciiTheme="majorHAnsi" w:eastAsia="Calibri" w:hAnsiTheme="majorHAnsi"/>
          <w:sz w:val="22"/>
          <w:lang w:bidi="ar-SA"/>
        </w:rPr>
        <w:t>These new transmission investments are depicted in the map below.</w:t>
      </w:r>
    </w:p>
    <w:p w14:paraId="3138304D" w14:textId="6FD0F494" w:rsidR="005F31B9" w:rsidRDefault="005F31B9" w:rsidP="00B635FD">
      <w:pPr>
        <w:spacing w:after="0" w:line="360" w:lineRule="auto"/>
        <w:ind w:left="0" w:firstLine="432"/>
        <w:jc w:val="both"/>
        <w:rPr>
          <w:rFonts w:asciiTheme="majorHAnsi" w:eastAsia="Calibri" w:hAnsiTheme="majorHAnsi"/>
          <w:sz w:val="22"/>
          <w:lang w:bidi="ar-SA"/>
        </w:rPr>
      </w:pPr>
      <w:r>
        <w:rPr>
          <w:noProof/>
          <w:lang w:bidi="ar-SA"/>
        </w:rPr>
        <w:lastRenderedPageBreak/>
        <w:drawing>
          <wp:inline distT="0" distB="0" distL="0" distR="0" wp14:anchorId="3E43CBE6" wp14:editId="49F21364">
            <wp:extent cx="5943600" cy="4100120"/>
            <wp:effectExtent l="0" t="0" r="0" b="0"/>
            <wp:docPr id="4"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46" cstate="screen">
                      <a:extLst>
                        <a:ext uri="{28A0092B-C50C-407E-A947-70E740481C1C}">
                          <a14:useLocalDpi xmlns:a14="http://schemas.microsoft.com/office/drawing/2010/main"/>
                        </a:ext>
                      </a:extLst>
                    </a:blip>
                    <a:stretch>
                      <a:fillRect/>
                    </a:stretch>
                  </pic:blipFill>
                  <pic:spPr>
                    <a:xfrm>
                      <a:off x="0" y="0"/>
                      <a:ext cx="5943600" cy="4100120"/>
                    </a:xfrm>
                    <a:prstGeom prst="rect">
                      <a:avLst/>
                    </a:prstGeom>
                  </pic:spPr>
                </pic:pic>
              </a:graphicData>
            </a:graphic>
          </wp:inline>
        </w:drawing>
      </w:r>
    </w:p>
    <w:p w14:paraId="64DDB028" w14:textId="75E4EEE8" w:rsidR="000826CA" w:rsidRDefault="000826CA" w:rsidP="00B635FD">
      <w:pPr>
        <w:spacing w:after="0" w:line="360" w:lineRule="auto"/>
        <w:ind w:left="0" w:firstLine="432"/>
        <w:jc w:val="both"/>
        <w:rPr>
          <w:rFonts w:asciiTheme="majorHAnsi" w:eastAsia="Calibri" w:hAnsiTheme="majorHAnsi"/>
          <w:sz w:val="22"/>
          <w:lang w:bidi="ar-SA"/>
        </w:rPr>
      </w:pPr>
      <w:r w:rsidRPr="00C17957">
        <w:rPr>
          <w:rFonts w:asciiTheme="majorHAnsi" w:eastAsia="Calibri" w:hAnsiTheme="majorHAnsi"/>
          <w:sz w:val="22"/>
          <w:lang w:bidi="ar-SA"/>
        </w:rPr>
        <w:t xml:space="preserve">The 2019 CARIS study noted several </w:t>
      </w:r>
      <w:r w:rsidR="005F31B9">
        <w:rPr>
          <w:rFonts w:asciiTheme="majorHAnsi" w:eastAsia="Calibri" w:hAnsiTheme="majorHAnsi"/>
          <w:sz w:val="22"/>
          <w:lang w:bidi="ar-SA"/>
        </w:rPr>
        <w:t>renewable generation</w:t>
      </w:r>
      <w:r w:rsidR="005F31B9" w:rsidRPr="00C17957">
        <w:rPr>
          <w:rFonts w:asciiTheme="majorHAnsi" w:eastAsia="Calibri" w:hAnsiTheme="majorHAnsi"/>
          <w:sz w:val="22"/>
          <w:lang w:bidi="ar-SA"/>
        </w:rPr>
        <w:t xml:space="preserve"> </w:t>
      </w:r>
      <w:r w:rsidRPr="00C17957">
        <w:rPr>
          <w:rFonts w:asciiTheme="majorHAnsi" w:eastAsia="Calibri" w:hAnsiTheme="majorHAnsi"/>
          <w:sz w:val="22"/>
          <w:lang w:bidi="ar-SA"/>
        </w:rPr>
        <w:t xml:space="preserve">pockets on the 115kV/138kV systems across the whole state that could constrain output from renewable resources such as solar and wind. </w:t>
      </w:r>
      <w:r w:rsidR="005F31B9">
        <w:rPr>
          <w:rFonts w:asciiTheme="majorHAnsi" w:eastAsia="Calibri" w:hAnsiTheme="majorHAnsi"/>
          <w:sz w:val="22"/>
          <w:lang w:bidi="ar-SA"/>
        </w:rPr>
        <w:t xml:space="preserve"> These include Western New York, the North Country, Capital Region, Southern Tier, and Offshore Wind near Long Island and New York City.  These generation pockets are depicted in the map below:</w:t>
      </w:r>
    </w:p>
    <w:p w14:paraId="239C9B06" w14:textId="7092D818" w:rsidR="005F31B9" w:rsidRPr="00C17957" w:rsidRDefault="005F31B9" w:rsidP="00B635FD">
      <w:pPr>
        <w:spacing w:after="0" w:line="360" w:lineRule="auto"/>
        <w:ind w:left="0" w:firstLine="432"/>
        <w:jc w:val="both"/>
        <w:rPr>
          <w:rFonts w:asciiTheme="majorHAnsi" w:eastAsia="Calibri" w:hAnsiTheme="majorHAnsi"/>
          <w:sz w:val="22"/>
          <w:lang w:bidi="ar-SA"/>
        </w:rPr>
      </w:pPr>
      <w:r>
        <w:rPr>
          <w:noProof/>
          <w:lang w:bidi="ar-SA"/>
        </w:rPr>
        <w:lastRenderedPageBreak/>
        <w:drawing>
          <wp:inline distT="0" distB="0" distL="0" distR="0" wp14:anchorId="4C7912CB" wp14:editId="5BD2DC2C">
            <wp:extent cx="4724400" cy="3486167"/>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4724400" cy="3486167"/>
                    </a:xfrm>
                    <a:prstGeom prst="rect">
                      <a:avLst/>
                    </a:prstGeom>
                  </pic:spPr>
                </pic:pic>
              </a:graphicData>
            </a:graphic>
          </wp:inline>
        </w:drawing>
      </w:r>
    </w:p>
    <w:p w14:paraId="27BBE3DF" w14:textId="35016718" w:rsidR="000826CA" w:rsidRDefault="0008271B" w:rsidP="00B635FD">
      <w:pPr>
        <w:widowControl w:val="0"/>
        <w:spacing w:after="120" w:line="360" w:lineRule="auto"/>
        <w:ind w:left="0" w:firstLine="432"/>
        <w:jc w:val="both"/>
        <w:rPr>
          <w:rFonts w:asciiTheme="majorHAnsi" w:eastAsia="Calibri" w:hAnsiTheme="majorHAnsi"/>
          <w:sz w:val="22"/>
          <w:lang w:bidi="ar-SA"/>
        </w:rPr>
      </w:pPr>
      <w:hyperlink r:id="rId48" w:history="1">
        <w:r w:rsidR="000826CA" w:rsidRPr="00020997">
          <w:rPr>
            <w:rStyle w:val="Hyperlink"/>
            <w:rFonts w:asciiTheme="majorHAnsi" w:eastAsia="Calibri" w:hAnsiTheme="majorHAnsi"/>
            <w:sz w:val="22"/>
            <w:lang w:bidi="ar-SA"/>
          </w:rPr>
          <w:t>DPS and NYSERDA’s Initial Power Grid Study</w:t>
        </w:r>
      </w:hyperlink>
      <w:r w:rsidR="000826CA" w:rsidRPr="00C17957">
        <w:rPr>
          <w:rFonts w:asciiTheme="majorHAnsi" w:eastAsia="Calibri" w:hAnsiTheme="majorHAnsi"/>
          <w:sz w:val="22"/>
          <w:lang w:bidi="ar-SA"/>
        </w:rPr>
        <w:t xml:space="preserve">, released in January 2021, concluded that the transmission system, with the inclusion of the Western New York and AC Transmission public policy transmission projects and the NYPA priority projects, have positioned the state to achieve the 70 </w:t>
      </w:r>
      <w:r w:rsidR="004B5F52">
        <w:rPr>
          <w:rFonts w:asciiTheme="majorHAnsi" w:eastAsia="Calibri" w:hAnsiTheme="majorHAnsi"/>
          <w:sz w:val="22"/>
          <w:lang w:bidi="ar-SA"/>
        </w:rPr>
        <w:t>x</w:t>
      </w:r>
      <w:r w:rsidR="004B5F52" w:rsidRPr="00C17957">
        <w:rPr>
          <w:rFonts w:asciiTheme="majorHAnsi" w:eastAsia="Calibri" w:hAnsiTheme="majorHAnsi"/>
          <w:sz w:val="22"/>
          <w:lang w:bidi="ar-SA"/>
        </w:rPr>
        <w:t xml:space="preserve"> </w:t>
      </w:r>
      <w:r w:rsidR="000826CA" w:rsidRPr="00C17957">
        <w:rPr>
          <w:rFonts w:asciiTheme="majorHAnsi" w:eastAsia="Calibri" w:hAnsiTheme="majorHAnsi"/>
          <w:sz w:val="22"/>
          <w:lang w:bidi="ar-SA"/>
        </w:rPr>
        <w:t xml:space="preserve">30 renewable energy requirements of the CLCPA without the need for further additional transmission capability. The report indicated that additional transmission will be needed to achieve the CLCPA’s objective of a zero-emissions electric system by 2040. The Initial Power Grid Study indicated that transmission upgrades would also be needed to deliver the 9,000 MW of offshore wind capacity called for in the CLCPA. </w:t>
      </w:r>
      <w:r w:rsidR="005F31B9">
        <w:rPr>
          <w:rFonts w:asciiTheme="majorHAnsi" w:eastAsia="Calibri" w:hAnsiTheme="majorHAnsi"/>
          <w:sz w:val="22"/>
          <w:lang w:bidi="ar-SA"/>
        </w:rPr>
        <w:t xml:space="preserve"> </w:t>
      </w:r>
    </w:p>
    <w:p w14:paraId="6E21A6B8" w14:textId="11DCCF40" w:rsidR="000826CA" w:rsidRPr="00C17957" w:rsidRDefault="000826CA" w:rsidP="00B635FD">
      <w:pPr>
        <w:widowControl w:val="0"/>
        <w:spacing w:after="120" w:line="360" w:lineRule="auto"/>
        <w:ind w:left="0" w:firstLine="432"/>
        <w:jc w:val="both"/>
        <w:rPr>
          <w:rFonts w:asciiTheme="majorHAnsi" w:eastAsia="Calibri" w:hAnsiTheme="majorHAnsi"/>
          <w:sz w:val="22"/>
          <w:lang w:bidi="ar-SA"/>
        </w:rPr>
      </w:pPr>
      <w:r w:rsidRPr="00C17957">
        <w:rPr>
          <w:rFonts w:asciiTheme="majorHAnsi" w:eastAsia="Calibri" w:hAnsiTheme="majorHAnsi"/>
          <w:sz w:val="22"/>
          <w:lang w:bidi="ar-SA"/>
        </w:rPr>
        <w:t xml:space="preserve">In its comments on the study, the NYISO highlighted the need for additional transmission investment to achieve the 70 </w:t>
      </w:r>
      <w:r w:rsidR="004B5F52">
        <w:rPr>
          <w:rFonts w:asciiTheme="majorHAnsi" w:eastAsia="Calibri" w:hAnsiTheme="majorHAnsi"/>
          <w:sz w:val="22"/>
          <w:lang w:bidi="ar-SA"/>
        </w:rPr>
        <w:t>x</w:t>
      </w:r>
      <w:r w:rsidR="004B5F52" w:rsidRPr="00C17957">
        <w:rPr>
          <w:rFonts w:asciiTheme="majorHAnsi" w:eastAsia="Calibri" w:hAnsiTheme="majorHAnsi"/>
          <w:sz w:val="22"/>
          <w:lang w:bidi="ar-SA"/>
        </w:rPr>
        <w:t xml:space="preserve"> </w:t>
      </w:r>
      <w:r w:rsidRPr="00C17957">
        <w:rPr>
          <w:rFonts w:asciiTheme="majorHAnsi" w:eastAsia="Calibri" w:hAnsiTheme="majorHAnsi"/>
          <w:sz w:val="22"/>
          <w:lang w:bidi="ar-SA"/>
        </w:rPr>
        <w:t xml:space="preserve">30 goal based on the expected location of renewable resources within the state. </w:t>
      </w:r>
      <w:r w:rsidR="009822BC">
        <w:rPr>
          <w:rFonts w:asciiTheme="majorHAnsi" w:eastAsia="Calibri" w:hAnsiTheme="majorHAnsi"/>
          <w:sz w:val="22"/>
          <w:lang w:bidi="ar-SA"/>
        </w:rPr>
        <w:t xml:space="preserve"> </w:t>
      </w:r>
      <w:r w:rsidR="00A20A49">
        <w:rPr>
          <w:rFonts w:asciiTheme="majorHAnsi" w:eastAsia="Calibri" w:hAnsiTheme="majorHAnsi"/>
          <w:sz w:val="22"/>
          <w:lang w:bidi="ar-SA"/>
        </w:rPr>
        <w:t>The NYISO also commented on the electric utilities’ November 2020 local transmission and distribution study, emphasizing the role that building out bulk and local transmission systems can play in delivering land-based and offshore wind renewable resources to consumers to meet the state’s climate change policy objectives.</w:t>
      </w:r>
      <w:r w:rsidR="00A20A49">
        <w:rPr>
          <w:rStyle w:val="FootnoteReference"/>
          <w:rFonts w:asciiTheme="majorHAnsi" w:eastAsia="Calibri" w:hAnsiTheme="majorHAnsi"/>
          <w:sz w:val="22"/>
          <w:lang w:bidi="ar-SA"/>
        </w:rPr>
        <w:footnoteReference w:id="26"/>
      </w:r>
      <w:r w:rsidR="00A20A49">
        <w:rPr>
          <w:rFonts w:asciiTheme="majorHAnsi" w:eastAsia="Calibri" w:hAnsiTheme="majorHAnsi"/>
          <w:sz w:val="22"/>
          <w:lang w:bidi="ar-SA"/>
        </w:rPr>
        <w:t xml:space="preserve"> </w:t>
      </w:r>
      <w:r w:rsidRPr="00C17957">
        <w:rPr>
          <w:rFonts w:asciiTheme="majorHAnsi" w:eastAsia="Calibri" w:hAnsiTheme="majorHAnsi"/>
          <w:sz w:val="22"/>
          <w:lang w:bidi="ar-SA"/>
        </w:rPr>
        <w:t xml:space="preserve">The NYISO emphasized the need for transmission to deliver renewable energy to consumers, suggesting that the PSC declare transmission needs for delivery of land-based renewable resources in upstate New York renewable generation pockets and for offshore wind resources to connect to Long Island and New York City. </w:t>
      </w:r>
      <w:r w:rsidR="00A20A49">
        <w:rPr>
          <w:rFonts w:asciiTheme="majorHAnsi" w:eastAsia="Calibri" w:hAnsiTheme="majorHAnsi"/>
          <w:sz w:val="22"/>
          <w:lang w:bidi="ar-SA"/>
        </w:rPr>
        <w:t xml:space="preserve"> </w:t>
      </w:r>
      <w:r w:rsidRPr="00C17957">
        <w:rPr>
          <w:rFonts w:asciiTheme="majorHAnsi" w:eastAsia="Calibri" w:hAnsiTheme="majorHAnsi"/>
          <w:sz w:val="22"/>
          <w:lang w:bidi="ar-SA"/>
        </w:rPr>
        <w:t xml:space="preserve">The NYISO noted that its streamlined competitive public policy transmission process is well positioned to </w:t>
      </w:r>
      <w:r w:rsidRPr="00C17957">
        <w:rPr>
          <w:rFonts w:asciiTheme="majorHAnsi" w:eastAsia="Calibri" w:hAnsiTheme="majorHAnsi"/>
          <w:sz w:val="22"/>
          <w:lang w:bidi="ar-SA"/>
        </w:rPr>
        <w:lastRenderedPageBreak/>
        <w:t>fulfill those needs for the state.</w:t>
      </w:r>
      <w:r w:rsidR="000C3431">
        <w:rPr>
          <w:rStyle w:val="FootnoteReference"/>
          <w:rFonts w:asciiTheme="majorHAnsi" w:eastAsia="Calibri" w:hAnsiTheme="majorHAnsi"/>
          <w:sz w:val="22"/>
          <w:lang w:bidi="ar-SA"/>
        </w:rPr>
        <w:footnoteReference w:id="27"/>
      </w:r>
      <w:r w:rsidR="009822BC">
        <w:rPr>
          <w:rFonts w:asciiTheme="majorHAnsi" w:eastAsia="Calibri" w:hAnsiTheme="majorHAnsi"/>
          <w:sz w:val="22"/>
          <w:lang w:bidi="ar-SA"/>
        </w:rPr>
        <w:t xml:space="preserve">  </w:t>
      </w:r>
    </w:p>
    <w:p w14:paraId="1C05D057" w14:textId="19387DB7" w:rsidR="000826CA" w:rsidRDefault="000826CA" w:rsidP="00B635FD">
      <w:pPr>
        <w:spacing w:after="0" w:line="360" w:lineRule="auto"/>
        <w:ind w:left="0" w:firstLine="432"/>
        <w:jc w:val="both"/>
        <w:rPr>
          <w:rFonts w:asciiTheme="majorHAnsi" w:eastAsia="Calibri" w:hAnsiTheme="majorHAnsi"/>
          <w:sz w:val="22"/>
          <w:lang w:bidi="ar-SA"/>
        </w:rPr>
      </w:pPr>
      <w:r w:rsidRPr="00C17957">
        <w:rPr>
          <w:rFonts w:asciiTheme="majorHAnsi" w:eastAsia="Calibri" w:hAnsiTheme="majorHAnsi"/>
          <w:b/>
          <w:sz w:val="22"/>
          <w:lang w:bidi="ar-SA"/>
        </w:rPr>
        <w:t>In March 2021, the PSC issued an order declaring that offshore wind goals are driving the need for additional transmission facilities to deliver that renewable power from Long Island to the rest of New York State. The PSC referred the identified need to the NYISO to solicit potential solutions.</w:t>
      </w:r>
      <w:r w:rsidR="000C3431">
        <w:rPr>
          <w:rStyle w:val="FootnoteReference"/>
          <w:rFonts w:asciiTheme="majorHAnsi" w:eastAsia="Calibri" w:hAnsiTheme="majorHAnsi"/>
          <w:b/>
          <w:sz w:val="22"/>
          <w:lang w:bidi="ar-SA"/>
        </w:rPr>
        <w:footnoteReference w:id="28"/>
      </w:r>
      <w:r w:rsidRPr="00C17957">
        <w:rPr>
          <w:rFonts w:asciiTheme="majorHAnsi" w:eastAsia="Calibri" w:hAnsiTheme="majorHAnsi"/>
          <w:sz w:val="22"/>
          <w:lang w:bidi="ar-SA"/>
        </w:rPr>
        <w:t xml:space="preserve"> The NYISO will </w:t>
      </w:r>
      <w:r w:rsidR="000C3431">
        <w:rPr>
          <w:rFonts w:asciiTheme="majorHAnsi" w:eastAsia="Calibri" w:hAnsiTheme="majorHAnsi"/>
          <w:sz w:val="22"/>
          <w:lang w:bidi="ar-SA"/>
        </w:rPr>
        <w:t xml:space="preserve">solicit proposed solutions, determine their viability and sufficiency, and </w:t>
      </w:r>
      <w:r w:rsidRPr="00C17957">
        <w:rPr>
          <w:rFonts w:asciiTheme="majorHAnsi" w:eastAsia="Calibri" w:hAnsiTheme="majorHAnsi"/>
          <w:sz w:val="22"/>
          <w:lang w:bidi="ar-SA"/>
        </w:rPr>
        <w:t>evaluate potential solutions to determine</w:t>
      </w:r>
      <w:r w:rsidR="000C3431">
        <w:rPr>
          <w:rFonts w:asciiTheme="majorHAnsi" w:eastAsia="Calibri" w:hAnsiTheme="majorHAnsi"/>
          <w:sz w:val="22"/>
          <w:lang w:bidi="ar-SA"/>
        </w:rPr>
        <w:t xml:space="preserve"> whether to select </w:t>
      </w:r>
      <w:r w:rsidRPr="00C17957">
        <w:rPr>
          <w:rFonts w:asciiTheme="majorHAnsi" w:eastAsia="Calibri" w:hAnsiTheme="majorHAnsi"/>
          <w:sz w:val="22"/>
          <w:lang w:bidi="ar-SA"/>
        </w:rPr>
        <w:t>the more cost-effective or efficient</w:t>
      </w:r>
      <w:r w:rsidR="00AC1932">
        <w:rPr>
          <w:rFonts w:asciiTheme="majorHAnsi" w:eastAsia="Calibri" w:hAnsiTheme="majorHAnsi"/>
          <w:sz w:val="22"/>
          <w:lang w:bidi="ar-SA"/>
        </w:rPr>
        <w:t xml:space="preserve"> </w:t>
      </w:r>
      <w:r w:rsidR="009822BC">
        <w:rPr>
          <w:rFonts w:asciiTheme="majorHAnsi" w:eastAsia="Calibri" w:hAnsiTheme="majorHAnsi"/>
          <w:sz w:val="22"/>
          <w:lang w:bidi="ar-SA"/>
        </w:rPr>
        <w:t>transmission project</w:t>
      </w:r>
      <w:r w:rsidR="009822BC" w:rsidRPr="00C17957">
        <w:rPr>
          <w:rFonts w:asciiTheme="majorHAnsi" w:eastAsia="Calibri" w:hAnsiTheme="majorHAnsi"/>
          <w:sz w:val="22"/>
          <w:lang w:bidi="ar-SA"/>
        </w:rPr>
        <w:t xml:space="preserve"> </w:t>
      </w:r>
      <w:r w:rsidRPr="00C17957">
        <w:rPr>
          <w:rFonts w:asciiTheme="majorHAnsi" w:eastAsia="Calibri" w:hAnsiTheme="majorHAnsi"/>
          <w:sz w:val="22"/>
          <w:lang w:bidi="ar-SA"/>
        </w:rPr>
        <w:t xml:space="preserve">to </w:t>
      </w:r>
      <w:r w:rsidR="009822BC">
        <w:rPr>
          <w:rFonts w:asciiTheme="majorHAnsi" w:eastAsia="Calibri" w:hAnsiTheme="majorHAnsi"/>
          <w:sz w:val="22"/>
          <w:lang w:bidi="ar-SA"/>
        </w:rPr>
        <w:t>satisfy</w:t>
      </w:r>
      <w:r w:rsidR="009822BC" w:rsidRPr="00C17957">
        <w:rPr>
          <w:rFonts w:asciiTheme="majorHAnsi" w:eastAsia="Calibri" w:hAnsiTheme="majorHAnsi"/>
          <w:sz w:val="22"/>
          <w:lang w:bidi="ar-SA"/>
        </w:rPr>
        <w:t xml:space="preserve"> </w:t>
      </w:r>
      <w:r w:rsidRPr="00C17957">
        <w:rPr>
          <w:rFonts w:asciiTheme="majorHAnsi" w:eastAsia="Calibri" w:hAnsiTheme="majorHAnsi"/>
          <w:sz w:val="22"/>
          <w:lang w:bidi="ar-SA"/>
        </w:rPr>
        <w:t>the PSC-identified need. As with the projects discussed above, any project selected through this process will be subject to the PSC-administered permitting process before construction is allowed to begin.</w:t>
      </w:r>
    </w:p>
    <w:p w14:paraId="6923E0FE" w14:textId="10B69C81" w:rsidR="00A20A49" w:rsidRPr="00C17957" w:rsidRDefault="00A20A49" w:rsidP="00B635FD">
      <w:pPr>
        <w:spacing w:after="0" w:line="360" w:lineRule="auto"/>
        <w:ind w:left="0" w:firstLine="432"/>
        <w:jc w:val="both"/>
        <w:rPr>
          <w:rFonts w:asciiTheme="majorHAnsi" w:eastAsia="Calibri" w:hAnsiTheme="majorHAnsi"/>
          <w:sz w:val="22"/>
          <w:lang w:bidi="ar-SA"/>
        </w:rPr>
      </w:pPr>
      <w:r>
        <w:rPr>
          <w:rFonts w:asciiTheme="majorHAnsi" w:eastAsia="Calibri" w:hAnsiTheme="majorHAnsi"/>
          <w:sz w:val="22"/>
          <w:lang w:bidi="ar-SA"/>
        </w:rPr>
        <w:t xml:space="preserve">One last point bears emphasizing on the role of transmission:  </w:t>
      </w:r>
      <w:r w:rsidRPr="00C17957">
        <w:rPr>
          <w:rFonts w:asciiTheme="majorHAnsi" w:eastAsia="Calibri" w:hAnsiTheme="majorHAnsi"/>
          <w:sz w:val="22"/>
          <w:lang w:bidi="ar-SA"/>
        </w:rPr>
        <w:t xml:space="preserve">While increased transmission can allow more renewable resources to connect the grid, the amount of capacity (MW) of </w:t>
      </w:r>
      <w:r w:rsidR="00F0366C">
        <w:rPr>
          <w:rFonts w:asciiTheme="majorHAnsi" w:eastAsia="Calibri" w:hAnsiTheme="majorHAnsi"/>
          <w:sz w:val="22"/>
          <w:lang w:bidi="ar-SA"/>
        </w:rPr>
        <w:t>dispatchable r</w:t>
      </w:r>
      <w:r w:rsidRPr="00C17957">
        <w:rPr>
          <w:rFonts w:asciiTheme="majorHAnsi" w:eastAsia="Calibri" w:hAnsiTheme="majorHAnsi"/>
          <w:sz w:val="22"/>
          <w:lang w:bidi="ar-SA"/>
        </w:rPr>
        <w:t xml:space="preserve">esources needed for reliability may not reduce significantly.  However, the amount of energy (MWh) from renewable resources can significantly increase with more renewable resources and transmission.  </w:t>
      </w:r>
    </w:p>
    <w:p w14:paraId="73685FF8" w14:textId="5E1B8DA2" w:rsidR="000826CA" w:rsidRPr="00C17957" w:rsidRDefault="000826CA" w:rsidP="0033514E">
      <w:pPr>
        <w:widowControl w:val="0"/>
        <w:spacing w:after="120" w:line="360" w:lineRule="auto"/>
        <w:ind w:left="0" w:firstLine="432"/>
        <w:jc w:val="both"/>
        <w:rPr>
          <w:rFonts w:asciiTheme="majorHAnsi" w:eastAsia="Calibri" w:hAnsiTheme="majorHAnsi"/>
          <w:sz w:val="22"/>
          <w:lang w:bidi="ar-SA"/>
        </w:rPr>
      </w:pPr>
    </w:p>
    <w:p w14:paraId="0636B58B" w14:textId="6640F627" w:rsidR="000826CA" w:rsidRPr="00C17957" w:rsidRDefault="000826CA" w:rsidP="00C17957">
      <w:pPr>
        <w:spacing w:after="0" w:line="360" w:lineRule="auto"/>
        <w:ind w:left="0" w:firstLine="0"/>
        <w:rPr>
          <w:rFonts w:asciiTheme="majorHAnsi" w:eastAsia="Calibri" w:hAnsiTheme="majorHAnsi"/>
          <w:b/>
          <w:i/>
          <w:sz w:val="22"/>
          <w:lang w:bidi="ar-SA"/>
        </w:rPr>
      </w:pPr>
      <w:r w:rsidRPr="00C17957">
        <w:rPr>
          <w:rFonts w:asciiTheme="majorHAnsi" w:eastAsia="Calibri" w:hAnsiTheme="majorHAnsi"/>
          <w:b/>
          <w:i/>
          <w:sz w:val="22"/>
          <w:lang w:bidi="ar-SA"/>
        </w:rPr>
        <w:t>Key takeaways</w:t>
      </w:r>
    </w:p>
    <w:p w14:paraId="7BDF4021" w14:textId="33242BDE" w:rsidR="000826CA" w:rsidRPr="00C17957" w:rsidRDefault="000826CA" w:rsidP="007F4000">
      <w:pPr>
        <w:numPr>
          <w:ilvl w:val="0"/>
          <w:numId w:val="23"/>
        </w:numPr>
        <w:spacing w:after="0" w:line="360" w:lineRule="auto"/>
        <w:contextualSpacing/>
        <w:rPr>
          <w:rFonts w:asciiTheme="majorHAnsi" w:eastAsia="Calibri" w:hAnsiTheme="majorHAnsi"/>
          <w:i/>
          <w:sz w:val="22"/>
          <w:lang w:bidi="ar-SA"/>
        </w:rPr>
      </w:pPr>
      <w:r w:rsidRPr="00C17957">
        <w:rPr>
          <w:rFonts w:asciiTheme="majorHAnsi" w:eastAsia="Calibri" w:hAnsiTheme="majorHAnsi"/>
          <w:i/>
          <w:sz w:val="22"/>
          <w:lang w:bidi="ar-SA"/>
        </w:rPr>
        <w:t xml:space="preserve">More inter- and intra- zonal transmission capacity will be required to deliver a </w:t>
      </w:r>
      <w:r w:rsidR="006C747E">
        <w:rPr>
          <w:rFonts w:asciiTheme="majorHAnsi" w:eastAsia="Calibri" w:hAnsiTheme="majorHAnsi"/>
          <w:i/>
          <w:sz w:val="22"/>
          <w:lang w:bidi="ar-SA"/>
        </w:rPr>
        <w:t xml:space="preserve">reliable </w:t>
      </w:r>
      <w:r w:rsidRPr="00C17957">
        <w:rPr>
          <w:rFonts w:asciiTheme="majorHAnsi" w:eastAsia="Calibri" w:hAnsiTheme="majorHAnsi"/>
          <w:i/>
          <w:sz w:val="22"/>
          <w:lang w:bidi="ar-SA"/>
        </w:rPr>
        <w:t xml:space="preserve">system with a high </w:t>
      </w:r>
      <w:r w:rsidR="006C747E">
        <w:rPr>
          <w:rFonts w:asciiTheme="majorHAnsi" w:eastAsia="Calibri" w:hAnsiTheme="majorHAnsi"/>
          <w:i/>
          <w:sz w:val="22"/>
          <w:lang w:bidi="ar-SA"/>
        </w:rPr>
        <w:t xml:space="preserve">level of </w:t>
      </w:r>
      <w:r w:rsidRPr="00C17957">
        <w:rPr>
          <w:rFonts w:asciiTheme="majorHAnsi" w:eastAsia="Calibri" w:hAnsiTheme="majorHAnsi"/>
          <w:i/>
          <w:sz w:val="22"/>
          <w:lang w:bidi="ar-SA"/>
        </w:rPr>
        <w:t>renewable</w:t>
      </w:r>
      <w:r w:rsidR="006C747E">
        <w:rPr>
          <w:rFonts w:asciiTheme="majorHAnsi" w:eastAsia="Calibri" w:hAnsiTheme="majorHAnsi"/>
          <w:i/>
          <w:sz w:val="22"/>
          <w:lang w:bidi="ar-SA"/>
        </w:rPr>
        <w:t>s</w:t>
      </w:r>
      <w:r w:rsidRPr="00C17957">
        <w:rPr>
          <w:rFonts w:asciiTheme="majorHAnsi" w:eastAsia="Calibri" w:hAnsiTheme="majorHAnsi"/>
          <w:i/>
          <w:sz w:val="22"/>
          <w:lang w:bidi="ar-SA"/>
        </w:rPr>
        <w:t xml:space="preserve"> penetration.</w:t>
      </w:r>
    </w:p>
    <w:p w14:paraId="3EAC1964" w14:textId="489ECD97" w:rsidR="000826CA" w:rsidRPr="00C17957" w:rsidRDefault="000826CA" w:rsidP="007F4000">
      <w:pPr>
        <w:numPr>
          <w:ilvl w:val="0"/>
          <w:numId w:val="23"/>
        </w:numPr>
        <w:spacing w:after="0" w:line="360" w:lineRule="auto"/>
        <w:contextualSpacing/>
        <w:rPr>
          <w:rFonts w:asciiTheme="majorHAnsi" w:eastAsia="Calibri" w:hAnsiTheme="majorHAnsi"/>
          <w:sz w:val="22"/>
          <w:lang w:bidi="ar-SA"/>
        </w:rPr>
      </w:pPr>
      <w:r w:rsidRPr="00C17957">
        <w:rPr>
          <w:rFonts w:asciiTheme="majorHAnsi" w:eastAsia="Calibri" w:hAnsiTheme="majorHAnsi"/>
          <w:i/>
          <w:sz w:val="22"/>
          <w:lang w:bidi="ar-SA"/>
        </w:rPr>
        <w:t>Transmission addition</w:t>
      </w:r>
      <w:r w:rsidR="004E3CB4">
        <w:rPr>
          <w:rFonts w:asciiTheme="majorHAnsi" w:eastAsia="Calibri" w:hAnsiTheme="majorHAnsi"/>
          <w:i/>
          <w:sz w:val="22"/>
          <w:lang w:bidi="ar-SA"/>
        </w:rPr>
        <w:t>s</w:t>
      </w:r>
      <w:r w:rsidRPr="00C17957">
        <w:rPr>
          <w:rFonts w:asciiTheme="majorHAnsi" w:eastAsia="Calibri" w:hAnsiTheme="majorHAnsi"/>
          <w:i/>
          <w:sz w:val="22"/>
          <w:lang w:bidi="ar-SA"/>
        </w:rPr>
        <w:t xml:space="preserve"> would not reduce the amount of </w:t>
      </w:r>
      <w:r w:rsidR="006C747E">
        <w:rPr>
          <w:rFonts w:asciiTheme="majorHAnsi" w:eastAsia="Calibri" w:hAnsiTheme="majorHAnsi"/>
          <w:i/>
          <w:sz w:val="22"/>
          <w:lang w:bidi="ar-SA"/>
        </w:rPr>
        <w:t>d</w:t>
      </w:r>
      <w:r w:rsidRPr="00C17957">
        <w:rPr>
          <w:rFonts w:asciiTheme="majorHAnsi" w:eastAsia="Calibri" w:hAnsiTheme="majorHAnsi"/>
          <w:i/>
          <w:sz w:val="22"/>
          <w:lang w:bidi="ar-SA"/>
        </w:rPr>
        <w:t xml:space="preserve">ispatchable resource </w:t>
      </w:r>
      <w:proofErr w:type="gramStart"/>
      <w:r w:rsidR="00E522B5">
        <w:rPr>
          <w:rFonts w:asciiTheme="majorHAnsi" w:eastAsia="Calibri" w:hAnsiTheme="majorHAnsi"/>
          <w:i/>
          <w:sz w:val="22"/>
          <w:lang w:bidi="ar-SA"/>
        </w:rPr>
        <w:t>ca</w:t>
      </w:r>
      <w:r w:rsidRPr="00C17957">
        <w:rPr>
          <w:rFonts w:asciiTheme="majorHAnsi" w:eastAsia="Calibri" w:hAnsiTheme="majorHAnsi"/>
          <w:i/>
          <w:sz w:val="22"/>
          <w:lang w:bidi="ar-SA"/>
        </w:rPr>
        <w:t>p</w:t>
      </w:r>
      <w:r w:rsidR="00654D52">
        <w:rPr>
          <w:rFonts w:asciiTheme="majorHAnsi" w:eastAsia="Calibri" w:hAnsiTheme="majorHAnsi"/>
          <w:i/>
          <w:sz w:val="22"/>
          <w:lang w:bidi="ar-SA"/>
        </w:rPr>
        <w:t>a</w:t>
      </w:r>
      <w:r w:rsidRPr="00C17957">
        <w:rPr>
          <w:rFonts w:asciiTheme="majorHAnsi" w:eastAsia="Calibri" w:hAnsiTheme="majorHAnsi"/>
          <w:i/>
          <w:sz w:val="22"/>
          <w:lang w:bidi="ar-SA"/>
        </w:rPr>
        <w:t>city, but</w:t>
      </w:r>
      <w:proofErr w:type="gramEnd"/>
      <w:r w:rsidRPr="00C17957">
        <w:rPr>
          <w:rFonts w:asciiTheme="majorHAnsi" w:eastAsia="Calibri" w:hAnsiTheme="majorHAnsi"/>
          <w:i/>
          <w:sz w:val="22"/>
          <w:lang w:bidi="ar-SA"/>
        </w:rPr>
        <w:t xml:space="preserve"> would decrease the amount of energy needed from them</w:t>
      </w:r>
      <w:r w:rsidR="004E3CB4">
        <w:rPr>
          <w:rFonts w:asciiTheme="majorHAnsi" w:eastAsia="Calibri" w:hAnsiTheme="majorHAnsi"/>
          <w:i/>
          <w:sz w:val="22"/>
          <w:lang w:bidi="ar-SA"/>
        </w:rPr>
        <w:t>.</w:t>
      </w:r>
    </w:p>
    <w:p w14:paraId="6B56DE47" w14:textId="77777777" w:rsidR="000826CA" w:rsidRPr="00C17957" w:rsidRDefault="000826CA" w:rsidP="00C17957">
      <w:pPr>
        <w:spacing w:after="0" w:line="360" w:lineRule="auto"/>
        <w:ind w:left="0" w:firstLine="0"/>
        <w:rPr>
          <w:rFonts w:asciiTheme="majorHAnsi" w:eastAsia="Calibri" w:hAnsiTheme="majorHAnsi"/>
          <w:sz w:val="22"/>
          <w:lang w:bidi="ar-SA"/>
        </w:rPr>
      </w:pPr>
    </w:p>
    <w:p w14:paraId="7E9A3889" w14:textId="77777777" w:rsidR="000826CA" w:rsidRPr="00C17957" w:rsidRDefault="000826CA" w:rsidP="00C17957">
      <w:pPr>
        <w:spacing w:after="0" w:line="360" w:lineRule="auto"/>
        <w:ind w:left="0" w:firstLine="0"/>
        <w:rPr>
          <w:rFonts w:asciiTheme="majorHAnsi" w:eastAsia="Calibri" w:hAnsiTheme="majorHAnsi"/>
          <w:sz w:val="22"/>
          <w:lang w:bidi="ar-SA"/>
        </w:rPr>
      </w:pPr>
    </w:p>
    <w:p w14:paraId="7D77CB97" w14:textId="77777777" w:rsidR="000826CA" w:rsidRPr="000826CA" w:rsidRDefault="000826CA" w:rsidP="000826CA">
      <w:pPr>
        <w:spacing w:after="0" w:line="259" w:lineRule="auto"/>
        <w:ind w:left="0" w:firstLine="0"/>
        <w:rPr>
          <w:rFonts w:ascii="Calibri" w:eastAsia="Calibri" w:hAnsi="Calibri"/>
          <w:sz w:val="23"/>
          <w:szCs w:val="23"/>
          <w:lang w:bidi="ar-SA"/>
        </w:rPr>
      </w:pPr>
    </w:p>
    <w:p w14:paraId="65C62BAE" w14:textId="2F9EBEFE" w:rsidR="000826CA" w:rsidRPr="000826CA" w:rsidRDefault="000826CA" w:rsidP="000826CA">
      <w:pPr>
        <w:spacing w:after="120" w:line="360" w:lineRule="auto"/>
        <w:ind w:left="0" w:firstLine="432"/>
        <w:rPr>
          <w:rFonts w:ascii="Cambria" w:eastAsia="Arial Narrow" w:hAnsi="Cambria"/>
          <w:bCs/>
          <w:sz w:val="22"/>
          <w:lang w:bidi="ar-SA"/>
        </w:rPr>
      </w:pPr>
      <w:r w:rsidRPr="000826CA">
        <w:rPr>
          <w:rFonts w:ascii="Cambria" w:eastAsia="Arial Narrow" w:hAnsi="Cambria"/>
          <w:bCs/>
          <w:sz w:val="22"/>
          <w:lang w:bidi="ar-SA"/>
        </w:rPr>
        <w:br w:type="page"/>
      </w:r>
    </w:p>
    <w:p w14:paraId="45DE0EED" w14:textId="0247AA98" w:rsidR="00475870" w:rsidRPr="00B62FC5" w:rsidRDefault="00475870" w:rsidP="00475870">
      <w:pPr>
        <w:pStyle w:val="Heading1"/>
      </w:pPr>
      <w:bookmarkStart w:id="82" w:name="_Toc80032295"/>
      <w:bookmarkStart w:id="83" w:name="_Toc80191666"/>
      <w:bookmarkStart w:id="84" w:name="_Toc81138696"/>
      <w:bookmarkStart w:id="85" w:name="_Toc4757605"/>
      <w:bookmarkStart w:id="86" w:name="_Toc70944399"/>
      <w:bookmarkEnd w:id="57"/>
      <w:bookmarkEnd w:id="58"/>
      <w:bookmarkEnd w:id="59"/>
      <w:r>
        <w:lastRenderedPageBreak/>
        <w:t xml:space="preserve">Market Design for a Grid </w:t>
      </w:r>
      <w:proofErr w:type="gramStart"/>
      <w:r>
        <w:t>In</w:t>
      </w:r>
      <w:proofErr w:type="gramEnd"/>
      <w:r>
        <w:t xml:space="preserve"> Transition</w:t>
      </w:r>
      <w:bookmarkEnd w:id="82"/>
      <w:bookmarkEnd w:id="83"/>
      <w:bookmarkEnd w:id="84"/>
      <w:r>
        <w:t xml:space="preserve"> </w:t>
      </w:r>
    </w:p>
    <w:p w14:paraId="72EF633A" w14:textId="08B79342" w:rsidR="00475870" w:rsidRPr="00EC0D32" w:rsidRDefault="00475870" w:rsidP="00475870">
      <w:pPr>
        <w:pStyle w:val="BodyText"/>
        <w:jc w:val="left"/>
      </w:pPr>
      <w:r>
        <w:t>[section to be written]</w:t>
      </w:r>
    </w:p>
    <w:p w14:paraId="55FC1E26" w14:textId="77777777" w:rsidR="00475870" w:rsidRDefault="00475870">
      <w:pPr>
        <w:rPr>
          <w:rFonts w:ascii="Franklin Gothic Medium" w:hAnsi="Franklin Gothic Medium"/>
          <w:bCs/>
          <w:color w:val="005F86"/>
          <w:sz w:val="32"/>
          <w:szCs w:val="28"/>
        </w:rPr>
      </w:pPr>
      <w:r>
        <w:br w:type="page"/>
      </w:r>
    </w:p>
    <w:p w14:paraId="7B880344" w14:textId="740CEE41" w:rsidR="007B7643" w:rsidRPr="00B62FC5" w:rsidRDefault="007B7643" w:rsidP="00571CB8">
      <w:pPr>
        <w:pStyle w:val="Heading1"/>
      </w:pPr>
      <w:bookmarkStart w:id="87" w:name="_Toc80032296"/>
      <w:bookmarkStart w:id="88" w:name="_Toc80191667"/>
      <w:bookmarkStart w:id="89" w:name="_Toc81138697"/>
      <w:r w:rsidRPr="00B62FC5">
        <w:lastRenderedPageBreak/>
        <w:t>Recommended Actions</w:t>
      </w:r>
      <w:bookmarkEnd w:id="85"/>
      <w:bookmarkEnd w:id="86"/>
      <w:bookmarkEnd w:id="87"/>
      <w:bookmarkEnd w:id="88"/>
      <w:r w:rsidR="00BF766B">
        <w:t xml:space="preserve"> and Conclusions</w:t>
      </w:r>
      <w:bookmarkEnd w:id="89"/>
    </w:p>
    <w:p w14:paraId="2BF236C0" w14:textId="4E3D5AC7" w:rsidR="007B7643" w:rsidRPr="00EC0D32" w:rsidRDefault="007B7643" w:rsidP="00571CB8">
      <w:pPr>
        <w:pStyle w:val="BodyText"/>
        <w:jc w:val="left"/>
      </w:pPr>
      <w:r w:rsidRPr="00EC0D32">
        <w:t xml:space="preserve">The </w:t>
      </w:r>
      <w:r w:rsidR="00CF4A3A">
        <w:t>2021</w:t>
      </w:r>
      <w:r w:rsidR="007442E3">
        <w:t>-20</w:t>
      </w:r>
      <w:r w:rsidR="00D53B84">
        <w:t>30</w:t>
      </w:r>
      <w:r w:rsidRPr="00EC0D32">
        <w:t xml:space="preserve"> Comprehensive Reliability Plan </w:t>
      </w:r>
      <w:r w:rsidR="00AA4CAF">
        <w:t>shows no Bulk Power Transmission Facility Reliability Needs and</w:t>
      </w:r>
      <w:r w:rsidR="008E4276">
        <w:t>, therefore, no</w:t>
      </w:r>
      <w:r w:rsidR="00AA4CAF">
        <w:t xml:space="preserve"> </w:t>
      </w:r>
      <w:r w:rsidR="00CF4A3A">
        <w:t xml:space="preserve">additional </w:t>
      </w:r>
      <w:r w:rsidR="00AA4CAF">
        <w:t>solutions</w:t>
      </w:r>
      <w:r w:rsidR="00CF4A3A">
        <w:t xml:space="preserve"> are necessary</w:t>
      </w:r>
      <w:r w:rsidR="00AA4CAF">
        <w:t>.  Nevertheless, the Compre</w:t>
      </w:r>
      <w:r w:rsidR="003E52BD">
        <w:t>he</w:t>
      </w:r>
      <w:r w:rsidR="00AA4CAF">
        <w:t xml:space="preserve">nsive Reliability Plan </w:t>
      </w:r>
      <w:r w:rsidRPr="00EC0D32">
        <w:t xml:space="preserve">contains the following </w:t>
      </w:r>
      <w:r w:rsidR="00CF4A3A">
        <w:t xml:space="preserve">recommendations </w:t>
      </w:r>
      <w:r w:rsidR="00AA4CAF">
        <w:t>based on risks to bulk power system reliability</w:t>
      </w:r>
      <w:r w:rsidRPr="00EC0D32">
        <w:t>:</w:t>
      </w:r>
    </w:p>
    <w:p w14:paraId="062B1EB9" w14:textId="7D905B50" w:rsidR="00A624A1" w:rsidRPr="00EC0D32" w:rsidRDefault="007B7643" w:rsidP="00571CB8">
      <w:pPr>
        <w:pStyle w:val="Heading2"/>
      </w:pPr>
      <w:bookmarkStart w:id="90" w:name="_Toc4757606"/>
      <w:bookmarkStart w:id="91" w:name="_Toc70944400"/>
      <w:bookmarkStart w:id="92" w:name="_Toc80032297"/>
      <w:bookmarkStart w:id="93" w:name="_Toc80191668"/>
      <w:bookmarkStart w:id="94" w:name="_Toc81138698"/>
      <w:r w:rsidRPr="00EC0D32">
        <w:t>Monitor and T</w:t>
      </w:r>
      <w:r w:rsidR="00A624A1" w:rsidRPr="00EC0D32">
        <w:t>rack Potential New Developments</w:t>
      </w:r>
      <w:bookmarkEnd w:id="90"/>
      <w:bookmarkEnd w:id="91"/>
      <w:bookmarkEnd w:id="92"/>
      <w:bookmarkEnd w:id="93"/>
      <w:bookmarkEnd w:id="94"/>
    </w:p>
    <w:p w14:paraId="3F4650CF" w14:textId="2DBDFB47" w:rsidR="007B7643" w:rsidRPr="00D1439D" w:rsidRDefault="007B7643" w:rsidP="00571CB8">
      <w:pPr>
        <w:pStyle w:val="BodyText"/>
        <w:jc w:val="left"/>
      </w:pPr>
      <w:r w:rsidRPr="00D53B84">
        <w:t>The en</w:t>
      </w:r>
      <w:r w:rsidR="00D1439D" w:rsidRPr="00D53B84">
        <w:t>ergy industry is in transition.</w:t>
      </w:r>
      <w:r w:rsidRPr="00D53B84">
        <w:t xml:space="preserve"> Economic conditions, governmental programs and environmental regulations are changing quickly, resulting in financial stresses that may lead to the loss of resources or, alternatively, that could posit</w:t>
      </w:r>
      <w:r w:rsidR="00B63C42" w:rsidRPr="00D53B84">
        <w:t>ively affect system conditions.</w:t>
      </w:r>
      <w:r w:rsidRPr="00D53B84">
        <w:t xml:space="preserve"> </w:t>
      </w:r>
      <w:r w:rsidR="00C338EF" w:rsidRPr="00D53B84">
        <w:t xml:space="preserve"> </w:t>
      </w:r>
      <w:r w:rsidRPr="00D53B84">
        <w:t xml:space="preserve">New market-based generation and transmission projects under study in the NYISO’s interconnection process could increase the reliability margin </w:t>
      </w:r>
      <w:r w:rsidR="006237B9" w:rsidRPr="00D53B84">
        <w:t xml:space="preserve">of the electric system </w:t>
      </w:r>
      <w:r w:rsidRPr="00D53B84">
        <w:t>in the long term, if such capacity comes into se</w:t>
      </w:r>
      <w:r w:rsidR="007D2450" w:rsidRPr="00D53B84">
        <w:t xml:space="preserve">rvice during the Study Period. </w:t>
      </w:r>
      <w:r w:rsidR="00BC4835" w:rsidRPr="00D53B84">
        <w:t xml:space="preserve"> </w:t>
      </w:r>
      <w:r w:rsidRPr="00D53B84">
        <w:t>The NYISO will monitor and track these developments and consider their potential impacts</w:t>
      </w:r>
      <w:r w:rsidR="007D2450" w:rsidRPr="00D53B84">
        <w:t xml:space="preserve"> on future system reliability. </w:t>
      </w:r>
      <w:r w:rsidR="00C338EF" w:rsidRPr="00D53B84">
        <w:t xml:space="preserve"> </w:t>
      </w:r>
      <w:r w:rsidRPr="00D53B84">
        <w:t xml:space="preserve">The NYISO will administer its </w:t>
      </w:r>
      <w:r w:rsidR="008E4276">
        <w:t>Short-Term Reliability Process</w:t>
      </w:r>
      <w:r w:rsidRPr="00D53B84">
        <w:t xml:space="preserve"> </w:t>
      </w:r>
      <w:r w:rsidR="008E4276">
        <w:t xml:space="preserve">to address </w:t>
      </w:r>
      <w:r w:rsidRPr="00D53B84">
        <w:t>Generator Deactivation Notice</w:t>
      </w:r>
      <w:r w:rsidR="00CF4A3A">
        <w:t>s</w:t>
      </w:r>
      <w:r w:rsidR="008E4276">
        <w:t xml:space="preserve"> and other system changes on a quarterly basis.  The NYISO will continuously evaluate a forward-looking </w:t>
      </w:r>
      <w:r w:rsidR="00CF4A3A">
        <w:t>five-year</w:t>
      </w:r>
      <w:r w:rsidR="008E4276">
        <w:t xml:space="preserve"> period</w:t>
      </w:r>
      <w:r w:rsidRPr="00D53B84">
        <w:t>, and,</w:t>
      </w:r>
      <w:r w:rsidR="007D2450" w:rsidRPr="00D53B84">
        <w:t xml:space="preserve"> if necessary, seek solutions. </w:t>
      </w:r>
      <w:r w:rsidR="00BC4835" w:rsidRPr="00D53B84">
        <w:t xml:space="preserve"> </w:t>
      </w:r>
      <w:r w:rsidRPr="00D53B84">
        <w:t xml:space="preserve">In addition, if a threat to reliability appears to be imminent, the NYISO may request </w:t>
      </w:r>
      <w:r w:rsidR="008E4276">
        <w:t xml:space="preserve">immediate </w:t>
      </w:r>
      <w:r w:rsidRPr="00D53B84">
        <w:t>solutions outside of the normal planning cycle, in accordance with its tariffs and procedures.</w:t>
      </w:r>
      <w:r w:rsidRPr="00D1439D">
        <w:t xml:space="preserve"> </w:t>
      </w:r>
      <w:r w:rsidR="00BC4835">
        <w:t xml:space="preserve"> </w:t>
      </w:r>
    </w:p>
    <w:p w14:paraId="0796F87C" w14:textId="0C36AC23" w:rsidR="007B7643" w:rsidRPr="003546AF" w:rsidRDefault="007B7643" w:rsidP="00571CB8">
      <w:pPr>
        <w:pStyle w:val="Heading2"/>
      </w:pPr>
      <w:bookmarkStart w:id="95" w:name="_Toc4757607"/>
      <w:bookmarkStart w:id="96" w:name="_Toc70944401"/>
      <w:bookmarkStart w:id="97" w:name="_Toc80032298"/>
      <w:bookmarkStart w:id="98" w:name="_Toc80191669"/>
      <w:bookmarkStart w:id="99" w:name="_Toc81138699"/>
      <w:r w:rsidRPr="003546AF">
        <w:t>Monitor and Track Transmission Owner Plans</w:t>
      </w:r>
      <w:bookmarkEnd w:id="95"/>
      <w:bookmarkEnd w:id="96"/>
      <w:bookmarkEnd w:id="97"/>
      <w:bookmarkEnd w:id="98"/>
      <w:bookmarkEnd w:id="99"/>
    </w:p>
    <w:p w14:paraId="45C75402" w14:textId="4B89D0F7" w:rsidR="007B7643" w:rsidRDefault="007B7643" w:rsidP="00571CB8">
      <w:pPr>
        <w:pStyle w:val="BodyText"/>
        <w:jc w:val="left"/>
        <w:rPr>
          <w:color w:val="FF0000"/>
        </w:rPr>
      </w:pPr>
      <w:r w:rsidRPr="00D53B84">
        <w:t>To provide for the long-term reliability of the system and minimize reliance on interim operating procedures</w:t>
      </w:r>
      <w:r w:rsidR="00647279" w:rsidRPr="00D53B84">
        <w:t>,</w:t>
      </w:r>
      <w:r w:rsidRPr="00D53B84">
        <w:t xml:space="preserve"> the </w:t>
      </w:r>
      <w:r w:rsidR="007442E3" w:rsidRPr="00D53B84">
        <w:t xml:space="preserve">Transmission Owners </w:t>
      </w:r>
      <w:r w:rsidRPr="00D53B84">
        <w:t xml:space="preserve">need to complete the projects identified in their </w:t>
      </w:r>
      <w:r w:rsidR="007442E3" w:rsidRPr="00D53B84">
        <w:t xml:space="preserve">Local Transmission Owner Plans </w:t>
      </w:r>
      <w:r w:rsidR="007D2450" w:rsidRPr="00D53B84">
        <w:t xml:space="preserve">on schedule and as planned. </w:t>
      </w:r>
      <w:r w:rsidR="00BC4835" w:rsidRPr="00D53B84">
        <w:t xml:space="preserve"> </w:t>
      </w:r>
      <w:r w:rsidRPr="00D53B84">
        <w:t xml:space="preserve">It is important that the local transmission projects that are identified in this CRP to maintain reliability be sited and constructed on a timely basis. </w:t>
      </w:r>
      <w:r w:rsidR="00BC4835" w:rsidRPr="00D53B84">
        <w:t xml:space="preserve"> </w:t>
      </w:r>
      <w:r w:rsidRPr="00D53B84">
        <w:t xml:space="preserve">The NYISO will continue to monitor the completion of the identified projects and the progress of </w:t>
      </w:r>
      <w:r w:rsidR="007442E3" w:rsidRPr="00D53B84">
        <w:t>local transmission projects</w:t>
      </w:r>
      <w:r w:rsidRPr="00D53B84">
        <w:t xml:space="preserve"> as they relate to the Reliability Needs initially identified in the R</w:t>
      </w:r>
      <w:r w:rsidR="00AA4CAF">
        <w:t>eliability Needs Assessment</w:t>
      </w:r>
      <w:r w:rsidRPr="00D53B84">
        <w:t>.</w:t>
      </w:r>
      <w:r w:rsidRPr="00734BDB">
        <w:rPr>
          <w:color w:val="FF0000"/>
        </w:rPr>
        <w:t xml:space="preserve"> </w:t>
      </w:r>
      <w:r w:rsidR="00BC4835" w:rsidRPr="00734BDB">
        <w:rPr>
          <w:color w:val="FF0000"/>
        </w:rPr>
        <w:t xml:space="preserve"> </w:t>
      </w:r>
      <w:r w:rsidR="00EA1C23" w:rsidRPr="00475E88">
        <w:t>These include the following:</w:t>
      </w:r>
    </w:p>
    <w:p w14:paraId="2CF8B8EC" w14:textId="5CE0609F" w:rsidR="00EA1C23" w:rsidRPr="00F73A27" w:rsidRDefault="00CF4A3A" w:rsidP="00EA1C23">
      <w:pPr>
        <w:pStyle w:val="BodyText"/>
        <w:numPr>
          <w:ilvl w:val="0"/>
          <w:numId w:val="8"/>
        </w:numPr>
      </w:pPr>
      <w:r>
        <w:t xml:space="preserve">Updated </w:t>
      </w:r>
      <w:r w:rsidR="00380512">
        <w:t>Local Transmission Owner Plans</w:t>
      </w:r>
      <w:r w:rsidR="00EA1C23" w:rsidRPr="00F73A27">
        <w:t xml:space="preserve"> (LTPs) as presented by Con Edison at the January 25, </w:t>
      </w:r>
      <w:proofErr w:type="gramStart"/>
      <w:r w:rsidR="00EA1C23" w:rsidRPr="00F73A27">
        <w:t>2021</w:t>
      </w:r>
      <w:proofErr w:type="gramEnd"/>
      <w:r w:rsidR="00EA1C23" w:rsidRPr="00F73A27">
        <w:t xml:space="preserve"> ESPWG/TPAS </w:t>
      </w:r>
      <w:r w:rsidR="00EA1C23" w:rsidRPr="00E03438">
        <w:t>[</w:t>
      </w:r>
      <w:hyperlink r:id="rId49" w:history="1">
        <w:r w:rsidR="00EA1C23" w:rsidRPr="009628BF">
          <w:t>link</w:t>
        </w:r>
      </w:hyperlink>
      <w:r w:rsidR="00EA1C23" w:rsidRPr="00E03438">
        <w:t>]:</w:t>
      </w:r>
    </w:p>
    <w:p w14:paraId="5CDB1079" w14:textId="77777777" w:rsidR="00EA1C23" w:rsidRPr="00E03438" w:rsidRDefault="00EA1C23" w:rsidP="00EA1C23">
      <w:pPr>
        <w:pStyle w:val="BodyText"/>
        <w:numPr>
          <w:ilvl w:val="1"/>
          <w:numId w:val="8"/>
        </w:numPr>
        <w:spacing w:line="276" w:lineRule="auto"/>
      </w:pPr>
      <w:r w:rsidRPr="00E03438">
        <w:t>A new 345/138 kV PAR controlled 138 kV Rainey – Corona feeder</w:t>
      </w:r>
      <w:r>
        <w:t xml:space="preserve"> (ISD 2023)</w:t>
      </w:r>
    </w:p>
    <w:p w14:paraId="5B13CA85" w14:textId="77777777" w:rsidR="00EA1C23" w:rsidRPr="00E03438" w:rsidRDefault="00EA1C23" w:rsidP="00EA1C23">
      <w:pPr>
        <w:pStyle w:val="BodyText"/>
        <w:numPr>
          <w:ilvl w:val="1"/>
          <w:numId w:val="8"/>
        </w:numPr>
        <w:spacing w:line="276" w:lineRule="auto"/>
      </w:pPr>
      <w:r w:rsidRPr="00E03438">
        <w:t>A new 345/138 kV PAR controlled 138 kV Gowanus – Greenwood feeder</w:t>
      </w:r>
      <w:r>
        <w:t xml:space="preserve"> (ISD 2025)</w:t>
      </w:r>
    </w:p>
    <w:p w14:paraId="214D44FB" w14:textId="77777777" w:rsidR="00EA1C23" w:rsidRPr="00E03438" w:rsidRDefault="00EA1C23" w:rsidP="00EA1C23">
      <w:pPr>
        <w:pStyle w:val="BodyText"/>
        <w:numPr>
          <w:ilvl w:val="1"/>
          <w:numId w:val="8"/>
        </w:numPr>
        <w:spacing w:line="276" w:lineRule="auto"/>
      </w:pPr>
      <w:r w:rsidRPr="00E03438">
        <w:t>A new 345/138 kV PAR controlled 138 kV Goethals – Fox Hills feeder</w:t>
      </w:r>
      <w:r>
        <w:t xml:space="preserve"> (ISD 2025)</w:t>
      </w:r>
    </w:p>
    <w:p w14:paraId="2C5C23E8" w14:textId="1FC2357E" w:rsidR="00EA1C23" w:rsidRPr="00F73A27" w:rsidRDefault="00EA1C23" w:rsidP="00EA1C23">
      <w:pPr>
        <w:pStyle w:val="BodyText"/>
        <w:numPr>
          <w:ilvl w:val="0"/>
          <w:numId w:val="8"/>
        </w:numPr>
      </w:pPr>
      <w:r w:rsidRPr="00F73A27">
        <w:t xml:space="preserve">Short Term Reliability </w:t>
      </w:r>
      <w:r w:rsidR="00380512">
        <w:t>Process</w:t>
      </w:r>
      <w:r w:rsidR="00380512" w:rsidRPr="00F73A27">
        <w:t xml:space="preserve"> </w:t>
      </w:r>
      <w:r w:rsidRPr="00F73A27">
        <w:t>solution for addressing the 2023 short-term need</w:t>
      </w:r>
      <w:r>
        <w:t xml:space="preserve"> identified in the Q3</w:t>
      </w:r>
      <w:r w:rsidR="00CF4A3A">
        <w:t>-2020</w:t>
      </w:r>
      <w:r>
        <w:t xml:space="preserve"> STAR</w:t>
      </w:r>
      <w:r w:rsidRPr="00F73A27">
        <w:t xml:space="preserve"> [</w:t>
      </w:r>
      <w:hyperlink r:id="rId50" w:history="1">
        <w:r w:rsidRPr="009628BF">
          <w:t>link</w:t>
        </w:r>
      </w:hyperlink>
      <w:r w:rsidRPr="00F73A27">
        <w:t xml:space="preserve">].  The solution </w:t>
      </w:r>
      <w:r>
        <w:t>changed</w:t>
      </w:r>
      <w:r w:rsidRPr="00F73A27">
        <w:t xml:space="preserve"> the planned operating status of existing series </w:t>
      </w:r>
      <w:r w:rsidRPr="00F73A27">
        <w:lastRenderedPageBreak/>
        <w:t xml:space="preserve">reactors, starting summer 2023 through 2030: </w:t>
      </w:r>
    </w:p>
    <w:p w14:paraId="65DA4323" w14:textId="77777777" w:rsidR="00EA1C23" w:rsidRPr="00E03438" w:rsidRDefault="00EA1C23" w:rsidP="00EA1C23">
      <w:pPr>
        <w:pStyle w:val="BodyText"/>
        <w:numPr>
          <w:ilvl w:val="2"/>
          <w:numId w:val="8"/>
        </w:numPr>
        <w:spacing w:line="276" w:lineRule="auto"/>
      </w:pPr>
      <w:r>
        <w:t>I</w:t>
      </w:r>
      <w:r w:rsidRPr="00E03438">
        <w:t>n</w:t>
      </w:r>
      <w:r>
        <w:t>-service: series reactors</w:t>
      </w:r>
      <w:r w:rsidRPr="00E03438">
        <w:t xml:space="preserve"> on the following 345 kV cables: 71, 72, M51, M52</w:t>
      </w:r>
    </w:p>
    <w:p w14:paraId="014E76FA" w14:textId="77777777" w:rsidR="00EA1C23" w:rsidRDefault="00EA1C23" w:rsidP="00EA1C23">
      <w:pPr>
        <w:pStyle w:val="BodyText"/>
        <w:numPr>
          <w:ilvl w:val="2"/>
          <w:numId w:val="8"/>
        </w:numPr>
        <w:spacing w:line="276" w:lineRule="auto"/>
      </w:pPr>
      <w:r>
        <w:t>Bypass:</w:t>
      </w:r>
      <w:r w:rsidRPr="00E03438">
        <w:t xml:space="preserve"> </w:t>
      </w:r>
      <w:r>
        <w:t>series reactors</w:t>
      </w:r>
      <w:r w:rsidRPr="00E03438">
        <w:t xml:space="preserve"> on the following 345 kV cables: 41, 42, Y49</w:t>
      </w:r>
    </w:p>
    <w:p w14:paraId="3A36FF75" w14:textId="24D2812F" w:rsidR="00EA1C23" w:rsidRDefault="00F63A2F" w:rsidP="000B41AB">
      <w:pPr>
        <w:pStyle w:val="BodyText"/>
        <w:numPr>
          <w:ilvl w:val="0"/>
          <w:numId w:val="8"/>
        </w:numPr>
        <w:jc w:val="left"/>
      </w:pPr>
      <w:r>
        <w:t>T</w:t>
      </w:r>
      <w:r w:rsidR="00EA1C23" w:rsidRPr="009628BF">
        <w:t xml:space="preserve">ransient voltage response issues were observed on Con Edison’s non-BPTF system </w:t>
      </w:r>
      <w:r>
        <w:t>from</w:t>
      </w:r>
      <w:r w:rsidRPr="009628BF">
        <w:t xml:space="preserve"> </w:t>
      </w:r>
      <w:r w:rsidR="00EA1C23" w:rsidRPr="009628BF">
        <w:t xml:space="preserve">2025 through 2030, while the BPTF violations </w:t>
      </w:r>
      <w:r w:rsidR="00EA1C23">
        <w:t>were</w:t>
      </w:r>
      <w:r w:rsidR="00EA1C23" w:rsidRPr="009628BF">
        <w:t xml:space="preserve"> observed </w:t>
      </w:r>
      <w:r w:rsidR="00EA1C23">
        <w:t>starting in</w:t>
      </w:r>
      <w:r w:rsidR="00EA1C23" w:rsidRPr="009628BF">
        <w:t xml:space="preserve"> 2029. Con Edison will address the non-BPTF violations with a Corrective Action Plan as required by NERC Standard TPL-001-4.  When the non-BPTF violations are addressed, the BPTF violations </w:t>
      </w:r>
      <w:r>
        <w:t>will</w:t>
      </w:r>
      <w:r w:rsidRPr="009628BF">
        <w:t xml:space="preserve"> </w:t>
      </w:r>
      <w:r w:rsidR="00EA1C23" w:rsidRPr="009628BF">
        <w:t xml:space="preserve">no longer </w:t>
      </w:r>
      <w:r>
        <w:t>occur</w:t>
      </w:r>
      <w:r w:rsidR="00EA1C23" w:rsidRPr="009628BF">
        <w:t>. [</w:t>
      </w:r>
      <w:hyperlink r:id="rId51" w:history="1">
        <w:r w:rsidR="00EA1C23" w:rsidRPr="009628BF">
          <w:t>link</w:t>
        </w:r>
      </w:hyperlink>
      <w:r w:rsidR="00EA1C23" w:rsidRPr="009628BF">
        <w:t>]</w:t>
      </w:r>
    </w:p>
    <w:p w14:paraId="0AEEBBF4" w14:textId="77777777" w:rsidR="007B7643" w:rsidRPr="00EC0D32" w:rsidRDefault="007B7643" w:rsidP="00571CB8">
      <w:pPr>
        <w:pStyle w:val="Heading2"/>
      </w:pPr>
      <w:bookmarkStart w:id="100" w:name="_Toc4757608"/>
      <w:bookmarkStart w:id="101" w:name="_Toc70944402"/>
      <w:bookmarkStart w:id="102" w:name="_Toc80032299"/>
      <w:bookmarkStart w:id="103" w:name="_Toc80191670"/>
      <w:bookmarkStart w:id="104" w:name="_Toc81138700"/>
      <w:r w:rsidRPr="00EC0D32">
        <w:t>Continue Coordination with the New York State Public Service Commission</w:t>
      </w:r>
      <w:bookmarkEnd w:id="100"/>
      <w:bookmarkEnd w:id="101"/>
      <w:bookmarkEnd w:id="102"/>
      <w:bookmarkEnd w:id="103"/>
      <w:bookmarkEnd w:id="104"/>
      <w:r w:rsidRPr="00EC0D32">
        <w:t xml:space="preserve"> </w:t>
      </w:r>
    </w:p>
    <w:p w14:paraId="03AD3059" w14:textId="513072F0" w:rsidR="0095062D" w:rsidRPr="00D53B84" w:rsidRDefault="007B7643" w:rsidP="00571CB8">
      <w:pPr>
        <w:pStyle w:val="BodyText"/>
        <w:jc w:val="left"/>
      </w:pPr>
      <w:r w:rsidRPr="00D53B84">
        <w:t xml:space="preserve">The NYISO will continue to coordinate its system planning activities with the PSC, </w:t>
      </w:r>
      <w:r w:rsidR="007442E3" w:rsidRPr="00D53B84">
        <w:t xml:space="preserve">particularly as part of </w:t>
      </w:r>
      <w:r w:rsidRPr="00D53B84">
        <w:t xml:space="preserve">the Public Policy Transmission Planning Process that is addressing transmission needs in Western New York, </w:t>
      </w:r>
      <w:r w:rsidR="00AA4CAF">
        <w:t xml:space="preserve">the </w:t>
      </w:r>
      <w:r w:rsidRPr="00D53B84">
        <w:t xml:space="preserve">Mohawk Valley and Hudson Valley transmission corridors, </w:t>
      </w:r>
      <w:r w:rsidR="00AA4CAF">
        <w:t xml:space="preserve">and for integration of offshore wind </w:t>
      </w:r>
      <w:r w:rsidRPr="00D53B84">
        <w:t xml:space="preserve">as part of </w:t>
      </w:r>
      <w:r w:rsidR="002F21F4" w:rsidRPr="00D53B84">
        <w:t xml:space="preserve">the NYISO’s </w:t>
      </w:r>
      <w:r w:rsidRPr="00D53B84">
        <w:t>overall Comprehe</w:t>
      </w:r>
      <w:r w:rsidR="007D2450" w:rsidRPr="00D53B84">
        <w:t xml:space="preserve">nsive System Planning Process. </w:t>
      </w:r>
      <w:r w:rsidR="00BC4835" w:rsidRPr="00D53B84">
        <w:t xml:space="preserve"> </w:t>
      </w:r>
      <w:r w:rsidR="006237B9" w:rsidRPr="00D53B84">
        <w:t>If the PSC determines that there is</w:t>
      </w:r>
      <w:r w:rsidR="0084719A">
        <w:t xml:space="preserve"> an additional P</w:t>
      </w:r>
      <w:r w:rsidR="007442E3" w:rsidRPr="00D53B84">
        <w:t xml:space="preserve">ublic </w:t>
      </w:r>
      <w:r w:rsidR="0084719A">
        <w:t>P</w:t>
      </w:r>
      <w:r w:rsidR="007442E3" w:rsidRPr="00D53B84">
        <w:t xml:space="preserve">olicy </w:t>
      </w:r>
      <w:r w:rsidR="0084719A">
        <w:t>R</w:t>
      </w:r>
      <w:r w:rsidR="007442E3" w:rsidRPr="00D53B84">
        <w:t xml:space="preserve">equirement </w:t>
      </w:r>
      <w:r w:rsidR="0084719A">
        <w:t xml:space="preserve">that is </w:t>
      </w:r>
      <w:r w:rsidR="007442E3" w:rsidRPr="00D53B84">
        <w:t xml:space="preserve">driving the </w:t>
      </w:r>
      <w:r w:rsidR="006237B9" w:rsidRPr="00D53B84">
        <w:t xml:space="preserve">need for transmission, the NYISO will solicit projects from developers to fulfill that need. </w:t>
      </w:r>
      <w:r w:rsidR="00BC4835" w:rsidRPr="00D53B84">
        <w:t xml:space="preserve"> </w:t>
      </w:r>
    </w:p>
    <w:p w14:paraId="26247C5B" w14:textId="4F86B76C" w:rsidR="007B7643" w:rsidRPr="00734BDB" w:rsidRDefault="007B7643" w:rsidP="00571CB8">
      <w:pPr>
        <w:pStyle w:val="BodyText"/>
        <w:jc w:val="left"/>
        <w:rPr>
          <w:color w:val="FF0000"/>
        </w:rPr>
      </w:pPr>
      <w:r w:rsidRPr="00D53B84">
        <w:t>In addition, the State of New York is presently considering expanding and extending a variety of clean energy programs that are designed to increase deployment of energy efficiency, renewable generation an</w:t>
      </w:r>
      <w:r w:rsidR="007D2450" w:rsidRPr="00D53B84">
        <w:t xml:space="preserve">d </w:t>
      </w:r>
      <w:r w:rsidR="00A842B7" w:rsidRPr="00D53B84">
        <w:t>DERs</w:t>
      </w:r>
      <w:r w:rsidR="007D2450" w:rsidRPr="00D53B84">
        <w:t>.</w:t>
      </w:r>
      <w:r w:rsidRPr="00D53B84">
        <w:t xml:space="preserve"> </w:t>
      </w:r>
      <w:r w:rsidR="00BC4835" w:rsidRPr="00D53B84">
        <w:t xml:space="preserve"> </w:t>
      </w:r>
      <w:r w:rsidRPr="00D53B84">
        <w:t>Existing energy efficiency, codes and standards, distributed generation and solar (behind-the-meter) program initiatives are reflected in the load forecast and resou</w:t>
      </w:r>
      <w:r w:rsidR="007D2450" w:rsidRPr="00D53B84">
        <w:t>rces modeled in this</w:t>
      </w:r>
      <w:r w:rsidR="007442E3" w:rsidRPr="00D53B84">
        <w:t xml:space="preserve"> CRP</w:t>
      </w:r>
      <w:r w:rsidR="007D2450" w:rsidRPr="00D53B84">
        <w:t>.</w:t>
      </w:r>
      <w:r w:rsidRPr="00D53B84">
        <w:t xml:space="preserve"> </w:t>
      </w:r>
      <w:r w:rsidR="00BC4835" w:rsidRPr="00D53B84">
        <w:t xml:space="preserve"> </w:t>
      </w:r>
      <w:r w:rsidRPr="00D53B84">
        <w:t xml:space="preserve">However, </w:t>
      </w:r>
      <w:r w:rsidR="00893E4D" w:rsidRPr="00D53B84">
        <w:t xml:space="preserve">there are </w:t>
      </w:r>
      <w:r w:rsidRPr="00D53B84">
        <w:t>new initiatives that have not been implemented</w:t>
      </w:r>
      <w:r w:rsidR="00893E4D" w:rsidRPr="00D53B84">
        <w:t xml:space="preserve"> yet or recognized in this Reliability Planning Process cycle</w:t>
      </w:r>
      <w:r w:rsidRPr="00D53B84">
        <w:t xml:space="preserve"> </w:t>
      </w:r>
      <w:r w:rsidR="00893E4D" w:rsidRPr="00D53B84">
        <w:t xml:space="preserve">that </w:t>
      </w:r>
      <w:r w:rsidRPr="00D53B84">
        <w:t xml:space="preserve">could positively affect </w:t>
      </w:r>
      <w:r w:rsidR="00893E4D" w:rsidRPr="00D53B84">
        <w:t xml:space="preserve">bulk power system </w:t>
      </w:r>
      <w:r w:rsidRPr="00D53B84">
        <w:t>reliability</w:t>
      </w:r>
      <w:r w:rsidR="007D2450" w:rsidRPr="00D53B84">
        <w:t>.</w:t>
      </w:r>
      <w:r w:rsidRPr="00D53B84">
        <w:t xml:space="preserve"> </w:t>
      </w:r>
      <w:r w:rsidR="00BC4835" w:rsidRPr="00D53B84">
        <w:t xml:space="preserve"> </w:t>
      </w:r>
      <w:r w:rsidRPr="00D53B84">
        <w:t xml:space="preserve">The NYISO will continue to monitor and participate in other planning activities including, but not limited to, </w:t>
      </w:r>
      <w:r w:rsidR="00184C9C" w:rsidRPr="00D53B84">
        <w:t>PSC proceedings considering</w:t>
      </w:r>
      <w:r w:rsidR="0084719A">
        <w:t>; (</w:t>
      </w:r>
      <w:proofErr w:type="spellStart"/>
      <w:r w:rsidR="0084719A">
        <w:t>i</w:t>
      </w:r>
      <w:proofErr w:type="spellEnd"/>
      <w:r w:rsidR="0084719A">
        <w:t>)</w:t>
      </w:r>
      <w:r w:rsidR="00184C9C" w:rsidRPr="00D53B84">
        <w:t xml:space="preserve"> </w:t>
      </w:r>
      <w:r w:rsidR="0084719A">
        <w:t xml:space="preserve">fulfilling the requirements of the Climate Leadership and Community Protection Act (CLCPA), (ii) implementation of the Accelerated Renewable Energy and Community Benefit Act (AREA), (iii) </w:t>
      </w:r>
      <w:r w:rsidRPr="00D53B84">
        <w:t xml:space="preserve">Reforming the Energy Vision (REV), </w:t>
      </w:r>
      <w:r w:rsidR="0084719A">
        <w:t xml:space="preserve">(iv) </w:t>
      </w:r>
      <w:r w:rsidR="006237B9" w:rsidRPr="00D53B84">
        <w:t xml:space="preserve">Offshore Wind </w:t>
      </w:r>
      <w:r w:rsidR="00A842B7" w:rsidRPr="00D53B84">
        <w:t>Standard</w:t>
      </w:r>
      <w:r w:rsidR="006237B9" w:rsidRPr="00D53B84">
        <w:t xml:space="preserve"> and procurement</w:t>
      </w:r>
      <w:r w:rsidR="005A3AE6" w:rsidRPr="00D53B84">
        <w:t>s</w:t>
      </w:r>
      <w:r w:rsidR="006237B9" w:rsidRPr="00D53B84">
        <w:t xml:space="preserve">, </w:t>
      </w:r>
      <w:r w:rsidR="0084719A">
        <w:t xml:space="preserve">(v) </w:t>
      </w:r>
      <w:r w:rsidR="006237B9" w:rsidRPr="00D53B84">
        <w:t xml:space="preserve">Renewable Energy Credits (RECs), </w:t>
      </w:r>
      <w:r w:rsidR="0084719A">
        <w:t xml:space="preserve">(vi) </w:t>
      </w:r>
      <w:r w:rsidR="006237B9" w:rsidRPr="00D53B84">
        <w:t>Zero Emission Credits (ZECs)</w:t>
      </w:r>
      <w:r w:rsidRPr="00D53B84">
        <w:t xml:space="preserve">, </w:t>
      </w:r>
      <w:r w:rsidR="0084719A">
        <w:t xml:space="preserve">(vii) </w:t>
      </w:r>
      <w:r w:rsidR="006570D7" w:rsidRPr="00D53B84">
        <w:t>d</w:t>
      </w:r>
      <w:r w:rsidRPr="00D53B84">
        <w:t xml:space="preserve">istributed </w:t>
      </w:r>
      <w:r w:rsidR="006570D7" w:rsidRPr="00D53B84">
        <w:t>e</w:t>
      </w:r>
      <w:r w:rsidRPr="00D53B84">
        <w:t xml:space="preserve">nergy </w:t>
      </w:r>
      <w:r w:rsidR="006570D7" w:rsidRPr="00D53B84">
        <w:t>r</w:t>
      </w:r>
      <w:r w:rsidRPr="00D53B84">
        <w:t>esources</w:t>
      </w:r>
      <w:r w:rsidR="00184C9C" w:rsidRPr="00D53B84">
        <w:t xml:space="preserve"> (DER</w:t>
      </w:r>
      <w:r w:rsidR="002F21F4" w:rsidRPr="00D53B84">
        <w:t>s</w:t>
      </w:r>
      <w:r w:rsidR="00184C9C" w:rsidRPr="00D53B84">
        <w:t>)</w:t>
      </w:r>
      <w:r w:rsidRPr="00D53B84">
        <w:t xml:space="preserve">, </w:t>
      </w:r>
      <w:r w:rsidR="0084719A">
        <w:t xml:space="preserve">(viii) </w:t>
      </w:r>
      <w:r w:rsidR="006570D7" w:rsidRPr="00D53B84">
        <w:t>e</w:t>
      </w:r>
      <w:r w:rsidR="006237B9" w:rsidRPr="00D53B84">
        <w:t xml:space="preserve">nergy </w:t>
      </w:r>
      <w:r w:rsidR="006570D7" w:rsidRPr="00D53B84">
        <w:t>s</w:t>
      </w:r>
      <w:r w:rsidR="006237B9" w:rsidRPr="00D53B84">
        <w:t xml:space="preserve">torage </w:t>
      </w:r>
      <w:r w:rsidR="006570D7" w:rsidRPr="00D53B84">
        <w:t>r</w:t>
      </w:r>
      <w:r w:rsidR="008C6957" w:rsidRPr="00D53B84">
        <w:t>esources</w:t>
      </w:r>
      <w:r w:rsidR="0084719A">
        <w:t xml:space="preserve"> (ESRs)</w:t>
      </w:r>
      <w:r w:rsidR="006570D7" w:rsidRPr="00D53B84">
        <w:t xml:space="preserve">, </w:t>
      </w:r>
      <w:r w:rsidR="0084719A">
        <w:t xml:space="preserve">(ix) </w:t>
      </w:r>
      <w:r w:rsidR="006570D7" w:rsidRPr="00D53B84">
        <w:t xml:space="preserve">energy efficiency, </w:t>
      </w:r>
      <w:r w:rsidRPr="00D53B84">
        <w:t>and</w:t>
      </w:r>
      <w:r w:rsidR="0084719A">
        <w:t xml:space="preserve"> (x)</w:t>
      </w:r>
      <w:r w:rsidRPr="00D53B84">
        <w:t xml:space="preserve"> individual proceedings on </w:t>
      </w:r>
      <w:r w:rsidR="0084719A">
        <w:t xml:space="preserve">transmission siting and </w:t>
      </w:r>
      <w:r w:rsidRPr="00D53B84">
        <w:t>generati</w:t>
      </w:r>
      <w:r w:rsidR="007D2450" w:rsidRPr="00D53B84">
        <w:t>on deactivation and repowering.</w:t>
      </w:r>
      <w:r w:rsidRPr="00D53B84">
        <w:t xml:space="preserve"> </w:t>
      </w:r>
      <w:r w:rsidR="00BC4835" w:rsidRPr="00D53B84">
        <w:t xml:space="preserve"> </w:t>
      </w:r>
    </w:p>
    <w:p w14:paraId="60C38779" w14:textId="77777777" w:rsidR="007B7643" w:rsidRPr="00EC0D32" w:rsidRDefault="007B7643" w:rsidP="00571CB8">
      <w:pPr>
        <w:pStyle w:val="Heading2"/>
      </w:pPr>
      <w:bookmarkStart w:id="105" w:name="_Toc4757609"/>
      <w:bookmarkStart w:id="106" w:name="_Toc70944403"/>
      <w:bookmarkStart w:id="107" w:name="_Toc80032300"/>
      <w:bookmarkStart w:id="108" w:name="_Toc80191671"/>
      <w:bookmarkStart w:id="109" w:name="_Toc81138701"/>
      <w:r w:rsidRPr="00EC0D32">
        <w:t xml:space="preserve">Monitor Changes </w:t>
      </w:r>
      <w:r w:rsidR="000709B1">
        <w:t>T</w:t>
      </w:r>
      <w:r w:rsidRPr="00EC0D32">
        <w:t xml:space="preserve">hat </w:t>
      </w:r>
      <w:r w:rsidR="000709B1">
        <w:t>C</w:t>
      </w:r>
      <w:r w:rsidRPr="00EC0D32">
        <w:t>ould Impact Risk Factors</w:t>
      </w:r>
      <w:bookmarkEnd w:id="105"/>
      <w:bookmarkEnd w:id="106"/>
      <w:bookmarkEnd w:id="107"/>
      <w:bookmarkEnd w:id="108"/>
      <w:bookmarkEnd w:id="109"/>
      <w:r w:rsidRPr="00EC0D32">
        <w:t xml:space="preserve"> </w:t>
      </w:r>
    </w:p>
    <w:p w14:paraId="483113AF" w14:textId="77777777" w:rsidR="007B7643" w:rsidRPr="00D53B84" w:rsidRDefault="007B7643" w:rsidP="00571CB8">
      <w:pPr>
        <w:pStyle w:val="BodyText"/>
        <w:jc w:val="left"/>
      </w:pPr>
      <w:r w:rsidRPr="00D53B84">
        <w:t xml:space="preserve">The NYISO actively monitors and addresses the potential </w:t>
      </w:r>
      <w:r w:rsidR="007D2450" w:rsidRPr="00D53B84">
        <w:t xml:space="preserve">impacts of known risk factors. </w:t>
      </w:r>
      <w:r w:rsidR="00BC4835" w:rsidRPr="00D53B84">
        <w:t xml:space="preserve"> </w:t>
      </w:r>
      <w:r w:rsidRPr="00D53B84">
        <w:t xml:space="preserve">The NYISO also tracks the impact that new market-based generation projects under study in the NYISO’s </w:t>
      </w:r>
      <w:r w:rsidRPr="00D53B84">
        <w:lastRenderedPageBreak/>
        <w:t>interconnection process could have on the NYISO’s long-term capacity margin dur</w:t>
      </w:r>
      <w:r w:rsidR="007D2450" w:rsidRPr="00D53B84">
        <w:t xml:space="preserve">ing the ten-year Study Period. </w:t>
      </w:r>
      <w:r w:rsidR="00BC4835" w:rsidRPr="00D53B84">
        <w:t xml:space="preserve"> </w:t>
      </w:r>
    </w:p>
    <w:p w14:paraId="62D9EC4B" w14:textId="6E679D69" w:rsidR="00FB68C8" w:rsidRDefault="00DB16E9" w:rsidP="00E3356C">
      <w:pPr>
        <w:pStyle w:val="BodyText"/>
        <w:jc w:val="left"/>
        <w:rPr>
          <w:bCs w:val="0"/>
        </w:rPr>
      </w:pPr>
      <w:r w:rsidRPr="00D53B84">
        <w:t>As discussed in this report, t</w:t>
      </w:r>
      <w:r w:rsidR="003D2E16" w:rsidRPr="00D53B84">
        <w:t xml:space="preserve">he NYISO has also performed a scenario simulating deactivations of </w:t>
      </w:r>
      <w:r w:rsidR="006570D7" w:rsidRPr="00D53B84">
        <w:t xml:space="preserve">simple cycle combustion turbines </w:t>
      </w:r>
      <w:r w:rsidRPr="00D53B84">
        <w:t xml:space="preserve">that </w:t>
      </w:r>
      <w:r w:rsidR="00F67B06" w:rsidRPr="00D53B84">
        <w:t>c</w:t>
      </w:r>
      <w:r w:rsidRPr="00D53B84">
        <w:t xml:space="preserve">ould be </w:t>
      </w:r>
      <w:r w:rsidR="003D2E16" w:rsidRPr="00D53B84">
        <w:t xml:space="preserve">impacted by the DEC’s </w:t>
      </w:r>
      <w:r w:rsidR="00951297" w:rsidRPr="00D53B84">
        <w:t>P</w:t>
      </w:r>
      <w:r w:rsidR="003D2E16" w:rsidRPr="00D53B84">
        <w:t xml:space="preserve">eaker </w:t>
      </w:r>
      <w:r w:rsidR="00951297" w:rsidRPr="00D53B84">
        <w:t>R</w:t>
      </w:r>
      <w:r w:rsidR="003D2E16" w:rsidRPr="00D53B84">
        <w:t xml:space="preserve">ule. </w:t>
      </w:r>
      <w:r w:rsidR="00BC4835" w:rsidRPr="00D53B84">
        <w:t xml:space="preserve"> </w:t>
      </w:r>
      <w:r w:rsidR="003D2E16" w:rsidRPr="00D53B84">
        <w:t>The</w:t>
      </w:r>
      <w:r w:rsidR="006237B9" w:rsidRPr="00D53B84">
        <w:t xml:space="preserve"> NYISO will continue to monitor the progress of DEC emission rules and their impacts on </w:t>
      </w:r>
      <w:r w:rsidR="006570D7" w:rsidRPr="00D53B84">
        <w:t xml:space="preserve">New York </w:t>
      </w:r>
      <w:r w:rsidR="006237B9" w:rsidRPr="00D53B84">
        <w:t>resources</w:t>
      </w:r>
      <w:r w:rsidR="00C5222E" w:rsidRPr="00D53B84">
        <w:t>.</w:t>
      </w:r>
      <w:r w:rsidR="00776797" w:rsidRPr="00D53B84">
        <w:t xml:space="preserve"> </w:t>
      </w:r>
      <w:r w:rsidR="00BC4835" w:rsidRPr="00D53B84">
        <w:t xml:space="preserve"> </w:t>
      </w:r>
      <w:r w:rsidR="00D07FD3" w:rsidRPr="00D53B84">
        <w:t>T</w:t>
      </w:r>
      <w:r w:rsidR="00776797" w:rsidRPr="00D53B84">
        <w:t>he NYISO’s 202</w:t>
      </w:r>
      <w:r w:rsidR="002D7F5A">
        <w:t>2</w:t>
      </w:r>
      <w:r w:rsidR="00D07FD3" w:rsidRPr="00D53B84">
        <w:t>-202</w:t>
      </w:r>
      <w:r w:rsidR="002D7F5A">
        <w:t>3</w:t>
      </w:r>
      <w:r w:rsidR="00D07FD3" w:rsidRPr="00D53B84">
        <w:t xml:space="preserve"> cycle of the</w:t>
      </w:r>
      <w:r w:rsidR="00776797" w:rsidRPr="00D53B84">
        <w:t xml:space="preserve"> Reliability Planning Process will consider </w:t>
      </w:r>
      <w:r w:rsidR="00D07FD3" w:rsidRPr="00D53B84">
        <w:t xml:space="preserve">any </w:t>
      </w:r>
      <w:r w:rsidR="0084719A">
        <w:t xml:space="preserve">additional changes to </w:t>
      </w:r>
      <w:r w:rsidR="00D07FD3" w:rsidRPr="00D53B84">
        <w:t xml:space="preserve">generator </w:t>
      </w:r>
      <w:r w:rsidR="00776797" w:rsidRPr="00D53B84">
        <w:t>compliance plans</w:t>
      </w:r>
      <w:r w:rsidR="00D07FD3" w:rsidRPr="00D53B84">
        <w:t xml:space="preserve"> for the </w:t>
      </w:r>
      <w:r w:rsidR="00951297" w:rsidRPr="00D53B84">
        <w:t>P</w:t>
      </w:r>
      <w:r w:rsidR="00D07FD3" w:rsidRPr="00D53B84">
        <w:t xml:space="preserve">eaker </w:t>
      </w:r>
      <w:r w:rsidR="00951297" w:rsidRPr="00D53B84">
        <w:t>R</w:t>
      </w:r>
      <w:r w:rsidR="00D07FD3" w:rsidRPr="00D53B84">
        <w:t>ule</w:t>
      </w:r>
      <w:r w:rsidR="003C79D6" w:rsidRPr="00475E88">
        <w:rPr>
          <w:bCs w:val="0"/>
          <w:vertAlign w:val="superscript"/>
        </w:rPr>
        <w:footnoteReference w:id="29"/>
      </w:r>
      <w:r w:rsidR="00D07FD3" w:rsidRPr="00475E88">
        <w:rPr>
          <w:bCs w:val="0"/>
          <w:vertAlign w:val="superscript"/>
        </w:rPr>
        <w:t xml:space="preserve"> </w:t>
      </w:r>
      <w:r w:rsidR="0084719A">
        <w:rPr>
          <w:vertAlign w:val="superscript"/>
        </w:rPr>
        <w:t xml:space="preserve"> </w:t>
      </w:r>
      <w:r w:rsidR="00C64374" w:rsidRPr="00D53B84">
        <w:t>to establish</w:t>
      </w:r>
      <w:r w:rsidR="00D07FD3" w:rsidRPr="00D53B84">
        <w:t xml:space="preserve"> the baseline </w:t>
      </w:r>
      <w:r w:rsidR="00BB51CC" w:rsidRPr="00D53B84">
        <w:t>system conditions for the 202</w:t>
      </w:r>
      <w:r w:rsidR="002D7F5A">
        <w:t>3</w:t>
      </w:r>
      <w:r w:rsidR="00BB51CC" w:rsidRPr="00D53B84">
        <w:t>-203</w:t>
      </w:r>
      <w:r w:rsidR="002D7F5A">
        <w:t>2</w:t>
      </w:r>
      <w:r w:rsidR="00BB51CC" w:rsidRPr="00D53B84">
        <w:t xml:space="preserve"> planning horizon</w:t>
      </w:r>
      <w:r w:rsidR="00776797" w:rsidRPr="00D53B84">
        <w:t xml:space="preserve">. </w:t>
      </w:r>
      <w:r w:rsidR="00BC4835" w:rsidRPr="00D53B84">
        <w:t xml:space="preserve"> </w:t>
      </w:r>
      <w:r w:rsidR="00776797" w:rsidRPr="00D53B84">
        <w:t xml:space="preserve">Also, </w:t>
      </w:r>
      <w:r w:rsidRPr="00D53B84">
        <w:t xml:space="preserve">the NYISO will </w:t>
      </w:r>
      <w:r w:rsidR="0084719A">
        <w:t>continue to implement the Short-Term Reliability Process by conducting quarterly Short</w:t>
      </w:r>
      <w:r w:rsidR="00F63A2F">
        <w:t>-</w:t>
      </w:r>
      <w:r w:rsidR="0084719A">
        <w:t>Term Assessments of Reliability (STAR</w:t>
      </w:r>
      <w:r w:rsidR="00F63A2F">
        <w:t>s</w:t>
      </w:r>
      <w:r w:rsidR="0084719A">
        <w:t xml:space="preserve">) and addressing reliability issues identified for following five years, with an emphasis on reliability needs arising in years </w:t>
      </w:r>
      <w:r w:rsidR="00F63A2F">
        <w:t>one through three</w:t>
      </w:r>
      <w:r w:rsidR="0084719A">
        <w:t xml:space="preserve">.  </w:t>
      </w:r>
      <w:r w:rsidR="00A032B4" w:rsidRPr="00475E88">
        <w:rPr>
          <w:bCs w:val="0"/>
        </w:rPr>
        <w:t xml:space="preserve">The NYISO will address Generator Deactivation Notices, other generator unavailability, and other system changes affecting the power system reliability, as part of the </w:t>
      </w:r>
      <w:r w:rsidR="00F63A2F">
        <w:t>Short-Term Reliability Process</w:t>
      </w:r>
      <w:r w:rsidR="00A032B4" w:rsidRPr="00475E88">
        <w:rPr>
          <w:bCs w:val="0"/>
        </w:rPr>
        <w:t xml:space="preserve">.  </w:t>
      </w:r>
      <w:bookmarkStart w:id="110" w:name="_Toc4757610"/>
    </w:p>
    <w:p w14:paraId="16883351" w14:textId="06EB1975" w:rsidR="00BF766B" w:rsidRPr="00EC0D32" w:rsidRDefault="00BF766B" w:rsidP="00BF766B">
      <w:pPr>
        <w:pStyle w:val="Heading2"/>
      </w:pPr>
      <w:bookmarkStart w:id="111" w:name="_Toc81138702"/>
      <w:r>
        <w:t>Future NYISO studies</w:t>
      </w:r>
      <w:bookmarkEnd w:id="111"/>
      <w:r w:rsidRPr="00EC0D32">
        <w:t xml:space="preserve"> </w:t>
      </w:r>
    </w:p>
    <w:bookmarkEnd w:id="110"/>
    <w:p w14:paraId="58126C9B" w14:textId="190EDDF6" w:rsidR="00511ACE" w:rsidRPr="00D53B84" w:rsidRDefault="000647A4" w:rsidP="00571CB8">
      <w:pPr>
        <w:pStyle w:val="BodyText"/>
        <w:jc w:val="left"/>
      </w:pPr>
      <w:r w:rsidRPr="00B31313">
        <w:rPr>
          <w:u w:val="single"/>
        </w:rPr>
        <w:t>Quarterly STAR</w:t>
      </w:r>
      <w:r>
        <w:t xml:space="preserve"> - The NYISO will administer its quarterly STAR through the </w:t>
      </w:r>
      <w:r w:rsidR="00F63A2F">
        <w:t xml:space="preserve">Short-Term Reliability Process </w:t>
      </w:r>
      <w:r>
        <w:t xml:space="preserve">to capture events such as </w:t>
      </w:r>
      <w:r w:rsidR="00F63A2F">
        <w:t>g</w:t>
      </w:r>
      <w:r>
        <w:t xml:space="preserve">enerator </w:t>
      </w:r>
      <w:r w:rsidR="00F63A2F">
        <w:t>d</w:t>
      </w:r>
      <w:r>
        <w:t xml:space="preserve">eactivations </w:t>
      </w:r>
      <w:r w:rsidR="006C747E">
        <w:t>and</w:t>
      </w:r>
      <w:r>
        <w:t xml:space="preserve"> other system changes</w:t>
      </w:r>
      <w:r w:rsidR="00511ACE" w:rsidRPr="00D53B84">
        <w:t xml:space="preserve">.  </w:t>
      </w:r>
      <w:r w:rsidR="00A032B4">
        <w:t xml:space="preserve">Through the </w:t>
      </w:r>
      <w:r w:rsidR="00F63A2F">
        <w:t>Short-Term Reliability Process</w:t>
      </w:r>
      <w:r w:rsidR="006C747E">
        <w:t>,</w:t>
      </w:r>
      <w:r w:rsidR="00A032B4">
        <w:t xml:space="preserve"> the NYISO will address every quarter Reliability Needs arising </w:t>
      </w:r>
      <w:r w:rsidR="00F63A2F">
        <w:t xml:space="preserve">within five </w:t>
      </w:r>
      <w:proofErr w:type="gramStart"/>
      <w:r w:rsidR="00A032B4">
        <w:t>years ,</w:t>
      </w:r>
      <w:proofErr w:type="gramEnd"/>
      <w:r w:rsidR="00A032B4">
        <w:t xml:space="preserve"> with an emphasis on needs arising in years </w:t>
      </w:r>
      <w:r w:rsidR="00F63A2F">
        <w:t>one through three</w:t>
      </w:r>
      <w:r w:rsidR="00A032B4">
        <w:t xml:space="preserve">.  </w:t>
      </w:r>
      <w:r w:rsidR="00511ACE" w:rsidRPr="00D53B84">
        <w:t xml:space="preserve">If necessary, the NYISO will seek solutions to address any Reliability Needs identified through that process.  For generators affected by the </w:t>
      </w:r>
      <w:r w:rsidR="00951297" w:rsidRPr="00D53B84">
        <w:t>P</w:t>
      </w:r>
      <w:r w:rsidR="00511ACE" w:rsidRPr="00D53B84">
        <w:t xml:space="preserve">eaker </w:t>
      </w:r>
      <w:r w:rsidR="00951297" w:rsidRPr="00D53B84">
        <w:t>R</w:t>
      </w:r>
      <w:r w:rsidR="00511ACE" w:rsidRPr="00D53B84">
        <w:t xml:space="preserve">ule, the NYISO could enter into Reliability Must Run agreements with specific generators to continue to operate for a two-year period, with a possible two-year extension, until market-based </w:t>
      </w:r>
      <w:r w:rsidR="00DB16E9" w:rsidRPr="00D53B84">
        <w:t xml:space="preserve">projects </w:t>
      </w:r>
      <w:r w:rsidR="00511ACE" w:rsidRPr="00D53B84">
        <w:t xml:space="preserve">or permanent transmission solutions are built.  Moreover, the NYISO continuously monitors all planned projects and any changes to the New York State transmission </w:t>
      </w:r>
      <w:proofErr w:type="gramStart"/>
      <w:r w:rsidR="00511ACE" w:rsidRPr="00D53B84">
        <w:t>system, and</w:t>
      </w:r>
      <w:proofErr w:type="gramEnd"/>
      <w:r w:rsidR="00511ACE" w:rsidRPr="00D53B84">
        <w:t xml:space="preserve"> may request solutions outside of its normal planning cycle if there appears to be an imminent th</w:t>
      </w:r>
      <w:r w:rsidR="00426B30" w:rsidRPr="00D53B84">
        <w:t>reat to the reliability of the bu</w:t>
      </w:r>
      <w:r w:rsidR="00511ACE" w:rsidRPr="00D53B84">
        <w:t xml:space="preserve">lk </w:t>
      </w:r>
      <w:r w:rsidR="00426B30" w:rsidRPr="00D53B84">
        <w:t>p</w:t>
      </w:r>
      <w:r w:rsidR="00511ACE" w:rsidRPr="00D53B84">
        <w:t xml:space="preserve">ower </w:t>
      </w:r>
      <w:r w:rsidR="00426B30" w:rsidRPr="00D53B84">
        <w:t>t</w:t>
      </w:r>
      <w:r w:rsidR="00511ACE" w:rsidRPr="00D53B84">
        <w:t xml:space="preserve">ransmission </w:t>
      </w:r>
      <w:r w:rsidR="00426B30" w:rsidRPr="00D53B84">
        <w:t>s</w:t>
      </w:r>
      <w:r w:rsidR="00511ACE" w:rsidRPr="00D53B84">
        <w:t xml:space="preserve">ystem arising from causes other than deactivating generation. </w:t>
      </w:r>
    </w:p>
    <w:p w14:paraId="253EE027" w14:textId="63254E41" w:rsidR="00453A40" w:rsidRPr="00D53B84" w:rsidRDefault="006B18E9" w:rsidP="00FB68C8">
      <w:pPr>
        <w:pStyle w:val="BodyText"/>
        <w:jc w:val="left"/>
      </w:pPr>
      <w:r w:rsidRPr="0031764F">
        <w:rPr>
          <w:u w:val="single"/>
        </w:rPr>
        <w:t>2022 RNA</w:t>
      </w:r>
      <w:r>
        <w:t xml:space="preserve"> - </w:t>
      </w:r>
      <w:r w:rsidR="00D4590A" w:rsidRPr="00D53B84">
        <w:t>The next cycle of the Reliability Planning Process will begin in 202</w:t>
      </w:r>
      <w:r w:rsidR="00D53B84" w:rsidRPr="00D53B84">
        <w:t>2</w:t>
      </w:r>
      <w:r w:rsidR="00D4590A" w:rsidRPr="00D53B84">
        <w:t>, for which preparation</w:t>
      </w:r>
      <w:r w:rsidR="00A032B4">
        <w:t>s</w:t>
      </w:r>
      <w:r w:rsidR="00D4590A" w:rsidRPr="00D53B84">
        <w:t xml:space="preserve"> will begin in late 20</w:t>
      </w:r>
      <w:r w:rsidR="00D53B84" w:rsidRPr="00D53B84">
        <w:t>21</w:t>
      </w:r>
      <w:r w:rsidR="00D4590A" w:rsidRPr="00D53B84">
        <w:t>.  The 202</w:t>
      </w:r>
      <w:r w:rsidR="00D53B84" w:rsidRPr="00D53B84">
        <w:t>2</w:t>
      </w:r>
      <w:r w:rsidR="00D4590A" w:rsidRPr="00D53B84">
        <w:t xml:space="preserve"> RNA will provide a new reliability assessment of the New York Bulk Power Transmission Facilities </w:t>
      </w:r>
      <w:r w:rsidR="00A032B4">
        <w:t>for years four</w:t>
      </w:r>
      <w:r w:rsidR="00F63A2F">
        <w:t xml:space="preserve"> </w:t>
      </w:r>
      <w:r w:rsidR="00A032B4">
        <w:t xml:space="preserve">through ten of the planning </w:t>
      </w:r>
      <w:proofErr w:type="gramStart"/>
      <w:r w:rsidR="00F63A2F">
        <w:t>horizon</w:t>
      </w:r>
      <w:proofErr w:type="gramEnd"/>
      <w:r w:rsidR="00A032B4">
        <w:t xml:space="preserve"> </w:t>
      </w:r>
      <w:r w:rsidR="00F63A2F">
        <w:t>(</w:t>
      </w:r>
      <w:r w:rsidR="00A032B4">
        <w:t>2026 through 2032</w:t>
      </w:r>
      <w:r w:rsidR="00F63A2F">
        <w:t>)</w:t>
      </w:r>
      <w:r w:rsidR="00A032B4">
        <w:t xml:space="preserve">.  The 2022 RNA will be </w:t>
      </w:r>
      <w:r w:rsidR="00D4590A" w:rsidRPr="00D53B84">
        <w:t xml:space="preserve">based on updated </w:t>
      </w:r>
      <w:r w:rsidR="00A032B4">
        <w:t xml:space="preserve">data, system models and </w:t>
      </w:r>
      <w:r w:rsidR="00D4590A" w:rsidRPr="00D53B84">
        <w:t>assumptions, and will review the status of the risk factors discussed in this CRP, together with other reliability issues.</w:t>
      </w:r>
    </w:p>
    <w:p w14:paraId="642210C0" w14:textId="6FEFF5D2" w:rsidR="00190A94" w:rsidRDefault="00190A94" w:rsidP="00E50D0E">
      <w:pPr>
        <w:pStyle w:val="BodyText"/>
      </w:pPr>
      <w:r w:rsidRPr="0031764F">
        <w:rPr>
          <w:u w:val="single"/>
        </w:rPr>
        <w:t>System &amp; Resource Outlook</w:t>
      </w:r>
      <w:r>
        <w:t xml:space="preserve"> - </w:t>
      </w:r>
      <w:r w:rsidR="00E50D0E">
        <w:t xml:space="preserve">Following FERC approval of significant improvements to the Economic </w:t>
      </w:r>
      <w:r w:rsidR="00E50D0E">
        <w:lastRenderedPageBreak/>
        <w:t xml:space="preserve">Planning Process, the NYISO is currently undertaking a new 20-year System &amp; Resource Outlook for the first time, to be issued in 2022.  The Outlook will provide a comprehensive overview of system resources and </w:t>
      </w:r>
      <w:r w:rsidR="003129F2">
        <w:t xml:space="preserve">likely transmission constraints throughout New York, thus highlighting </w:t>
      </w:r>
      <w:r w:rsidR="00F63A2F">
        <w:t>opportunities for transmission investment driven by economics and public policy</w:t>
      </w:r>
      <w:r w:rsidR="00E50D0E">
        <w:t xml:space="preserve">.  </w:t>
      </w:r>
    </w:p>
    <w:p w14:paraId="0CCD455C" w14:textId="4921FE4F" w:rsidR="00E50D0E" w:rsidRDefault="00E50D0E" w:rsidP="00E50D0E">
      <w:pPr>
        <w:pStyle w:val="BodyText"/>
      </w:pPr>
      <w:r>
        <w:t xml:space="preserve">Together, the Comprehensive Reliability Plan and the System &amp; Resource Outlook will be the marquee NYISO planning reports that will </w:t>
      </w:r>
      <w:r w:rsidR="003129F2">
        <w:t xml:space="preserve">collectively </w:t>
      </w:r>
      <w:r>
        <w:t>provide a comprehensive power system outlook to investors, developers and policymakers every year.</w:t>
      </w:r>
    </w:p>
    <w:p w14:paraId="07122A6A" w14:textId="77777777" w:rsidR="00E50D0E" w:rsidRPr="00D53B84" w:rsidRDefault="00E50D0E" w:rsidP="00FB68C8">
      <w:pPr>
        <w:pStyle w:val="BodyText"/>
        <w:jc w:val="left"/>
      </w:pPr>
    </w:p>
    <w:p w14:paraId="60D0F7C2" w14:textId="51A77898" w:rsidR="00C32729" w:rsidRDefault="00C32729">
      <w:pPr>
        <w:rPr>
          <w:rStyle w:val="FigureChar"/>
          <w:rFonts w:ascii="Cambria" w:hAnsi="Cambria"/>
          <w:color w:val="FF0000"/>
          <w:lang w:bidi="ar-SA"/>
        </w:rPr>
      </w:pPr>
      <w:r>
        <w:rPr>
          <w:rStyle w:val="FigureChar"/>
          <w:rFonts w:ascii="Cambria" w:hAnsi="Cambria"/>
          <w:bCs w:val="0"/>
          <w:color w:val="FF0000"/>
        </w:rPr>
        <w:br w:type="page"/>
      </w:r>
    </w:p>
    <w:p w14:paraId="4B0136C9" w14:textId="2CC886D5" w:rsidR="00B31313" w:rsidRPr="00B31313" w:rsidRDefault="00B31313" w:rsidP="00B31313">
      <w:pPr>
        <w:pStyle w:val="Title"/>
      </w:pPr>
      <w:bookmarkStart w:id="112" w:name="_Toc80032302"/>
      <w:bookmarkStart w:id="113" w:name="_Toc80191673"/>
      <w:bookmarkStart w:id="114" w:name="_Toc4757611"/>
      <w:bookmarkStart w:id="115" w:name="_Toc70944405"/>
      <w:r>
        <w:lastRenderedPageBreak/>
        <w:t xml:space="preserve">2021-2030 CRP </w:t>
      </w:r>
      <w:r w:rsidRPr="00B31313">
        <w:t>APENDICES</w:t>
      </w:r>
    </w:p>
    <w:p w14:paraId="4E39D3EC" w14:textId="6478469D" w:rsidR="000B41AB" w:rsidRDefault="000B41AB" w:rsidP="000B41AB">
      <w:pPr>
        <w:pStyle w:val="Heading1"/>
      </w:pPr>
      <w:bookmarkStart w:id="116" w:name="_Toc80191674"/>
      <w:bookmarkStart w:id="117" w:name="_Toc81138703"/>
      <w:bookmarkStart w:id="118" w:name="_Toc80032303"/>
      <w:bookmarkEnd w:id="112"/>
      <w:bookmarkEnd w:id="113"/>
      <w:r w:rsidRPr="00B62FC5">
        <w:t xml:space="preserve">Appendix A – </w:t>
      </w:r>
      <w:r w:rsidR="00F970BF">
        <w:t>Glossary</w:t>
      </w:r>
      <w:bookmarkEnd w:id="116"/>
      <w:bookmarkEnd w:id="117"/>
    </w:p>
    <w:p w14:paraId="7539D89D" w14:textId="6A93666A" w:rsidR="00DD5119" w:rsidRDefault="00351D8D" w:rsidP="0066335B">
      <w:r>
        <w:t>{</w:t>
      </w:r>
      <w:r w:rsidR="00DD5119">
        <w:t>in progress</w:t>
      </w:r>
      <w:r w:rsidR="0066335B">
        <w:t>}</w:t>
      </w:r>
    </w:p>
    <w:p w14:paraId="33CCE3E6" w14:textId="77777777" w:rsidR="00DD5119" w:rsidRDefault="00DD5119">
      <w:r>
        <w:br w:type="page"/>
      </w:r>
    </w:p>
    <w:p w14:paraId="06AFDE69" w14:textId="4B3FDA40" w:rsidR="00F970BF" w:rsidRDefault="00F970BF" w:rsidP="00F970BF">
      <w:pPr>
        <w:pStyle w:val="Heading1"/>
      </w:pPr>
      <w:bookmarkStart w:id="119" w:name="_Toc80191675"/>
      <w:bookmarkStart w:id="120" w:name="_Toc81138704"/>
      <w:r>
        <w:lastRenderedPageBreak/>
        <w:t>Appendix B - Planned Projects and Assumptions</w:t>
      </w:r>
      <w:bookmarkEnd w:id="119"/>
      <w:bookmarkEnd w:id="120"/>
      <w:r>
        <w:t xml:space="preserve"> </w:t>
      </w:r>
    </w:p>
    <w:p w14:paraId="6138F54F" w14:textId="0C4304E0" w:rsidR="009B669C" w:rsidRDefault="009B669C" w:rsidP="00217DF4">
      <w:pPr>
        <w:pStyle w:val="BodyText"/>
      </w:pPr>
      <w:r>
        <w:t>The CRP conclusions are based on certain base case assumptions, which are summarized below.</w:t>
      </w:r>
    </w:p>
    <w:p w14:paraId="1E55FC91" w14:textId="77777777" w:rsidR="008A5C22" w:rsidRDefault="008A5C22" w:rsidP="008A5C22">
      <w:pPr>
        <w:pStyle w:val="BodyText"/>
        <w:rPr>
          <w:b/>
        </w:rPr>
      </w:pPr>
      <w:r>
        <w:rPr>
          <w:b/>
        </w:rPr>
        <w:t>Figure xx: Load and Capacity Data</w:t>
      </w:r>
    </w:p>
    <w:p w14:paraId="63C70504" w14:textId="77777777" w:rsidR="008A5C22" w:rsidRDefault="008A5C22" w:rsidP="008A5C22">
      <w:pPr>
        <w:pStyle w:val="BodyText"/>
        <w:rPr>
          <w:b/>
        </w:rPr>
      </w:pPr>
      <w:r w:rsidRPr="003D089D">
        <w:rPr>
          <w:noProof/>
        </w:rPr>
        <w:drawing>
          <wp:inline distT="0" distB="0" distL="0" distR="0" wp14:anchorId="44CB6657" wp14:editId="4A21FDA8">
            <wp:extent cx="6400800" cy="526030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00800" cy="5260306"/>
                    </a:xfrm>
                    <a:prstGeom prst="rect">
                      <a:avLst/>
                    </a:prstGeom>
                    <a:noFill/>
                    <a:ln>
                      <a:noFill/>
                    </a:ln>
                  </pic:spPr>
                </pic:pic>
              </a:graphicData>
            </a:graphic>
          </wp:inline>
        </w:drawing>
      </w:r>
    </w:p>
    <w:p w14:paraId="65184916" w14:textId="77777777" w:rsidR="008A5C22" w:rsidRPr="00D80D8D" w:rsidRDefault="008A5C22" w:rsidP="008A5C22">
      <w:pPr>
        <w:pStyle w:val="BodyText"/>
        <w:ind w:left="720"/>
        <w:rPr>
          <w:sz w:val="18"/>
          <w:szCs w:val="18"/>
        </w:rPr>
      </w:pPr>
      <w:r w:rsidRPr="00D80D8D">
        <w:rPr>
          <w:sz w:val="18"/>
          <w:szCs w:val="18"/>
        </w:rPr>
        <w:t>Notes:</w:t>
      </w:r>
    </w:p>
    <w:p w14:paraId="6FB8BAA3" w14:textId="311A829D" w:rsidR="008A5C22" w:rsidRPr="00D80D8D" w:rsidRDefault="008A5C22" w:rsidP="007F4000">
      <w:pPr>
        <w:pStyle w:val="BodyText"/>
        <w:numPr>
          <w:ilvl w:val="0"/>
          <w:numId w:val="32"/>
        </w:numPr>
        <w:rPr>
          <w:sz w:val="18"/>
          <w:szCs w:val="18"/>
        </w:rPr>
      </w:pPr>
      <w:r w:rsidRPr="00D80D8D">
        <w:rPr>
          <w:sz w:val="18"/>
          <w:szCs w:val="18"/>
        </w:rPr>
        <w:t xml:space="preserve">*NYCA load values represent baseline coincident summer peak demand. Zones J and K load values represent non-coincident summer peak demand. Aggregate Zones G-J values represent </w:t>
      </w:r>
      <w:r w:rsidR="006C747E">
        <w:rPr>
          <w:sz w:val="18"/>
          <w:szCs w:val="18"/>
        </w:rPr>
        <w:t xml:space="preserve">the </w:t>
      </w:r>
      <w:r w:rsidRPr="00D80D8D">
        <w:rPr>
          <w:sz w:val="18"/>
          <w:szCs w:val="18"/>
        </w:rPr>
        <w:t>G-J peak (Table I-5)</w:t>
      </w:r>
      <w:r w:rsidR="006C747E">
        <w:rPr>
          <w:sz w:val="18"/>
          <w:szCs w:val="18"/>
        </w:rPr>
        <w:t>.</w:t>
      </w:r>
    </w:p>
    <w:p w14:paraId="1CDD03C4" w14:textId="3C96E0F0" w:rsidR="008A5C22" w:rsidRDefault="008A5C22" w:rsidP="007F4000">
      <w:pPr>
        <w:pStyle w:val="BodyText"/>
        <w:numPr>
          <w:ilvl w:val="0"/>
          <w:numId w:val="32"/>
        </w:numPr>
        <w:rPr>
          <w:sz w:val="18"/>
          <w:szCs w:val="18"/>
        </w:rPr>
      </w:pPr>
      <w:r w:rsidRPr="00D80D8D">
        <w:rPr>
          <w:sz w:val="18"/>
          <w:szCs w:val="18"/>
        </w:rPr>
        <w:t>**NYCA Capacity values include resources electrically internal to NYCA, additions, re</w:t>
      </w:r>
      <w:r w:rsidR="006C747E">
        <w:rPr>
          <w:sz w:val="18"/>
          <w:szCs w:val="18"/>
        </w:rPr>
        <w:t>-</w:t>
      </w:r>
      <w:r w:rsidRPr="00D80D8D">
        <w:rPr>
          <w:sz w:val="18"/>
          <w:szCs w:val="18"/>
        </w:rPr>
        <w:t>ratings, and retirements (including proposed retirements and mothballs). Capacity values reflect the lesser of CRIS and DMNC values. NYCA resources include the net purchases and sales as per the Gold Book.  Zonal totals include the full UDRs Rights for those capacity zones.</w:t>
      </w:r>
    </w:p>
    <w:p w14:paraId="65E6361D" w14:textId="77777777" w:rsidR="008A5C22" w:rsidRDefault="008A5C22" w:rsidP="007F4000">
      <w:pPr>
        <w:pStyle w:val="BodyText"/>
        <w:numPr>
          <w:ilvl w:val="0"/>
          <w:numId w:val="32"/>
        </w:numPr>
        <w:rPr>
          <w:sz w:val="18"/>
          <w:szCs w:val="18"/>
        </w:rPr>
      </w:pPr>
      <w:r>
        <w:rPr>
          <w:sz w:val="18"/>
          <w:szCs w:val="18"/>
        </w:rPr>
        <w:t>SCRs represent the</w:t>
      </w:r>
      <w:r w:rsidRPr="00D80D8D">
        <w:rPr>
          <w:sz w:val="18"/>
          <w:szCs w:val="18"/>
        </w:rPr>
        <w:t xml:space="preserve"> forecasted MW ICAP value from 2020 </w:t>
      </w:r>
      <w:proofErr w:type="gramStart"/>
      <w:r w:rsidRPr="00D80D8D">
        <w:rPr>
          <w:sz w:val="18"/>
          <w:szCs w:val="18"/>
        </w:rPr>
        <w:t>GB</w:t>
      </w:r>
      <w:r>
        <w:rPr>
          <w:sz w:val="18"/>
          <w:szCs w:val="18"/>
        </w:rPr>
        <w:t>;</w:t>
      </w:r>
      <w:proofErr w:type="gramEnd"/>
    </w:p>
    <w:p w14:paraId="4BB6F46A" w14:textId="63B66C4D" w:rsidR="008A5C22" w:rsidRPr="00D80D8D" w:rsidRDefault="008A5C22" w:rsidP="007F4000">
      <w:pPr>
        <w:pStyle w:val="BodyText"/>
        <w:numPr>
          <w:ilvl w:val="0"/>
          <w:numId w:val="32"/>
        </w:numPr>
        <w:rPr>
          <w:sz w:val="18"/>
          <w:szCs w:val="18"/>
        </w:rPr>
      </w:pPr>
      <w:r w:rsidRPr="00D80D8D">
        <w:rPr>
          <w:sz w:val="18"/>
          <w:szCs w:val="18"/>
        </w:rPr>
        <w:lastRenderedPageBreak/>
        <w:t xml:space="preserve">Wind, solar, run-of-river and landfill gas </w:t>
      </w:r>
      <w:r w:rsidR="006C747E">
        <w:rPr>
          <w:sz w:val="18"/>
          <w:szCs w:val="18"/>
        </w:rPr>
        <w:t>are</w:t>
      </w:r>
      <w:r w:rsidRPr="00D80D8D">
        <w:rPr>
          <w:sz w:val="18"/>
          <w:szCs w:val="18"/>
        </w:rPr>
        <w:t xml:space="preserve"> counted as 100% of nameplate rating</w:t>
      </w:r>
      <w:r w:rsidR="006C747E">
        <w:rPr>
          <w:sz w:val="18"/>
          <w:szCs w:val="18"/>
        </w:rPr>
        <w:t>.</w:t>
      </w:r>
    </w:p>
    <w:p w14:paraId="45653C21" w14:textId="0A0E3F8E" w:rsidR="009F1419" w:rsidRDefault="009F1419" w:rsidP="009F1419">
      <w:pPr>
        <w:pStyle w:val="BodyText"/>
      </w:pPr>
      <w:r>
        <w:t>The following graphs show the load and total capacity information from the table above.</w:t>
      </w:r>
    </w:p>
    <w:p w14:paraId="48E83761" w14:textId="454A106F" w:rsidR="00C56F64" w:rsidRDefault="00C56F64" w:rsidP="00217DF4">
      <w:pPr>
        <w:pStyle w:val="BodyText"/>
        <w:rPr>
          <w:b/>
        </w:rPr>
      </w:pPr>
      <w:r>
        <w:rPr>
          <w:b/>
        </w:rPr>
        <w:t xml:space="preserve">Figure xx: Load and Capacity </w:t>
      </w:r>
      <w:r w:rsidR="009F1419">
        <w:rPr>
          <w:b/>
        </w:rPr>
        <w:t>Year-by-Year MW</w:t>
      </w:r>
    </w:p>
    <w:p w14:paraId="1402952C" w14:textId="193A7113" w:rsidR="009F1419" w:rsidRDefault="009F1419" w:rsidP="00217DF4">
      <w:pPr>
        <w:pStyle w:val="BodyText"/>
        <w:rPr>
          <w:b/>
        </w:rPr>
      </w:pPr>
      <w:r>
        <w:rPr>
          <w:noProof/>
        </w:rPr>
        <w:drawing>
          <wp:inline distT="0" distB="0" distL="0" distR="0" wp14:anchorId="74B617C7" wp14:editId="50F1C219">
            <wp:extent cx="4572000" cy="2743200"/>
            <wp:effectExtent l="0" t="0" r="0" b="0"/>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2109734" w14:textId="581C977A" w:rsidR="009F1419" w:rsidRDefault="009F1419" w:rsidP="00217DF4">
      <w:pPr>
        <w:pStyle w:val="BodyText"/>
        <w:rPr>
          <w:b/>
        </w:rPr>
      </w:pPr>
    </w:p>
    <w:p w14:paraId="5BEC040D" w14:textId="2D68FB2A" w:rsidR="009F1419" w:rsidRDefault="009F1419" w:rsidP="00217DF4">
      <w:pPr>
        <w:pStyle w:val="BodyText"/>
        <w:rPr>
          <w:b/>
        </w:rPr>
      </w:pPr>
      <w:r>
        <w:rPr>
          <w:noProof/>
        </w:rPr>
        <w:drawing>
          <wp:inline distT="0" distB="0" distL="0" distR="0" wp14:anchorId="66CD0795" wp14:editId="219EBF74">
            <wp:extent cx="4572000" cy="2743200"/>
            <wp:effectExtent l="0" t="0" r="0" b="0"/>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F78451D" w14:textId="1B7AD8FB" w:rsidR="009F1419" w:rsidRDefault="009F1419" w:rsidP="00217DF4">
      <w:pPr>
        <w:pStyle w:val="BodyText"/>
        <w:rPr>
          <w:b/>
        </w:rPr>
      </w:pPr>
    </w:p>
    <w:p w14:paraId="52E2D360" w14:textId="618201BD" w:rsidR="009F1419" w:rsidRDefault="009F1419" w:rsidP="00217DF4">
      <w:pPr>
        <w:pStyle w:val="BodyText"/>
        <w:rPr>
          <w:b/>
        </w:rPr>
      </w:pPr>
      <w:r>
        <w:rPr>
          <w:noProof/>
        </w:rPr>
        <w:lastRenderedPageBreak/>
        <w:drawing>
          <wp:inline distT="0" distB="0" distL="0" distR="0" wp14:anchorId="5389A61F" wp14:editId="503000AF">
            <wp:extent cx="4572000" cy="2743200"/>
            <wp:effectExtent l="0" t="0" r="0" b="0"/>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D0E7C64" w14:textId="1429479F" w:rsidR="009F1419" w:rsidRDefault="00D20A9E" w:rsidP="009F1419">
      <w:pPr>
        <w:pStyle w:val="BodyText"/>
        <w:rPr>
          <w:b/>
        </w:rPr>
      </w:pPr>
      <w:r>
        <w:rPr>
          <w:b/>
        </w:rPr>
        <w:t xml:space="preserve">Figure xx: Baseline Peak Demand and Energy </w:t>
      </w:r>
      <w:r w:rsidR="00C56F64">
        <w:rPr>
          <w:b/>
        </w:rPr>
        <w:t>Forecasts</w:t>
      </w:r>
    </w:p>
    <w:tbl>
      <w:tblPr>
        <w:tblW w:w="5000" w:type="pct"/>
        <w:tblLook w:val="04A0" w:firstRow="1" w:lastRow="0" w:firstColumn="1" w:lastColumn="0" w:noHBand="0" w:noVBand="1"/>
      </w:tblPr>
      <w:tblGrid>
        <w:gridCol w:w="2811"/>
        <w:gridCol w:w="660"/>
        <w:gridCol w:w="660"/>
        <w:gridCol w:w="661"/>
        <w:gridCol w:w="661"/>
        <w:gridCol w:w="661"/>
        <w:gridCol w:w="661"/>
        <w:gridCol w:w="661"/>
        <w:gridCol w:w="661"/>
        <w:gridCol w:w="661"/>
        <w:gridCol w:w="661"/>
        <w:gridCol w:w="661"/>
      </w:tblGrid>
      <w:tr w:rsidR="00D20A9E" w:rsidRPr="00B97758" w14:paraId="6C98F77F" w14:textId="77777777" w:rsidTr="000B0E01">
        <w:trPr>
          <w:trHeight w:val="300"/>
        </w:trPr>
        <w:tc>
          <w:tcPr>
            <w:tcW w:w="2377" w:type="pct"/>
            <w:gridSpan w:val="4"/>
            <w:tcBorders>
              <w:top w:val="nil"/>
              <w:left w:val="nil"/>
              <w:bottom w:val="nil"/>
              <w:right w:val="nil"/>
            </w:tcBorders>
            <w:shd w:val="clear" w:color="000000" w:fill="FFFFFF"/>
            <w:noWrap/>
            <w:vAlign w:val="bottom"/>
            <w:hideMark/>
          </w:tcPr>
          <w:p w14:paraId="0363DFE4" w14:textId="77777777" w:rsidR="00D20A9E" w:rsidRPr="00B97758" w:rsidRDefault="00D20A9E" w:rsidP="00C166D7">
            <w:pPr>
              <w:spacing w:after="0"/>
              <w:ind w:left="0" w:firstLine="0"/>
              <w:rPr>
                <w:rFonts w:ascii="Franklin Gothic Book" w:hAnsi="Franklin Gothic Book" w:cs="Calibri"/>
                <w:b/>
                <w:bCs/>
                <w:color w:val="0070C0"/>
                <w:sz w:val="12"/>
                <w:szCs w:val="12"/>
                <w:lang w:bidi="ar-SA"/>
              </w:rPr>
            </w:pPr>
            <w:r w:rsidRPr="00B97758">
              <w:rPr>
                <w:rFonts w:ascii="Franklin Gothic Book" w:hAnsi="Franklin Gothic Book" w:cs="Calibri"/>
                <w:b/>
                <w:bCs/>
                <w:color w:val="0070C0"/>
                <w:sz w:val="12"/>
                <w:szCs w:val="12"/>
                <w:lang w:bidi="ar-SA"/>
              </w:rPr>
              <w:t>Baseline and Adjusted Baseline Energy Updated Forecasts</w:t>
            </w:r>
          </w:p>
          <w:p w14:paraId="2990D265" w14:textId="77777777" w:rsidR="00D20A9E" w:rsidRPr="00B97758" w:rsidRDefault="00D20A9E" w:rsidP="00C166D7">
            <w:pPr>
              <w:spacing w:after="0"/>
              <w:ind w:left="0" w:firstLine="0"/>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 </w:t>
            </w:r>
          </w:p>
          <w:p w14:paraId="33E438BF" w14:textId="77777777" w:rsidR="00D20A9E" w:rsidRPr="00B97758" w:rsidRDefault="00D20A9E" w:rsidP="00C166D7">
            <w:pPr>
              <w:spacing w:after="0"/>
              <w:ind w:left="0" w:firstLine="0"/>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 </w:t>
            </w:r>
          </w:p>
        </w:tc>
        <w:tc>
          <w:tcPr>
            <w:tcW w:w="328" w:type="pct"/>
            <w:tcBorders>
              <w:top w:val="nil"/>
              <w:left w:val="nil"/>
              <w:bottom w:val="nil"/>
              <w:right w:val="nil"/>
            </w:tcBorders>
            <w:shd w:val="clear" w:color="000000" w:fill="FFFFFF"/>
            <w:noWrap/>
            <w:vAlign w:val="bottom"/>
            <w:hideMark/>
          </w:tcPr>
          <w:p w14:paraId="5561B8E0" w14:textId="77777777" w:rsidR="00D20A9E" w:rsidRPr="00B97758" w:rsidRDefault="00D20A9E" w:rsidP="00C166D7">
            <w:pPr>
              <w:spacing w:after="0"/>
              <w:ind w:left="0" w:firstLine="0"/>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 </w:t>
            </w:r>
          </w:p>
        </w:tc>
        <w:tc>
          <w:tcPr>
            <w:tcW w:w="328" w:type="pct"/>
            <w:tcBorders>
              <w:top w:val="nil"/>
              <w:left w:val="nil"/>
              <w:bottom w:val="nil"/>
              <w:right w:val="nil"/>
            </w:tcBorders>
            <w:shd w:val="clear" w:color="000000" w:fill="FFFFFF"/>
            <w:noWrap/>
            <w:vAlign w:val="bottom"/>
            <w:hideMark/>
          </w:tcPr>
          <w:p w14:paraId="20FE39C6" w14:textId="77777777" w:rsidR="00D20A9E" w:rsidRPr="00B97758" w:rsidRDefault="00D20A9E" w:rsidP="00C166D7">
            <w:pPr>
              <w:spacing w:after="0"/>
              <w:ind w:left="0" w:firstLine="0"/>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 </w:t>
            </w:r>
          </w:p>
        </w:tc>
        <w:tc>
          <w:tcPr>
            <w:tcW w:w="328" w:type="pct"/>
            <w:tcBorders>
              <w:top w:val="nil"/>
              <w:left w:val="nil"/>
              <w:bottom w:val="nil"/>
              <w:right w:val="nil"/>
            </w:tcBorders>
            <w:shd w:val="clear" w:color="000000" w:fill="FFFFFF"/>
            <w:noWrap/>
            <w:vAlign w:val="bottom"/>
            <w:hideMark/>
          </w:tcPr>
          <w:p w14:paraId="53FB36F2" w14:textId="77777777" w:rsidR="00D20A9E" w:rsidRPr="00B97758" w:rsidRDefault="00D20A9E" w:rsidP="00C166D7">
            <w:pPr>
              <w:spacing w:after="0"/>
              <w:ind w:left="0" w:firstLine="0"/>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 </w:t>
            </w:r>
          </w:p>
        </w:tc>
        <w:tc>
          <w:tcPr>
            <w:tcW w:w="328" w:type="pct"/>
            <w:tcBorders>
              <w:top w:val="nil"/>
              <w:left w:val="nil"/>
              <w:bottom w:val="nil"/>
              <w:right w:val="nil"/>
            </w:tcBorders>
            <w:shd w:val="clear" w:color="000000" w:fill="FFFFFF"/>
            <w:noWrap/>
            <w:vAlign w:val="bottom"/>
            <w:hideMark/>
          </w:tcPr>
          <w:p w14:paraId="6777CFD5" w14:textId="77777777" w:rsidR="00D20A9E" w:rsidRPr="00B97758" w:rsidRDefault="00D20A9E" w:rsidP="00C166D7">
            <w:pPr>
              <w:spacing w:after="0"/>
              <w:ind w:left="0" w:firstLine="0"/>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 </w:t>
            </w:r>
          </w:p>
        </w:tc>
        <w:tc>
          <w:tcPr>
            <w:tcW w:w="328" w:type="pct"/>
            <w:tcBorders>
              <w:top w:val="nil"/>
              <w:left w:val="nil"/>
              <w:bottom w:val="nil"/>
              <w:right w:val="nil"/>
            </w:tcBorders>
            <w:shd w:val="clear" w:color="000000" w:fill="FFFFFF"/>
            <w:noWrap/>
            <w:vAlign w:val="bottom"/>
            <w:hideMark/>
          </w:tcPr>
          <w:p w14:paraId="7A6D0A1F" w14:textId="77777777" w:rsidR="00D20A9E" w:rsidRPr="00B97758" w:rsidRDefault="00D20A9E" w:rsidP="00C166D7">
            <w:pPr>
              <w:spacing w:after="0"/>
              <w:ind w:left="0" w:firstLine="0"/>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 </w:t>
            </w:r>
          </w:p>
        </w:tc>
        <w:tc>
          <w:tcPr>
            <w:tcW w:w="328" w:type="pct"/>
            <w:tcBorders>
              <w:top w:val="nil"/>
              <w:left w:val="nil"/>
              <w:bottom w:val="nil"/>
              <w:right w:val="nil"/>
            </w:tcBorders>
            <w:shd w:val="clear" w:color="000000" w:fill="FFFFFF"/>
            <w:noWrap/>
            <w:vAlign w:val="bottom"/>
            <w:hideMark/>
          </w:tcPr>
          <w:p w14:paraId="442A4F1B" w14:textId="77777777" w:rsidR="00D20A9E" w:rsidRPr="00B97758" w:rsidRDefault="00D20A9E" w:rsidP="00C166D7">
            <w:pPr>
              <w:spacing w:after="0"/>
              <w:ind w:left="0" w:firstLine="0"/>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 </w:t>
            </w:r>
          </w:p>
        </w:tc>
        <w:tc>
          <w:tcPr>
            <w:tcW w:w="328" w:type="pct"/>
            <w:tcBorders>
              <w:top w:val="nil"/>
              <w:left w:val="nil"/>
              <w:bottom w:val="nil"/>
              <w:right w:val="nil"/>
            </w:tcBorders>
            <w:shd w:val="clear" w:color="000000" w:fill="FFFFFF"/>
            <w:noWrap/>
            <w:vAlign w:val="bottom"/>
            <w:hideMark/>
          </w:tcPr>
          <w:p w14:paraId="2629A4CA" w14:textId="77777777" w:rsidR="00D20A9E" w:rsidRPr="00B97758" w:rsidRDefault="00D20A9E" w:rsidP="00C166D7">
            <w:pPr>
              <w:spacing w:after="0"/>
              <w:ind w:left="0" w:firstLine="0"/>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 </w:t>
            </w:r>
          </w:p>
        </w:tc>
        <w:tc>
          <w:tcPr>
            <w:tcW w:w="328" w:type="pct"/>
            <w:tcBorders>
              <w:top w:val="nil"/>
              <w:left w:val="nil"/>
              <w:bottom w:val="nil"/>
              <w:right w:val="nil"/>
            </w:tcBorders>
            <w:shd w:val="clear" w:color="000000" w:fill="FFFFFF"/>
            <w:noWrap/>
            <w:vAlign w:val="bottom"/>
            <w:hideMark/>
          </w:tcPr>
          <w:p w14:paraId="26A39507" w14:textId="77777777" w:rsidR="00D20A9E" w:rsidRPr="00B97758" w:rsidRDefault="00D20A9E" w:rsidP="00C166D7">
            <w:pPr>
              <w:spacing w:after="0"/>
              <w:ind w:left="0" w:firstLine="0"/>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 </w:t>
            </w:r>
          </w:p>
        </w:tc>
      </w:tr>
      <w:tr w:rsidR="00D20A9E" w:rsidRPr="00B97758" w14:paraId="0CF7A348" w14:textId="77777777" w:rsidTr="000B0E01">
        <w:trPr>
          <w:trHeight w:val="300"/>
        </w:trPr>
        <w:tc>
          <w:tcPr>
            <w:tcW w:w="1394" w:type="pct"/>
            <w:tcBorders>
              <w:top w:val="single" w:sz="8" w:space="0" w:color="auto"/>
              <w:left w:val="single" w:sz="8" w:space="0" w:color="auto"/>
              <w:bottom w:val="nil"/>
              <w:right w:val="single" w:sz="8" w:space="0" w:color="auto"/>
            </w:tcBorders>
            <w:shd w:val="clear" w:color="000000" w:fill="BDD7EE"/>
            <w:noWrap/>
            <w:hideMark/>
          </w:tcPr>
          <w:p w14:paraId="435BA7B1" w14:textId="77777777" w:rsidR="00D20A9E" w:rsidRPr="00B97758" w:rsidRDefault="00D20A9E" w:rsidP="00C166D7">
            <w:pPr>
              <w:spacing w:after="0"/>
              <w:ind w:left="0" w:firstLine="0"/>
              <w:jc w:val="center"/>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Annual GWh</w:t>
            </w:r>
          </w:p>
        </w:tc>
        <w:tc>
          <w:tcPr>
            <w:tcW w:w="327" w:type="pct"/>
            <w:tcBorders>
              <w:top w:val="single" w:sz="8" w:space="0" w:color="auto"/>
              <w:left w:val="nil"/>
              <w:bottom w:val="nil"/>
              <w:right w:val="nil"/>
            </w:tcBorders>
            <w:shd w:val="clear" w:color="000000" w:fill="BDD7EE"/>
            <w:noWrap/>
            <w:hideMark/>
          </w:tcPr>
          <w:p w14:paraId="2E3D0226" w14:textId="77777777" w:rsidR="00D20A9E" w:rsidRPr="00B97758" w:rsidRDefault="00D20A9E" w:rsidP="00C166D7">
            <w:pPr>
              <w:spacing w:after="0"/>
              <w:ind w:left="0" w:firstLine="0"/>
              <w:jc w:val="right"/>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2020</w:t>
            </w:r>
          </w:p>
        </w:tc>
        <w:tc>
          <w:tcPr>
            <w:tcW w:w="327" w:type="pct"/>
            <w:tcBorders>
              <w:top w:val="single" w:sz="8" w:space="0" w:color="auto"/>
              <w:left w:val="nil"/>
              <w:bottom w:val="nil"/>
              <w:right w:val="nil"/>
            </w:tcBorders>
            <w:shd w:val="clear" w:color="000000" w:fill="BDD7EE"/>
            <w:noWrap/>
            <w:hideMark/>
          </w:tcPr>
          <w:p w14:paraId="75884544" w14:textId="77777777" w:rsidR="00D20A9E" w:rsidRPr="00B97758" w:rsidRDefault="00D20A9E" w:rsidP="00C166D7">
            <w:pPr>
              <w:spacing w:after="0"/>
              <w:ind w:left="0" w:firstLine="0"/>
              <w:jc w:val="right"/>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2021</w:t>
            </w:r>
          </w:p>
        </w:tc>
        <w:tc>
          <w:tcPr>
            <w:tcW w:w="328" w:type="pct"/>
            <w:tcBorders>
              <w:top w:val="single" w:sz="8" w:space="0" w:color="auto"/>
              <w:left w:val="nil"/>
              <w:bottom w:val="nil"/>
              <w:right w:val="nil"/>
            </w:tcBorders>
            <w:shd w:val="clear" w:color="000000" w:fill="BDD7EE"/>
            <w:noWrap/>
            <w:hideMark/>
          </w:tcPr>
          <w:p w14:paraId="07D63D43" w14:textId="77777777" w:rsidR="00D20A9E" w:rsidRPr="00B97758" w:rsidRDefault="00D20A9E" w:rsidP="00C166D7">
            <w:pPr>
              <w:spacing w:after="0"/>
              <w:ind w:left="0" w:firstLine="0"/>
              <w:jc w:val="right"/>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2022</w:t>
            </w:r>
          </w:p>
        </w:tc>
        <w:tc>
          <w:tcPr>
            <w:tcW w:w="328" w:type="pct"/>
            <w:tcBorders>
              <w:top w:val="single" w:sz="8" w:space="0" w:color="auto"/>
              <w:left w:val="nil"/>
              <w:bottom w:val="nil"/>
              <w:right w:val="nil"/>
            </w:tcBorders>
            <w:shd w:val="clear" w:color="000000" w:fill="BDD7EE"/>
            <w:noWrap/>
            <w:hideMark/>
          </w:tcPr>
          <w:p w14:paraId="40F8FB0C" w14:textId="77777777" w:rsidR="00D20A9E" w:rsidRPr="00B97758" w:rsidRDefault="00D20A9E" w:rsidP="00C166D7">
            <w:pPr>
              <w:spacing w:after="0"/>
              <w:ind w:left="0" w:firstLine="0"/>
              <w:jc w:val="right"/>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2023</w:t>
            </w:r>
          </w:p>
        </w:tc>
        <w:tc>
          <w:tcPr>
            <w:tcW w:w="328" w:type="pct"/>
            <w:tcBorders>
              <w:top w:val="single" w:sz="8" w:space="0" w:color="auto"/>
              <w:left w:val="nil"/>
              <w:bottom w:val="nil"/>
              <w:right w:val="nil"/>
            </w:tcBorders>
            <w:shd w:val="clear" w:color="000000" w:fill="BDD7EE"/>
            <w:noWrap/>
            <w:hideMark/>
          </w:tcPr>
          <w:p w14:paraId="2AC3CEAE" w14:textId="77777777" w:rsidR="00D20A9E" w:rsidRPr="00B97758" w:rsidRDefault="00D20A9E" w:rsidP="00C166D7">
            <w:pPr>
              <w:spacing w:after="0"/>
              <w:ind w:left="0" w:firstLine="0"/>
              <w:jc w:val="right"/>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2024</w:t>
            </w:r>
          </w:p>
        </w:tc>
        <w:tc>
          <w:tcPr>
            <w:tcW w:w="328" w:type="pct"/>
            <w:tcBorders>
              <w:top w:val="single" w:sz="8" w:space="0" w:color="auto"/>
              <w:left w:val="nil"/>
              <w:bottom w:val="nil"/>
              <w:right w:val="nil"/>
            </w:tcBorders>
            <w:shd w:val="clear" w:color="000000" w:fill="BDD7EE"/>
            <w:noWrap/>
            <w:hideMark/>
          </w:tcPr>
          <w:p w14:paraId="34DCC274" w14:textId="77777777" w:rsidR="00D20A9E" w:rsidRPr="00B97758" w:rsidRDefault="00D20A9E" w:rsidP="00C166D7">
            <w:pPr>
              <w:spacing w:after="0"/>
              <w:ind w:left="0" w:firstLine="0"/>
              <w:jc w:val="right"/>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2025</w:t>
            </w:r>
          </w:p>
        </w:tc>
        <w:tc>
          <w:tcPr>
            <w:tcW w:w="328" w:type="pct"/>
            <w:tcBorders>
              <w:top w:val="single" w:sz="8" w:space="0" w:color="auto"/>
              <w:left w:val="nil"/>
              <w:bottom w:val="nil"/>
              <w:right w:val="nil"/>
            </w:tcBorders>
            <w:shd w:val="clear" w:color="000000" w:fill="BDD7EE"/>
            <w:noWrap/>
            <w:hideMark/>
          </w:tcPr>
          <w:p w14:paraId="141C9C6F" w14:textId="77777777" w:rsidR="00D20A9E" w:rsidRPr="00B97758" w:rsidRDefault="00D20A9E" w:rsidP="00C166D7">
            <w:pPr>
              <w:spacing w:after="0"/>
              <w:ind w:left="0" w:firstLine="0"/>
              <w:jc w:val="right"/>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2026</w:t>
            </w:r>
          </w:p>
        </w:tc>
        <w:tc>
          <w:tcPr>
            <w:tcW w:w="328" w:type="pct"/>
            <w:tcBorders>
              <w:top w:val="single" w:sz="8" w:space="0" w:color="auto"/>
              <w:left w:val="nil"/>
              <w:bottom w:val="nil"/>
              <w:right w:val="nil"/>
            </w:tcBorders>
            <w:shd w:val="clear" w:color="000000" w:fill="BDD7EE"/>
            <w:noWrap/>
            <w:hideMark/>
          </w:tcPr>
          <w:p w14:paraId="28A9FBF5" w14:textId="77777777" w:rsidR="00D20A9E" w:rsidRPr="00B97758" w:rsidRDefault="00D20A9E" w:rsidP="00C166D7">
            <w:pPr>
              <w:spacing w:after="0"/>
              <w:ind w:left="0" w:firstLine="0"/>
              <w:jc w:val="right"/>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2027</w:t>
            </w:r>
          </w:p>
        </w:tc>
        <w:tc>
          <w:tcPr>
            <w:tcW w:w="328" w:type="pct"/>
            <w:tcBorders>
              <w:top w:val="single" w:sz="8" w:space="0" w:color="auto"/>
              <w:left w:val="nil"/>
              <w:bottom w:val="nil"/>
              <w:right w:val="nil"/>
            </w:tcBorders>
            <w:shd w:val="clear" w:color="000000" w:fill="BDD7EE"/>
            <w:noWrap/>
            <w:hideMark/>
          </w:tcPr>
          <w:p w14:paraId="1C33B13C" w14:textId="77777777" w:rsidR="00D20A9E" w:rsidRPr="00B97758" w:rsidRDefault="00D20A9E" w:rsidP="00C166D7">
            <w:pPr>
              <w:spacing w:after="0"/>
              <w:ind w:left="0" w:firstLine="0"/>
              <w:jc w:val="right"/>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2028</w:t>
            </w:r>
          </w:p>
        </w:tc>
        <w:tc>
          <w:tcPr>
            <w:tcW w:w="328" w:type="pct"/>
            <w:tcBorders>
              <w:top w:val="single" w:sz="8" w:space="0" w:color="auto"/>
              <w:left w:val="nil"/>
              <w:bottom w:val="nil"/>
              <w:right w:val="nil"/>
            </w:tcBorders>
            <w:shd w:val="clear" w:color="000000" w:fill="BDD7EE"/>
            <w:noWrap/>
            <w:hideMark/>
          </w:tcPr>
          <w:p w14:paraId="06230C5D" w14:textId="77777777" w:rsidR="00D20A9E" w:rsidRPr="00B97758" w:rsidRDefault="00D20A9E" w:rsidP="00C166D7">
            <w:pPr>
              <w:spacing w:after="0"/>
              <w:ind w:left="0" w:firstLine="0"/>
              <w:jc w:val="right"/>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2029</w:t>
            </w:r>
          </w:p>
        </w:tc>
        <w:tc>
          <w:tcPr>
            <w:tcW w:w="328" w:type="pct"/>
            <w:tcBorders>
              <w:top w:val="single" w:sz="8" w:space="0" w:color="auto"/>
              <w:left w:val="nil"/>
              <w:bottom w:val="nil"/>
              <w:right w:val="single" w:sz="8" w:space="0" w:color="auto"/>
            </w:tcBorders>
            <w:shd w:val="clear" w:color="000000" w:fill="BDD7EE"/>
            <w:noWrap/>
            <w:hideMark/>
          </w:tcPr>
          <w:p w14:paraId="099DFCCB" w14:textId="77777777" w:rsidR="00D20A9E" w:rsidRPr="00B97758" w:rsidRDefault="00D20A9E" w:rsidP="00C166D7">
            <w:pPr>
              <w:spacing w:after="0"/>
              <w:ind w:left="0" w:firstLine="0"/>
              <w:jc w:val="right"/>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2030</w:t>
            </w:r>
          </w:p>
        </w:tc>
      </w:tr>
      <w:tr w:rsidR="00D20A9E" w:rsidRPr="00B97758" w14:paraId="48C44C1C" w14:textId="77777777" w:rsidTr="000B0E01">
        <w:trPr>
          <w:trHeight w:val="300"/>
        </w:trPr>
        <w:tc>
          <w:tcPr>
            <w:tcW w:w="1394" w:type="pct"/>
            <w:tcBorders>
              <w:top w:val="nil"/>
              <w:left w:val="single" w:sz="8" w:space="0" w:color="auto"/>
              <w:bottom w:val="nil"/>
              <w:right w:val="single" w:sz="8" w:space="0" w:color="auto"/>
            </w:tcBorders>
            <w:shd w:val="clear" w:color="000000" w:fill="FFFFFF"/>
            <w:noWrap/>
            <w:hideMark/>
          </w:tcPr>
          <w:p w14:paraId="133FC917" w14:textId="77777777" w:rsidR="00D20A9E" w:rsidRPr="00B97758" w:rsidRDefault="00D20A9E" w:rsidP="00C166D7">
            <w:pPr>
              <w:spacing w:after="0"/>
              <w:ind w:left="0" w:firstLine="0"/>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2020 End-Use Energy Forecast - Nov. update</w:t>
            </w:r>
          </w:p>
        </w:tc>
        <w:tc>
          <w:tcPr>
            <w:tcW w:w="327" w:type="pct"/>
            <w:tcBorders>
              <w:top w:val="nil"/>
              <w:left w:val="nil"/>
              <w:bottom w:val="nil"/>
              <w:right w:val="nil"/>
            </w:tcBorders>
            <w:shd w:val="clear" w:color="000000" w:fill="FFFFFF"/>
            <w:noWrap/>
            <w:hideMark/>
          </w:tcPr>
          <w:p w14:paraId="11123938"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154,860</w:t>
            </w:r>
          </w:p>
        </w:tc>
        <w:tc>
          <w:tcPr>
            <w:tcW w:w="327" w:type="pct"/>
            <w:tcBorders>
              <w:top w:val="nil"/>
              <w:left w:val="nil"/>
              <w:bottom w:val="nil"/>
              <w:right w:val="nil"/>
            </w:tcBorders>
            <w:shd w:val="clear" w:color="000000" w:fill="FFFFFF"/>
            <w:noWrap/>
            <w:hideMark/>
          </w:tcPr>
          <w:p w14:paraId="0329E639"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157,664</w:t>
            </w:r>
          </w:p>
        </w:tc>
        <w:tc>
          <w:tcPr>
            <w:tcW w:w="328" w:type="pct"/>
            <w:tcBorders>
              <w:top w:val="nil"/>
              <w:left w:val="nil"/>
              <w:bottom w:val="nil"/>
              <w:right w:val="nil"/>
            </w:tcBorders>
            <w:shd w:val="clear" w:color="000000" w:fill="FFFFFF"/>
            <w:noWrap/>
            <w:hideMark/>
          </w:tcPr>
          <w:p w14:paraId="7971DA1E"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159,328</w:t>
            </w:r>
          </w:p>
        </w:tc>
        <w:tc>
          <w:tcPr>
            <w:tcW w:w="328" w:type="pct"/>
            <w:tcBorders>
              <w:top w:val="nil"/>
              <w:left w:val="nil"/>
              <w:bottom w:val="nil"/>
              <w:right w:val="nil"/>
            </w:tcBorders>
            <w:shd w:val="clear" w:color="000000" w:fill="FFFFFF"/>
            <w:noWrap/>
            <w:hideMark/>
          </w:tcPr>
          <w:p w14:paraId="1FC9A0B2"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160,833</w:t>
            </w:r>
          </w:p>
        </w:tc>
        <w:tc>
          <w:tcPr>
            <w:tcW w:w="328" w:type="pct"/>
            <w:tcBorders>
              <w:top w:val="nil"/>
              <w:left w:val="nil"/>
              <w:bottom w:val="nil"/>
              <w:right w:val="nil"/>
            </w:tcBorders>
            <w:shd w:val="clear" w:color="000000" w:fill="FFFFFF"/>
            <w:noWrap/>
            <w:hideMark/>
          </w:tcPr>
          <w:p w14:paraId="15269785"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162,153</w:t>
            </w:r>
          </w:p>
        </w:tc>
        <w:tc>
          <w:tcPr>
            <w:tcW w:w="328" w:type="pct"/>
            <w:tcBorders>
              <w:top w:val="nil"/>
              <w:left w:val="nil"/>
              <w:bottom w:val="nil"/>
              <w:right w:val="nil"/>
            </w:tcBorders>
            <w:shd w:val="clear" w:color="000000" w:fill="FFFFFF"/>
            <w:noWrap/>
            <w:hideMark/>
          </w:tcPr>
          <w:p w14:paraId="048F8E67"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163,545</w:t>
            </w:r>
          </w:p>
        </w:tc>
        <w:tc>
          <w:tcPr>
            <w:tcW w:w="328" w:type="pct"/>
            <w:tcBorders>
              <w:top w:val="nil"/>
              <w:left w:val="nil"/>
              <w:bottom w:val="nil"/>
              <w:right w:val="nil"/>
            </w:tcBorders>
            <w:shd w:val="clear" w:color="000000" w:fill="FFFFFF"/>
            <w:noWrap/>
            <w:hideMark/>
          </w:tcPr>
          <w:p w14:paraId="1256CB08"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164,704</w:t>
            </w:r>
          </w:p>
        </w:tc>
        <w:tc>
          <w:tcPr>
            <w:tcW w:w="328" w:type="pct"/>
            <w:tcBorders>
              <w:top w:val="nil"/>
              <w:left w:val="nil"/>
              <w:bottom w:val="nil"/>
              <w:right w:val="nil"/>
            </w:tcBorders>
            <w:shd w:val="clear" w:color="000000" w:fill="FFFFFF"/>
            <w:noWrap/>
            <w:hideMark/>
          </w:tcPr>
          <w:p w14:paraId="26B79B91"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165,717</w:t>
            </w:r>
          </w:p>
        </w:tc>
        <w:tc>
          <w:tcPr>
            <w:tcW w:w="328" w:type="pct"/>
            <w:tcBorders>
              <w:top w:val="nil"/>
              <w:left w:val="nil"/>
              <w:bottom w:val="nil"/>
              <w:right w:val="nil"/>
            </w:tcBorders>
            <w:shd w:val="clear" w:color="000000" w:fill="FFFFFF"/>
            <w:noWrap/>
            <w:hideMark/>
          </w:tcPr>
          <w:p w14:paraId="6CD7E336"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166,535</w:t>
            </w:r>
          </w:p>
        </w:tc>
        <w:tc>
          <w:tcPr>
            <w:tcW w:w="328" w:type="pct"/>
            <w:tcBorders>
              <w:top w:val="nil"/>
              <w:left w:val="nil"/>
              <w:bottom w:val="nil"/>
              <w:right w:val="nil"/>
            </w:tcBorders>
            <w:shd w:val="clear" w:color="000000" w:fill="FFFFFF"/>
            <w:noWrap/>
            <w:hideMark/>
          </w:tcPr>
          <w:p w14:paraId="31349125"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167,116</w:t>
            </w:r>
          </w:p>
        </w:tc>
        <w:tc>
          <w:tcPr>
            <w:tcW w:w="328" w:type="pct"/>
            <w:tcBorders>
              <w:top w:val="nil"/>
              <w:left w:val="nil"/>
              <w:bottom w:val="nil"/>
              <w:right w:val="single" w:sz="8" w:space="0" w:color="auto"/>
            </w:tcBorders>
            <w:shd w:val="clear" w:color="000000" w:fill="FFFFFF"/>
            <w:noWrap/>
            <w:hideMark/>
          </w:tcPr>
          <w:p w14:paraId="48B0FC1A"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167,475</w:t>
            </w:r>
          </w:p>
        </w:tc>
      </w:tr>
      <w:tr w:rsidR="00D20A9E" w:rsidRPr="00B97758" w14:paraId="4FA780B6" w14:textId="77777777" w:rsidTr="000B0E01">
        <w:trPr>
          <w:trHeight w:val="288"/>
        </w:trPr>
        <w:tc>
          <w:tcPr>
            <w:tcW w:w="1394" w:type="pct"/>
            <w:tcBorders>
              <w:top w:val="nil"/>
              <w:left w:val="single" w:sz="8" w:space="0" w:color="auto"/>
              <w:bottom w:val="nil"/>
              <w:right w:val="single" w:sz="8" w:space="0" w:color="auto"/>
            </w:tcBorders>
            <w:shd w:val="clear" w:color="000000" w:fill="FFFFFF"/>
            <w:noWrap/>
            <w:hideMark/>
          </w:tcPr>
          <w:p w14:paraId="2DA89FC5" w14:textId="77777777" w:rsidR="00D20A9E" w:rsidRPr="00B97758" w:rsidRDefault="00D20A9E" w:rsidP="00C166D7">
            <w:pPr>
              <w:spacing w:after="0"/>
              <w:ind w:left="0" w:firstLine="0"/>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 Energy Efficiency and Codes &amp; Standards</w:t>
            </w:r>
          </w:p>
        </w:tc>
        <w:tc>
          <w:tcPr>
            <w:tcW w:w="327" w:type="pct"/>
            <w:tcBorders>
              <w:top w:val="nil"/>
              <w:left w:val="nil"/>
              <w:bottom w:val="nil"/>
              <w:right w:val="nil"/>
            </w:tcBorders>
            <w:shd w:val="clear" w:color="000000" w:fill="FFFFFF"/>
            <w:noWrap/>
            <w:hideMark/>
          </w:tcPr>
          <w:p w14:paraId="39061AFD"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1,885</w:t>
            </w:r>
          </w:p>
        </w:tc>
        <w:tc>
          <w:tcPr>
            <w:tcW w:w="327" w:type="pct"/>
            <w:tcBorders>
              <w:top w:val="nil"/>
              <w:left w:val="nil"/>
              <w:bottom w:val="nil"/>
              <w:right w:val="nil"/>
            </w:tcBorders>
            <w:shd w:val="clear" w:color="000000" w:fill="FFFFFF"/>
            <w:noWrap/>
            <w:hideMark/>
          </w:tcPr>
          <w:p w14:paraId="3A462E42"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3,959</w:t>
            </w:r>
          </w:p>
        </w:tc>
        <w:tc>
          <w:tcPr>
            <w:tcW w:w="328" w:type="pct"/>
            <w:tcBorders>
              <w:top w:val="nil"/>
              <w:left w:val="nil"/>
              <w:bottom w:val="nil"/>
              <w:right w:val="nil"/>
            </w:tcBorders>
            <w:shd w:val="clear" w:color="000000" w:fill="FFFFFF"/>
            <w:noWrap/>
            <w:hideMark/>
          </w:tcPr>
          <w:p w14:paraId="3169655B"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6,200</w:t>
            </w:r>
          </w:p>
        </w:tc>
        <w:tc>
          <w:tcPr>
            <w:tcW w:w="328" w:type="pct"/>
            <w:tcBorders>
              <w:top w:val="nil"/>
              <w:left w:val="nil"/>
              <w:bottom w:val="nil"/>
              <w:right w:val="nil"/>
            </w:tcBorders>
            <w:shd w:val="clear" w:color="000000" w:fill="FFFFFF"/>
            <w:noWrap/>
            <w:hideMark/>
          </w:tcPr>
          <w:p w14:paraId="3362238F"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8,599</w:t>
            </w:r>
          </w:p>
        </w:tc>
        <w:tc>
          <w:tcPr>
            <w:tcW w:w="328" w:type="pct"/>
            <w:tcBorders>
              <w:top w:val="nil"/>
              <w:left w:val="nil"/>
              <w:bottom w:val="nil"/>
              <w:right w:val="nil"/>
            </w:tcBorders>
            <w:shd w:val="clear" w:color="000000" w:fill="FFFFFF"/>
            <w:noWrap/>
            <w:hideMark/>
          </w:tcPr>
          <w:p w14:paraId="56FAF413"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11,081</w:t>
            </w:r>
          </w:p>
        </w:tc>
        <w:tc>
          <w:tcPr>
            <w:tcW w:w="328" w:type="pct"/>
            <w:tcBorders>
              <w:top w:val="nil"/>
              <w:left w:val="nil"/>
              <w:bottom w:val="nil"/>
              <w:right w:val="nil"/>
            </w:tcBorders>
            <w:shd w:val="clear" w:color="000000" w:fill="FFFFFF"/>
            <w:noWrap/>
            <w:hideMark/>
          </w:tcPr>
          <w:p w14:paraId="74724F8C"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13,582</w:t>
            </w:r>
          </w:p>
        </w:tc>
        <w:tc>
          <w:tcPr>
            <w:tcW w:w="328" w:type="pct"/>
            <w:tcBorders>
              <w:top w:val="nil"/>
              <w:left w:val="nil"/>
              <w:bottom w:val="nil"/>
              <w:right w:val="nil"/>
            </w:tcBorders>
            <w:shd w:val="clear" w:color="000000" w:fill="FFFFFF"/>
            <w:noWrap/>
            <w:hideMark/>
          </w:tcPr>
          <w:p w14:paraId="6062951C"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15,937</w:t>
            </w:r>
          </w:p>
        </w:tc>
        <w:tc>
          <w:tcPr>
            <w:tcW w:w="328" w:type="pct"/>
            <w:tcBorders>
              <w:top w:val="nil"/>
              <w:left w:val="nil"/>
              <w:bottom w:val="nil"/>
              <w:right w:val="nil"/>
            </w:tcBorders>
            <w:shd w:val="clear" w:color="000000" w:fill="FFFFFF"/>
            <w:noWrap/>
            <w:hideMark/>
          </w:tcPr>
          <w:p w14:paraId="40FF38B3"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18,057</w:t>
            </w:r>
          </w:p>
        </w:tc>
        <w:tc>
          <w:tcPr>
            <w:tcW w:w="328" w:type="pct"/>
            <w:tcBorders>
              <w:top w:val="nil"/>
              <w:left w:val="nil"/>
              <w:bottom w:val="nil"/>
              <w:right w:val="nil"/>
            </w:tcBorders>
            <w:shd w:val="clear" w:color="000000" w:fill="FFFFFF"/>
            <w:noWrap/>
            <w:hideMark/>
          </w:tcPr>
          <w:p w14:paraId="1A2F0997"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19,921</w:t>
            </w:r>
          </w:p>
        </w:tc>
        <w:tc>
          <w:tcPr>
            <w:tcW w:w="328" w:type="pct"/>
            <w:tcBorders>
              <w:top w:val="nil"/>
              <w:left w:val="nil"/>
              <w:bottom w:val="nil"/>
              <w:right w:val="nil"/>
            </w:tcBorders>
            <w:shd w:val="clear" w:color="000000" w:fill="FFFFFF"/>
            <w:noWrap/>
            <w:hideMark/>
          </w:tcPr>
          <w:p w14:paraId="198FA22D"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21,563</w:t>
            </w:r>
          </w:p>
        </w:tc>
        <w:tc>
          <w:tcPr>
            <w:tcW w:w="328" w:type="pct"/>
            <w:tcBorders>
              <w:top w:val="nil"/>
              <w:left w:val="nil"/>
              <w:bottom w:val="nil"/>
              <w:right w:val="single" w:sz="8" w:space="0" w:color="auto"/>
            </w:tcBorders>
            <w:shd w:val="clear" w:color="000000" w:fill="FFFFFF"/>
            <w:noWrap/>
            <w:hideMark/>
          </w:tcPr>
          <w:p w14:paraId="364D544B"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23,016</w:t>
            </w:r>
          </w:p>
        </w:tc>
      </w:tr>
      <w:tr w:rsidR="00D20A9E" w:rsidRPr="00B97758" w14:paraId="5450F426" w14:textId="77777777" w:rsidTr="000B0E01">
        <w:trPr>
          <w:trHeight w:val="288"/>
        </w:trPr>
        <w:tc>
          <w:tcPr>
            <w:tcW w:w="1394" w:type="pct"/>
            <w:tcBorders>
              <w:top w:val="nil"/>
              <w:left w:val="single" w:sz="8" w:space="0" w:color="auto"/>
              <w:bottom w:val="nil"/>
              <w:right w:val="single" w:sz="8" w:space="0" w:color="auto"/>
            </w:tcBorders>
            <w:shd w:val="clear" w:color="000000" w:fill="FFFFFF"/>
            <w:noWrap/>
            <w:hideMark/>
          </w:tcPr>
          <w:p w14:paraId="68019A2F" w14:textId="77777777" w:rsidR="00D20A9E" w:rsidRPr="00B97758" w:rsidRDefault="00D20A9E" w:rsidP="00C166D7">
            <w:pPr>
              <w:spacing w:after="0"/>
              <w:ind w:left="0" w:firstLine="0"/>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 xml:space="preserve">-- </w:t>
            </w:r>
            <w:proofErr w:type="spellStart"/>
            <w:r w:rsidRPr="00B97758">
              <w:rPr>
                <w:rFonts w:ascii="Franklin Gothic Book" w:hAnsi="Franklin Gothic Book" w:cs="Calibri"/>
                <w:b/>
                <w:bCs/>
                <w:color w:val="000000"/>
                <w:sz w:val="12"/>
                <w:szCs w:val="12"/>
                <w:lang w:bidi="ar-SA"/>
              </w:rPr>
              <w:t>BtM</w:t>
            </w:r>
            <w:proofErr w:type="spellEnd"/>
            <w:r w:rsidRPr="00B97758">
              <w:rPr>
                <w:rFonts w:ascii="Franklin Gothic Book" w:hAnsi="Franklin Gothic Book" w:cs="Calibri"/>
                <w:b/>
                <w:bCs/>
                <w:color w:val="000000"/>
                <w:sz w:val="12"/>
                <w:szCs w:val="12"/>
                <w:lang w:bidi="ar-SA"/>
              </w:rPr>
              <w:t xml:space="preserve"> Solar PV</w:t>
            </w:r>
          </w:p>
        </w:tc>
        <w:tc>
          <w:tcPr>
            <w:tcW w:w="327" w:type="pct"/>
            <w:tcBorders>
              <w:top w:val="nil"/>
              <w:left w:val="nil"/>
              <w:bottom w:val="nil"/>
              <w:right w:val="nil"/>
            </w:tcBorders>
            <w:shd w:val="clear" w:color="000000" w:fill="FFFFFF"/>
            <w:noWrap/>
            <w:hideMark/>
          </w:tcPr>
          <w:p w14:paraId="2084F5A3"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2,631</w:t>
            </w:r>
          </w:p>
        </w:tc>
        <w:tc>
          <w:tcPr>
            <w:tcW w:w="327" w:type="pct"/>
            <w:tcBorders>
              <w:top w:val="nil"/>
              <w:left w:val="nil"/>
              <w:bottom w:val="nil"/>
              <w:right w:val="nil"/>
            </w:tcBorders>
            <w:shd w:val="clear" w:color="000000" w:fill="FFFFFF"/>
            <w:noWrap/>
            <w:hideMark/>
          </w:tcPr>
          <w:p w14:paraId="27D02BA8"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3,274</w:t>
            </w:r>
          </w:p>
        </w:tc>
        <w:tc>
          <w:tcPr>
            <w:tcW w:w="328" w:type="pct"/>
            <w:tcBorders>
              <w:top w:val="nil"/>
              <w:left w:val="nil"/>
              <w:bottom w:val="nil"/>
              <w:right w:val="nil"/>
            </w:tcBorders>
            <w:shd w:val="clear" w:color="000000" w:fill="FFFFFF"/>
            <w:noWrap/>
            <w:hideMark/>
          </w:tcPr>
          <w:p w14:paraId="7827A3C5"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3,899</w:t>
            </w:r>
          </w:p>
        </w:tc>
        <w:tc>
          <w:tcPr>
            <w:tcW w:w="328" w:type="pct"/>
            <w:tcBorders>
              <w:top w:val="nil"/>
              <w:left w:val="nil"/>
              <w:bottom w:val="nil"/>
              <w:right w:val="nil"/>
            </w:tcBorders>
            <w:shd w:val="clear" w:color="000000" w:fill="FFFFFF"/>
            <w:noWrap/>
            <w:hideMark/>
          </w:tcPr>
          <w:p w14:paraId="23C2B14F"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4,563</w:t>
            </w:r>
          </w:p>
        </w:tc>
        <w:tc>
          <w:tcPr>
            <w:tcW w:w="328" w:type="pct"/>
            <w:tcBorders>
              <w:top w:val="nil"/>
              <w:left w:val="nil"/>
              <w:bottom w:val="nil"/>
              <w:right w:val="nil"/>
            </w:tcBorders>
            <w:shd w:val="clear" w:color="000000" w:fill="FFFFFF"/>
            <w:noWrap/>
            <w:hideMark/>
          </w:tcPr>
          <w:p w14:paraId="7F18D72C"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5,193</w:t>
            </w:r>
          </w:p>
        </w:tc>
        <w:tc>
          <w:tcPr>
            <w:tcW w:w="328" w:type="pct"/>
            <w:tcBorders>
              <w:top w:val="nil"/>
              <w:left w:val="nil"/>
              <w:bottom w:val="nil"/>
              <w:right w:val="nil"/>
            </w:tcBorders>
            <w:shd w:val="clear" w:color="000000" w:fill="FFFFFF"/>
            <w:noWrap/>
            <w:hideMark/>
          </w:tcPr>
          <w:p w14:paraId="7703AB04"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5,738</w:t>
            </w:r>
          </w:p>
        </w:tc>
        <w:tc>
          <w:tcPr>
            <w:tcW w:w="328" w:type="pct"/>
            <w:tcBorders>
              <w:top w:val="nil"/>
              <w:left w:val="nil"/>
              <w:bottom w:val="nil"/>
              <w:right w:val="nil"/>
            </w:tcBorders>
            <w:shd w:val="clear" w:color="000000" w:fill="FFFFFF"/>
            <w:noWrap/>
            <w:hideMark/>
          </w:tcPr>
          <w:p w14:paraId="62C4B85B"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6,205</w:t>
            </w:r>
          </w:p>
        </w:tc>
        <w:tc>
          <w:tcPr>
            <w:tcW w:w="328" w:type="pct"/>
            <w:tcBorders>
              <w:top w:val="nil"/>
              <w:left w:val="nil"/>
              <w:bottom w:val="nil"/>
              <w:right w:val="nil"/>
            </w:tcBorders>
            <w:shd w:val="clear" w:color="000000" w:fill="FFFFFF"/>
            <w:noWrap/>
            <w:hideMark/>
          </w:tcPr>
          <w:p w14:paraId="2FE1574C"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6,591</w:t>
            </w:r>
          </w:p>
        </w:tc>
        <w:tc>
          <w:tcPr>
            <w:tcW w:w="328" w:type="pct"/>
            <w:tcBorders>
              <w:top w:val="nil"/>
              <w:left w:val="nil"/>
              <w:bottom w:val="nil"/>
              <w:right w:val="nil"/>
            </w:tcBorders>
            <w:shd w:val="clear" w:color="000000" w:fill="FFFFFF"/>
            <w:noWrap/>
            <w:hideMark/>
          </w:tcPr>
          <w:p w14:paraId="72DEC916"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6,893</w:t>
            </w:r>
          </w:p>
        </w:tc>
        <w:tc>
          <w:tcPr>
            <w:tcW w:w="328" w:type="pct"/>
            <w:tcBorders>
              <w:top w:val="nil"/>
              <w:left w:val="nil"/>
              <w:bottom w:val="nil"/>
              <w:right w:val="nil"/>
            </w:tcBorders>
            <w:shd w:val="clear" w:color="000000" w:fill="FFFFFF"/>
            <w:noWrap/>
            <w:hideMark/>
          </w:tcPr>
          <w:p w14:paraId="67D53FF5"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7,130</w:t>
            </w:r>
          </w:p>
        </w:tc>
        <w:tc>
          <w:tcPr>
            <w:tcW w:w="328" w:type="pct"/>
            <w:tcBorders>
              <w:top w:val="nil"/>
              <w:left w:val="nil"/>
              <w:bottom w:val="nil"/>
              <w:right w:val="single" w:sz="8" w:space="0" w:color="auto"/>
            </w:tcBorders>
            <w:shd w:val="clear" w:color="000000" w:fill="FFFFFF"/>
            <w:noWrap/>
            <w:hideMark/>
          </w:tcPr>
          <w:p w14:paraId="7B039AA7"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7,289</w:t>
            </w:r>
          </w:p>
        </w:tc>
      </w:tr>
      <w:tr w:rsidR="00D20A9E" w:rsidRPr="00B97758" w14:paraId="0985BA8D" w14:textId="77777777" w:rsidTr="000B0E01">
        <w:trPr>
          <w:trHeight w:val="288"/>
        </w:trPr>
        <w:tc>
          <w:tcPr>
            <w:tcW w:w="1394" w:type="pct"/>
            <w:tcBorders>
              <w:top w:val="nil"/>
              <w:left w:val="single" w:sz="8" w:space="0" w:color="auto"/>
              <w:bottom w:val="nil"/>
              <w:right w:val="single" w:sz="8" w:space="0" w:color="auto"/>
            </w:tcBorders>
            <w:shd w:val="clear" w:color="000000" w:fill="FFFFFF"/>
            <w:noWrap/>
            <w:hideMark/>
          </w:tcPr>
          <w:p w14:paraId="40B33CD5" w14:textId="77777777" w:rsidR="00D20A9E" w:rsidRPr="00B97758" w:rsidRDefault="00D20A9E" w:rsidP="00C166D7">
            <w:pPr>
              <w:spacing w:after="0"/>
              <w:ind w:left="0" w:firstLine="0"/>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 xml:space="preserve">-- </w:t>
            </w:r>
            <w:proofErr w:type="spellStart"/>
            <w:r w:rsidRPr="00B97758">
              <w:rPr>
                <w:rFonts w:ascii="Franklin Gothic Book" w:hAnsi="Franklin Gothic Book" w:cs="Calibri"/>
                <w:b/>
                <w:bCs/>
                <w:color w:val="000000"/>
                <w:sz w:val="12"/>
                <w:szCs w:val="12"/>
                <w:lang w:bidi="ar-SA"/>
              </w:rPr>
              <w:t>BtM</w:t>
            </w:r>
            <w:proofErr w:type="spellEnd"/>
            <w:r w:rsidRPr="00B97758">
              <w:rPr>
                <w:rFonts w:ascii="Franklin Gothic Book" w:hAnsi="Franklin Gothic Book" w:cs="Calibri"/>
                <w:b/>
                <w:bCs/>
                <w:color w:val="000000"/>
                <w:sz w:val="12"/>
                <w:szCs w:val="12"/>
                <w:lang w:bidi="ar-SA"/>
              </w:rPr>
              <w:t xml:space="preserve"> Non-Solar Distributed Generation</w:t>
            </w:r>
          </w:p>
        </w:tc>
        <w:tc>
          <w:tcPr>
            <w:tcW w:w="327" w:type="pct"/>
            <w:tcBorders>
              <w:top w:val="nil"/>
              <w:left w:val="nil"/>
              <w:bottom w:val="nil"/>
              <w:right w:val="nil"/>
            </w:tcBorders>
            <w:shd w:val="clear" w:color="000000" w:fill="FFFFFF"/>
            <w:noWrap/>
            <w:hideMark/>
          </w:tcPr>
          <w:p w14:paraId="373187DA"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1,252</w:t>
            </w:r>
          </w:p>
        </w:tc>
        <w:tc>
          <w:tcPr>
            <w:tcW w:w="327" w:type="pct"/>
            <w:tcBorders>
              <w:top w:val="nil"/>
              <w:left w:val="nil"/>
              <w:bottom w:val="nil"/>
              <w:right w:val="nil"/>
            </w:tcBorders>
            <w:shd w:val="clear" w:color="000000" w:fill="FFFFFF"/>
            <w:noWrap/>
            <w:hideMark/>
          </w:tcPr>
          <w:p w14:paraId="0235932F"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1,416</w:t>
            </w:r>
          </w:p>
        </w:tc>
        <w:tc>
          <w:tcPr>
            <w:tcW w:w="328" w:type="pct"/>
            <w:tcBorders>
              <w:top w:val="nil"/>
              <w:left w:val="nil"/>
              <w:bottom w:val="nil"/>
              <w:right w:val="nil"/>
            </w:tcBorders>
            <w:shd w:val="clear" w:color="000000" w:fill="FFFFFF"/>
            <w:noWrap/>
            <w:hideMark/>
          </w:tcPr>
          <w:p w14:paraId="5C5C3582"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1,059</w:t>
            </w:r>
          </w:p>
        </w:tc>
        <w:tc>
          <w:tcPr>
            <w:tcW w:w="328" w:type="pct"/>
            <w:tcBorders>
              <w:top w:val="nil"/>
              <w:left w:val="nil"/>
              <w:bottom w:val="nil"/>
              <w:right w:val="nil"/>
            </w:tcBorders>
            <w:shd w:val="clear" w:color="000000" w:fill="FFFFFF"/>
            <w:noWrap/>
            <w:hideMark/>
          </w:tcPr>
          <w:p w14:paraId="587DA859"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940</w:t>
            </w:r>
          </w:p>
        </w:tc>
        <w:tc>
          <w:tcPr>
            <w:tcW w:w="328" w:type="pct"/>
            <w:tcBorders>
              <w:top w:val="nil"/>
              <w:left w:val="nil"/>
              <w:bottom w:val="nil"/>
              <w:right w:val="nil"/>
            </w:tcBorders>
            <w:shd w:val="clear" w:color="000000" w:fill="FFFFFF"/>
            <w:noWrap/>
            <w:hideMark/>
          </w:tcPr>
          <w:p w14:paraId="67B0534B"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818</w:t>
            </w:r>
          </w:p>
        </w:tc>
        <w:tc>
          <w:tcPr>
            <w:tcW w:w="328" w:type="pct"/>
            <w:tcBorders>
              <w:top w:val="nil"/>
              <w:left w:val="nil"/>
              <w:bottom w:val="nil"/>
              <w:right w:val="nil"/>
            </w:tcBorders>
            <w:shd w:val="clear" w:color="000000" w:fill="FFFFFF"/>
            <w:noWrap/>
            <w:hideMark/>
          </w:tcPr>
          <w:p w14:paraId="727852D6"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852</w:t>
            </w:r>
          </w:p>
        </w:tc>
        <w:tc>
          <w:tcPr>
            <w:tcW w:w="328" w:type="pct"/>
            <w:tcBorders>
              <w:top w:val="nil"/>
              <w:left w:val="nil"/>
              <w:bottom w:val="nil"/>
              <w:right w:val="nil"/>
            </w:tcBorders>
            <w:shd w:val="clear" w:color="000000" w:fill="FFFFFF"/>
            <w:noWrap/>
            <w:hideMark/>
          </w:tcPr>
          <w:p w14:paraId="0D0EDFD8"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877</w:t>
            </w:r>
          </w:p>
        </w:tc>
        <w:tc>
          <w:tcPr>
            <w:tcW w:w="328" w:type="pct"/>
            <w:tcBorders>
              <w:top w:val="nil"/>
              <w:left w:val="nil"/>
              <w:bottom w:val="nil"/>
              <w:right w:val="nil"/>
            </w:tcBorders>
            <w:shd w:val="clear" w:color="000000" w:fill="FFFFFF"/>
            <w:noWrap/>
            <w:hideMark/>
          </w:tcPr>
          <w:p w14:paraId="0EAE1DF0"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900</w:t>
            </w:r>
          </w:p>
        </w:tc>
        <w:tc>
          <w:tcPr>
            <w:tcW w:w="328" w:type="pct"/>
            <w:tcBorders>
              <w:top w:val="nil"/>
              <w:left w:val="nil"/>
              <w:bottom w:val="nil"/>
              <w:right w:val="nil"/>
            </w:tcBorders>
            <w:shd w:val="clear" w:color="000000" w:fill="FFFFFF"/>
            <w:noWrap/>
            <w:hideMark/>
          </w:tcPr>
          <w:p w14:paraId="48BF4A11"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931</w:t>
            </w:r>
          </w:p>
        </w:tc>
        <w:tc>
          <w:tcPr>
            <w:tcW w:w="328" w:type="pct"/>
            <w:tcBorders>
              <w:top w:val="nil"/>
              <w:left w:val="nil"/>
              <w:bottom w:val="nil"/>
              <w:right w:val="nil"/>
            </w:tcBorders>
            <w:shd w:val="clear" w:color="000000" w:fill="FFFFFF"/>
            <w:noWrap/>
            <w:hideMark/>
          </w:tcPr>
          <w:p w14:paraId="6D894BC2"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956</w:t>
            </w:r>
          </w:p>
        </w:tc>
        <w:tc>
          <w:tcPr>
            <w:tcW w:w="328" w:type="pct"/>
            <w:tcBorders>
              <w:top w:val="nil"/>
              <w:left w:val="nil"/>
              <w:bottom w:val="nil"/>
              <w:right w:val="single" w:sz="8" w:space="0" w:color="auto"/>
            </w:tcBorders>
            <w:shd w:val="clear" w:color="000000" w:fill="FFFFFF"/>
            <w:noWrap/>
            <w:hideMark/>
          </w:tcPr>
          <w:p w14:paraId="472C4CA9"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973</w:t>
            </w:r>
          </w:p>
        </w:tc>
      </w:tr>
      <w:tr w:rsidR="00D20A9E" w:rsidRPr="00B97758" w14:paraId="1F178BD8" w14:textId="77777777" w:rsidTr="000B0E01">
        <w:trPr>
          <w:trHeight w:val="288"/>
        </w:trPr>
        <w:tc>
          <w:tcPr>
            <w:tcW w:w="1394" w:type="pct"/>
            <w:tcBorders>
              <w:top w:val="nil"/>
              <w:left w:val="single" w:sz="8" w:space="0" w:color="auto"/>
              <w:bottom w:val="nil"/>
              <w:right w:val="single" w:sz="8" w:space="0" w:color="auto"/>
            </w:tcBorders>
            <w:shd w:val="clear" w:color="000000" w:fill="FFFFFF"/>
            <w:noWrap/>
            <w:hideMark/>
          </w:tcPr>
          <w:p w14:paraId="6A526DD0" w14:textId="77777777" w:rsidR="00D20A9E" w:rsidRPr="00B97758" w:rsidRDefault="00D20A9E" w:rsidP="00C166D7">
            <w:pPr>
              <w:spacing w:after="0"/>
              <w:ind w:left="0" w:firstLine="0"/>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 Storage Net Energy Consumption</w:t>
            </w:r>
          </w:p>
        </w:tc>
        <w:tc>
          <w:tcPr>
            <w:tcW w:w="327" w:type="pct"/>
            <w:tcBorders>
              <w:top w:val="nil"/>
              <w:left w:val="nil"/>
              <w:bottom w:val="nil"/>
              <w:right w:val="nil"/>
            </w:tcBorders>
            <w:shd w:val="clear" w:color="000000" w:fill="FFFFFF"/>
            <w:noWrap/>
            <w:hideMark/>
          </w:tcPr>
          <w:p w14:paraId="774BC669"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19</w:t>
            </w:r>
          </w:p>
        </w:tc>
        <w:tc>
          <w:tcPr>
            <w:tcW w:w="327" w:type="pct"/>
            <w:tcBorders>
              <w:top w:val="nil"/>
              <w:left w:val="nil"/>
              <w:bottom w:val="nil"/>
              <w:right w:val="nil"/>
            </w:tcBorders>
            <w:shd w:val="clear" w:color="000000" w:fill="FFFFFF"/>
            <w:noWrap/>
            <w:hideMark/>
          </w:tcPr>
          <w:p w14:paraId="3107A208"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43</w:t>
            </w:r>
          </w:p>
        </w:tc>
        <w:tc>
          <w:tcPr>
            <w:tcW w:w="328" w:type="pct"/>
            <w:tcBorders>
              <w:top w:val="nil"/>
              <w:left w:val="nil"/>
              <w:bottom w:val="nil"/>
              <w:right w:val="nil"/>
            </w:tcBorders>
            <w:shd w:val="clear" w:color="000000" w:fill="FFFFFF"/>
            <w:noWrap/>
            <w:hideMark/>
          </w:tcPr>
          <w:p w14:paraId="0CDFD85D"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67</w:t>
            </w:r>
          </w:p>
        </w:tc>
        <w:tc>
          <w:tcPr>
            <w:tcW w:w="328" w:type="pct"/>
            <w:tcBorders>
              <w:top w:val="nil"/>
              <w:left w:val="nil"/>
              <w:bottom w:val="nil"/>
              <w:right w:val="nil"/>
            </w:tcBorders>
            <w:shd w:val="clear" w:color="000000" w:fill="FFFFFF"/>
            <w:noWrap/>
            <w:hideMark/>
          </w:tcPr>
          <w:p w14:paraId="027C17E5"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99</w:t>
            </w:r>
          </w:p>
        </w:tc>
        <w:tc>
          <w:tcPr>
            <w:tcW w:w="328" w:type="pct"/>
            <w:tcBorders>
              <w:top w:val="nil"/>
              <w:left w:val="nil"/>
              <w:bottom w:val="nil"/>
              <w:right w:val="nil"/>
            </w:tcBorders>
            <w:shd w:val="clear" w:color="000000" w:fill="FFFFFF"/>
            <w:noWrap/>
            <w:hideMark/>
          </w:tcPr>
          <w:p w14:paraId="6DAD50D4"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130</w:t>
            </w:r>
          </w:p>
        </w:tc>
        <w:tc>
          <w:tcPr>
            <w:tcW w:w="328" w:type="pct"/>
            <w:tcBorders>
              <w:top w:val="nil"/>
              <w:left w:val="nil"/>
              <w:bottom w:val="nil"/>
              <w:right w:val="nil"/>
            </w:tcBorders>
            <w:shd w:val="clear" w:color="000000" w:fill="FFFFFF"/>
            <w:noWrap/>
            <w:hideMark/>
          </w:tcPr>
          <w:p w14:paraId="2D02CE67"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160</w:t>
            </w:r>
          </w:p>
        </w:tc>
        <w:tc>
          <w:tcPr>
            <w:tcW w:w="328" w:type="pct"/>
            <w:tcBorders>
              <w:top w:val="nil"/>
              <w:left w:val="nil"/>
              <w:bottom w:val="nil"/>
              <w:right w:val="nil"/>
            </w:tcBorders>
            <w:shd w:val="clear" w:color="000000" w:fill="FFFFFF"/>
            <w:noWrap/>
            <w:hideMark/>
          </w:tcPr>
          <w:p w14:paraId="5FB519DC"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189</w:t>
            </w:r>
          </w:p>
        </w:tc>
        <w:tc>
          <w:tcPr>
            <w:tcW w:w="328" w:type="pct"/>
            <w:tcBorders>
              <w:top w:val="nil"/>
              <w:left w:val="nil"/>
              <w:bottom w:val="nil"/>
              <w:right w:val="nil"/>
            </w:tcBorders>
            <w:shd w:val="clear" w:color="000000" w:fill="FFFFFF"/>
            <w:noWrap/>
            <w:hideMark/>
          </w:tcPr>
          <w:p w14:paraId="41AE01F6"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221</w:t>
            </w:r>
          </w:p>
        </w:tc>
        <w:tc>
          <w:tcPr>
            <w:tcW w:w="328" w:type="pct"/>
            <w:tcBorders>
              <w:top w:val="nil"/>
              <w:left w:val="nil"/>
              <w:bottom w:val="nil"/>
              <w:right w:val="nil"/>
            </w:tcBorders>
            <w:shd w:val="clear" w:color="000000" w:fill="FFFFFF"/>
            <w:noWrap/>
            <w:hideMark/>
          </w:tcPr>
          <w:p w14:paraId="4B8E0991"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254</w:t>
            </w:r>
          </w:p>
        </w:tc>
        <w:tc>
          <w:tcPr>
            <w:tcW w:w="328" w:type="pct"/>
            <w:tcBorders>
              <w:top w:val="nil"/>
              <w:left w:val="nil"/>
              <w:bottom w:val="nil"/>
              <w:right w:val="nil"/>
            </w:tcBorders>
            <w:shd w:val="clear" w:color="000000" w:fill="FFFFFF"/>
            <w:noWrap/>
            <w:hideMark/>
          </w:tcPr>
          <w:p w14:paraId="2311D94B"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281</w:t>
            </w:r>
          </w:p>
        </w:tc>
        <w:tc>
          <w:tcPr>
            <w:tcW w:w="328" w:type="pct"/>
            <w:tcBorders>
              <w:top w:val="nil"/>
              <w:left w:val="nil"/>
              <w:bottom w:val="nil"/>
              <w:right w:val="single" w:sz="8" w:space="0" w:color="auto"/>
            </w:tcBorders>
            <w:shd w:val="clear" w:color="000000" w:fill="FFFFFF"/>
            <w:noWrap/>
            <w:hideMark/>
          </w:tcPr>
          <w:p w14:paraId="7EC9CF02"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309</w:t>
            </w:r>
          </w:p>
        </w:tc>
      </w:tr>
      <w:tr w:rsidR="00D20A9E" w:rsidRPr="00B97758" w14:paraId="5B75C9A6" w14:textId="77777777" w:rsidTr="000B0E01">
        <w:trPr>
          <w:trHeight w:val="288"/>
        </w:trPr>
        <w:tc>
          <w:tcPr>
            <w:tcW w:w="1394" w:type="pct"/>
            <w:tcBorders>
              <w:top w:val="nil"/>
              <w:left w:val="single" w:sz="8" w:space="0" w:color="auto"/>
              <w:bottom w:val="nil"/>
              <w:right w:val="single" w:sz="8" w:space="0" w:color="auto"/>
            </w:tcBorders>
            <w:shd w:val="clear" w:color="000000" w:fill="FFFFFF"/>
            <w:noWrap/>
            <w:hideMark/>
          </w:tcPr>
          <w:p w14:paraId="655CAAB8" w14:textId="77777777" w:rsidR="00D20A9E" w:rsidRPr="00B97758" w:rsidRDefault="00D20A9E" w:rsidP="00C166D7">
            <w:pPr>
              <w:spacing w:after="0"/>
              <w:ind w:left="0" w:firstLine="0"/>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 Electric Vehicle Energy</w:t>
            </w:r>
          </w:p>
        </w:tc>
        <w:tc>
          <w:tcPr>
            <w:tcW w:w="327" w:type="pct"/>
            <w:tcBorders>
              <w:top w:val="nil"/>
              <w:left w:val="nil"/>
              <w:bottom w:val="nil"/>
              <w:right w:val="nil"/>
            </w:tcBorders>
            <w:shd w:val="clear" w:color="000000" w:fill="FFFFFF"/>
            <w:noWrap/>
            <w:hideMark/>
          </w:tcPr>
          <w:p w14:paraId="2F0E3919"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199</w:t>
            </w:r>
          </w:p>
        </w:tc>
        <w:tc>
          <w:tcPr>
            <w:tcW w:w="327" w:type="pct"/>
            <w:tcBorders>
              <w:top w:val="nil"/>
              <w:left w:val="nil"/>
              <w:bottom w:val="nil"/>
              <w:right w:val="nil"/>
            </w:tcBorders>
            <w:shd w:val="clear" w:color="000000" w:fill="FFFFFF"/>
            <w:noWrap/>
            <w:hideMark/>
          </w:tcPr>
          <w:p w14:paraId="4FB14F45"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345</w:t>
            </w:r>
          </w:p>
        </w:tc>
        <w:tc>
          <w:tcPr>
            <w:tcW w:w="328" w:type="pct"/>
            <w:tcBorders>
              <w:top w:val="nil"/>
              <w:left w:val="nil"/>
              <w:bottom w:val="nil"/>
              <w:right w:val="nil"/>
            </w:tcBorders>
            <w:shd w:val="clear" w:color="000000" w:fill="FFFFFF"/>
            <w:noWrap/>
            <w:hideMark/>
          </w:tcPr>
          <w:p w14:paraId="603AE614"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538</w:t>
            </w:r>
          </w:p>
        </w:tc>
        <w:tc>
          <w:tcPr>
            <w:tcW w:w="328" w:type="pct"/>
            <w:tcBorders>
              <w:top w:val="nil"/>
              <w:left w:val="nil"/>
              <w:bottom w:val="nil"/>
              <w:right w:val="nil"/>
            </w:tcBorders>
            <w:shd w:val="clear" w:color="000000" w:fill="FFFFFF"/>
            <w:noWrap/>
            <w:hideMark/>
          </w:tcPr>
          <w:p w14:paraId="4E996934"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781</w:t>
            </w:r>
          </w:p>
        </w:tc>
        <w:tc>
          <w:tcPr>
            <w:tcW w:w="328" w:type="pct"/>
            <w:tcBorders>
              <w:top w:val="nil"/>
              <w:left w:val="nil"/>
              <w:bottom w:val="nil"/>
              <w:right w:val="nil"/>
            </w:tcBorders>
            <w:shd w:val="clear" w:color="000000" w:fill="FFFFFF"/>
            <w:noWrap/>
            <w:hideMark/>
          </w:tcPr>
          <w:p w14:paraId="6E65C4DB"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1,085</w:t>
            </w:r>
          </w:p>
        </w:tc>
        <w:tc>
          <w:tcPr>
            <w:tcW w:w="328" w:type="pct"/>
            <w:tcBorders>
              <w:top w:val="nil"/>
              <w:left w:val="nil"/>
              <w:bottom w:val="nil"/>
              <w:right w:val="nil"/>
            </w:tcBorders>
            <w:shd w:val="clear" w:color="000000" w:fill="FFFFFF"/>
            <w:noWrap/>
            <w:hideMark/>
          </w:tcPr>
          <w:p w14:paraId="513E0503"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1,456</w:t>
            </w:r>
          </w:p>
        </w:tc>
        <w:tc>
          <w:tcPr>
            <w:tcW w:w="328" w:type="pct"/>
            <w:tcBorders>
              <w:top w:val="nil"/>
              <w:left w:val="nil"/>
              <w:bottom w:val="nil"/>
              <w:right w:val="nil"/>
            </w:tcBorders>
            <w:shd w:val="clear" w:color="000000" w:fill="FFFFFF"/>
            <w:noWrap/>
            <w:hideMark/>
          </w:tcPr>
          <w:p w14:paraId="53531CE1"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1,889</w:t>
            </w:r>
          </w:p>
        </w:tc>
        <w:tc>
          <w:tcPr>
            <w:tcW w:w="328" w:type="pct"/>
            <w:tcBorders>
              <w:top w:val="nil"/>
              <w:left w:val="nil"/>
              <w:bottom w:val="nil"/>
              <w:right w:val="nil"/>
            </w:tcBorders>
            <w:shd w:val="clear" w:color="000000" w:fill="FFFFFF"/>
            <w:noWrap/>
            <w:hideMark/>
          </w:tcPr>
          <w:p w14:paraId="3687C6F2"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2,407</w:t>
            </w:r>
          </w:p>
        </w:tc>
        <w:tc>
          <w:tcPr>
            <w:tcW w:w="328" w:type="pct"/>
            <w:tcBorders>
              <w:top w:val="nil"/>
              <w:left w:val="nil"/>
              <w:bottom w:val="nil"/>
              <w:right w:val="nil"/>
            </w:tcBorders>
            <w:shd w:val="clear" w:color="000000" w:fill="FFFFFF"/>
            <w:noWrap/>
            <w:hideMark/>
          </w:tcPr>
          <w:p w14:paraId="11E7F846"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3,031</w:t>
            </w:r>
          </w:p>
        </w:tc>
        <w:tc>
          <w:tcPr>
            <w:tcW w:w="328" w:type="pct"/>
            <w:tcBorders>
              <w:top w:val="nil"/>
              <w:left w:val="nil"/>
              <w:bottom w:val="nil"/>
              <w:right w:val="nil"/>
            </w:tcBorders>
            <w:shd w:val="clear" w:color="000000" w:fill="FFFFFF"/>
            <w:noWrap/>
            <w:hideMark/>
          </w:tcPr>
          <w:p w14:paraId="0B2C5E6A"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3,765</w:t>
            </w:r>
          </w:p>
        </w:tc>
        <w:tc>
          <w:tcPr>
            <w:tcW w:w="328" w:type="pct"/>
            <w:tcBorders>
              <w:top w:val="nil"/>
              <w:left w:val="nil"/>
              <w:bottom w:val="nil"/>
              <w:right w:val="single" w:sz="8" w:space="0" w:color="auto"/>
            </w:tcBorders>
            <w:shd w:val="clear" w:color="000000" w:fill="FFFFFF"/>
            <w:noWrap/>
            <w:hideMark/>
          </w:tcPr>
          <w:p w14:paraId="402EB8D6"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4,506</w:t>
            </w:r>
          </w:p>
        </w:tc>
      </w:tr>
      <w:tr w:rsidR="00D20A9E" w:rsidRPr="00B97758" w14:paraId="351C4FA0" w14:textId="77777777" w:rsidTr="000B0E01">
        <w:trPr>
          <w:trHeight w:val="300"/>
        </w:trPr>
        <w:tc>
          <w:tcPr>
            <w:tcW w:w="1394" w:type="pct"/>
            <w:tcBorders>
              <w:top w:val="nil"/>
              <w:left w:val="single" w:sz="8" w:space="0" w:color="auto"/>
              <w:bottom w:val="single" w:sz="8" w:space="0" w:color="auto"/>
              <w:right w:val="single" w:sz="8" w:space="0" w:color="auto"/>
            </w:tcBorders>
            <w:shd w:val="clear" w:color="000000" w:fill="FFFFFF"/>
            <w:noWrap/>
            <w:hideMark/>
          </w:tcPr>
          <w:p w14:paraId="50C5D253" w14:textId="77777777" w:rsidR="00D20A9E" w:rsidRPr="00B97758" w:rsidRDefault="00D20A9E" w:rsidP="00C166D7">
            <w:pPr>
              <w:spacing w:after="0"/>
              <w:ind w:left="0" w:firstLine="0"/>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 Non-EV Electrification</w:t>
            </w:r>
          </w:p>
        </w:tc>
        <w:tc>
          <w:tcPr>
            <w:tcW w:w="327" w:type="pct"/>
            <w:tcBorders>
              <w:top w:val="nil"/>
              <w:left w:val="nil"/>
              <w:bottom w:val="single" w:sz="8" w:space="0" w:color="auto"/>
              <w:right w:val="nil"/>
            </w:tcBorders>
            <w:shd w:val="clear" w:color="000000" w:fill="FFFFFF"/>
            <w:noWrap/>
            <w:hideMark/>
          </w:tcPr>
          <w:p w14:paraId="50229F01"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190</w:t>
            </w:r>
          </w:p>
        </w:tc>
        <w:tc>
          <w:tcPr>
            <w:tcW w:w="327" w:type="pct"/>
            <w:tcBorders>
              <w:top w:val="nil"/>
              <w:left w:val="nil"/>
              <w:bottom w:val="single" w:sz="8" w:space="0" w:color="auto"/>
              <w:right w:val="nil"/>
            </w:tcBorders>
            <w:shd w:val="clear" w:color="000000" w:fill="FFFFFF"/>
            <w:noWrap/>
            <w:hideMark/>
          </w:tcPr>
          <w:p w14:paraId="5B3AD5EF"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457</w:t>
            </w:r>
          </w:p>
        </w:tc>
        <w:tc>
          <w:tcPr>
            <w:tcW w:w="328" w:type="pct"/>
            <w:tcBorders>
              <w:top w:val="nil"/>
              <w:left w:val="nil"/>
              <w:bottom w:val="single" w:sz="8" w:space="0" w:color="auto"/>
              <w:right w:val="nil"/>
            </w:tcBorders>
            <w:shd w:val="clear" w:color="000000" w:fill="FFFFFF"/>
            <w:noWrap/>
            <w:hideMark/>
          </w:tcPr>
          <w:p w14:paraId="7B2E133A"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815</w:t>
            </w:r>
          </w:p>
        </w:tc>
        <w:tc>
          <w:tcPr>
            <w:tcW w:w="328" w:type="pct"/>
            <w:tcBorders>
              <w:top w:val="nil"/>
              <w:left w:val="nil"/>
              <w:bottom w:val="single" w:sz="8" w:space="0" w:color="auto"/>
              <w:right w:val="nil"/>
            </w:tcBorders>
            <w:shd w:val="clear" w:color="000000" w:fill="FFFFFF"/>
            <w:noWrap/>
            <w:hideMark/>
          </w:tcPr>
          <w:p w14:paraId="31A49D5E"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1,289</w:t>
            </w:r>
          </w:p>
        </w:tc>
        <w:tc>
          <w:tcPr>
            <w:tcW w:w="328" w:type="pct"/>
            <w:tcBorders>
              <w:top w:val="nil"/>
              <w:left w:val="nil"/>
              <w:bottom w:val="single" w:sz="8" w:space="0" w:color="auto"/>
              <w:right w:val="nil"/>
            </w:tcBorders>
            <w:shd w:val="clear" w:color="000000" w:fill="FFFFFF"/>
            <w:noWrap/>
            <w:hideMark/>
          </w:tcPr>
          <w:p w14:paraId="1335FE63"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1,884</w:t>
            </w:r>
          </w:p>
        </w:tc>
        <w:tc>
          <w:tcPr>
            <w:tcW w:w="328" w:type="pct"/>
            <w:tcBorders>
              <w:top w:val="nil"/>
              <w:left w:val="nil"/>
              <w:bottom w:val="single" w:sz="8" w:space="0" w:color="auto"/>
              <w:right w:val="nil"/>
            </w:tcBorders>
            <w:shd w:val="clear" w:color="000000" w:fill="FFFFFF"/>
            <w:noWrap/>
            <w:hideMark/>
          </w:tcPr>
          <w:p w14:paraId="196CCA46"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2,591</w:t>
            </w:r>
          </w:p>
        </w:tc>
        <w:tc>
          <w:tcPr>
            <w:tcW w:w="328" w:type="pct"/>
            <w:tcBorders>
              <w:top w:val="nil"/>
              <w:left w:val="nil"/>
              <w:bottom w:val="single" w:sz="8" w:space="0" w:color="auto"/>
              <w:right w:val="nil"/>
            </w:tcBorders>
            <w:shd w:val="clear" w:color="000000" w:fill="FFFFFF"/>
            <w:noWrap/>
            <w:hideMark/>
          </w:tcPr>
          <w:p w14:paraId="7D989CA5"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3,337</w:t>
            </w:r>
          </w:p>
        </w:tc>
        <w:tc>
          <w:tcPr>
            <w:tcW w:w="328" w:type="pct"/>
            <w:tcBorders>
              <w:top w:val="nil"/>
              <w:left w:val="nil"/>
              <w:bottom w:val="single" w:sz="8" w:space="0" w:color="auto"/>
              <w:right w:val="nil"/>
            </w:tcBorders>
            <w:shd w:val="clear" w:color="000000" w:fill="FFFFFF"/>
            <w:noWrap/>
            <w:hideMark/>
          </w:tcPr>
          <w:p w14:paraId="62BE4F24"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4,163</w:t>
            </w:r>
          </w:p>
        </w:tc>
        <w:tc>
          <w:tcPr>
            <w:tcW w:w="328" w:type="pct"/>
            <w:tcBorders>
              <w:top w:val="nil"/>
              <w:left w:val="nil"/>
              <w:bottom w:val="single" w:sz="8" w:space="0" w:color="auto"/>
              <w:right w:val="nil"/>
            </w:tcBorders>
            <w:shd w:val="clear" w:color="000000" w:fill="FFFFFF"/>
            <w:noWrap/>
            <w:hideMark/>
          </w:tcPr>
          <w:p w14:paraId="39EEF2D1"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5,055</w:t>
            </w:r>
          </w:p>
        </w:tc>
        <w:tc>
          <w:tcPr>
            <w:tcW w:w="328" w:type="pct"/>
            <w:tcBorders>
              <w:top w:val="nil"/>
              <w:left w:val="nil"/>
              <w:bottom w:val="single" w:sz="8" w:space="0" w:color="auto"/>
              <w:right w:val="nil"/>
            </w:tcBorders>
            <w:shd w:val="clear" w:color="000000" w:fill="FFFFFF"/>
            <w:noWrap/>
            <w:hideMark/>
          </w:tcPr>
          <w:p w14:paraId="1EE6147E"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5,997</w:t>
            </w:r>
          </w:p>
        </w:tc>
        <w:tc>
          <w:tcPr>
            <w:tcW w:w="328" w:type="pct"/>
            <w:tcBorders>
              <w:top w:val="nil"/>
              <w:left w:val="nil"/>
              <w:bottom w:val="single" w:sz="8" w:space="0" w:color="auto"/>
              <w:right w:val="single" w:sz="8" w:space="0" w:color="auto"/>
            </w:tcBorders>
            <w:shd w:val="clear" w:color="000000" w:fill="FFFFFF"/>
            <w:noWrap/>
            <w:hideMark/>
          </w:tcPr>
          <w:p w14:paraId="7BACF412"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6,988</w:t>
            </w:r>
          </w:p>
        </w:tc>
      </w:tr>
      <w:tr w:rsidR="00D20A9E" w:rsidRPr="00B97758" w14:paraId="256C1851" w14:textId="77777777" w:rsidTr="000B0E01">
        <w:trPr>
          <w:trHeight w:val="324"/>
        </w:trPr>
        <w:tc>
          <w:tcPr>
            <w:tcW w:w="1394" w:type="pct"/>
            <w:tcBorders>
              <w:top w:val="nil"/>
              <w:left w:val="single" w:sz="8" w:space="0" w:color="auto"/>
              <w:bottom w:val="nil"/>
              <w:right w:val="single" w:sz="8" w:space="0" w:color="auto"/>
            </w:tcBorders>
            <w:shd w:val="clear" w:color="000000" w:fill="FFFFFF"/>
            <w:hideMark/>
          </w:tcPr>
          <w:p w14:paraId="1A2774FC" w14:textId="77777777" w:rsidR="00D20A9E" w:rsidRPr="00B97758" w:rsidRDefault="00D20A9E" w:rsidP="00C166D7">
            <w:pPr>
              <w:spacing w:after="0"/>
              <w:ind w:left="0" w:firstLine="0"/>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November 2020 Baseline Forecast Update</w:t>
            </w:r>
          </w:p>
        </w:tc>
        <w:tc>
          <w:tcPr>
            <w:tcW w:w="327" w:type="pct"/>
            <w:tcBorders>
              <w:top w:val="nil"/>
              <w:left w:val="single" w:sz="8" w:space="0" w:color="auto"/>
              <w:bottom w:val="nil"/>
              <w:right w:val="nil"/>
            </w:tcBorders>
            <w:shd w:val="clear" w:color="000000" w:fill="FFFFFF"/>
            <w:noWrap/>
            <w:hideMark/>
          </w:tcPr>
          <w:p w14:paraId="76BFA270"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149,500</w:t>
            </w:r>
          </w:p>
        </w:tc>
        <w:tc>
          <w:tcPr>
            <w:tcW w:w="327" w:type="pct"/>
            <w:tcBorders>
              <w:top w:val="nil"/>
              <w:left w:val="nil"/>
              <w:bottom w:val="nil"/>
              <w:right w:val="nil"/>
            </w:tcBorders>
            <w:shd w:val="clear" w:color="000000" w:fill="FFFFFF"/>
            <w:noWrap/>
            <w:hideMark/>
          </w:tcPr>
          <w:p w14:paraId="30C79A0D"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149,860</w:t>
            </w:r>
          </w:p>
        </w:tc>
        <w:tc>
          <w:tcPr>
            <w:tcW w:w="328" w:type="pct"/>
            <w:tcBorders>
              <w:top w:val="nil"/>
              <w:left w:val="nil"/>
              <w:bottom w:val="nil"/>
              <w:right w:val="nil"/>
            </w:tcBorders>
            <w:shd w:val="clear" w:color="000000" w:fill="FFFFFF"/>
            <w:noWrap/>
            <w:hideMark/>
          </w:tcPr>
          <w:p w14:paraId="746DA5D5"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149,590</w:t>
            </w:r>
          </w:p>
        </w:tc>
        <w:tc>
          <w:tcPr>
            <w:tcW w:w="328" w:type="pct"/>
            <w:tcBorders>
              <w:top w:val="nil"/>
              <w:left w:val="nil"/>
              <w:bottom w:val="nil"/>
              <w:right w:val="nil"/>
            </w:tcBorders>
            <w:shd w:val="clear" w:color="000000" w:fill="FFFFFF"/>
            <w:noWrap/>
            <w:hideMark/>
          </w:tcPr>
          <w:p w14:paraId="2D7FD6AA"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148,900</w:t>
            </w:r>
          </w:p>
        </w:tc>
        <w:tc>
          <w:tcPr>
            <w:tcW w:w="328" w:type="pct"/>
            <w:tcBorders>
              <w:top w:val="nil"/>
              <w:left w:val="nil"/>
              <w:bottom w:val="nil"/>
              <w:right w:val="nil"/>
            </w:tcBorders>
            <w:shd w:val="clear" w:color="000000" w:fill="FFFFFF"/>
            <w:noWrap/>
            <w:hideMark/>
          </w:tcPr>
          <w:p w14:paraId="1C5AFC05"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148,160</w:t>
            </w:r>
          </w:p>
        </w:tc>
        <w:tc>
          <w:tcPr>
            <w:tcW w:w="328" w:type="pct"/>
            <w:tcBorders>
              <w:top w:val="nil"/>
              <w:left w:val="nil"/>
              <w:bottom w:val="nil"/>
              <w:right w:val="nil"/>
            </w:tcBorders>
            <w:shd w:val="clear" w:color="000000" w:fill="FFFFFF"/>
            <w:noWrap/>
            <w:hideMark/>
          </w:tcPr>
          <w:p w14:paraId="6983117F"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147,580</w:t>
            </w:r>
          </w:p>
        </w:tc>
        <w:tc>
          <w:tcPr>
            <w:tcW w:w="328" w:type="pct"/>
            <w:tcBorders>
              <w:top w:val="nil"/>
              <w:left w:val="nil"/>
              <w:bottom w:val="nil"/>
              <w:right w:val="nil"/>
            </w:tcBorders>
            <w:shd w:val="clear" w:color="000000" w:fill="FFFFFF"/>
            <w:noWrap/>
            <w:hideMark/>
          </w:tcPr>
          <w:p w14:paraId="6443327D"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147,100</w:t>
            </w:r>
          </w:p>
        </w:tc>
        <w:tc>
          <w:tcPr>
            <w:tcW w:w="328" w:type="pct"/>
            <w:tcBorders>
              <w:top w:val="nil"/>
              <w:left w:val="nil"/>
              <w:bottom w:val="nil"/>
              <w:right w:val="nil"/>
            </w:tcBorders>
            <w:shd w:val="clear" w:color="000000" w:fill="FFFFFF"/>
            <w:noWrap/>
            <w:hideMark/>
          </w:tcPr>
          <w:p w14:paraId="00F4E132"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146,960</w:t>
            </w:r>
          </w:p>
        </w:tc>
        <w:tc>
          <w:tcPr>
            <w:tcW w:w="328" w:type="pct"/>
            <w:tcBorders>
              <w:top w:val="nil"/>
              <w:left w:val="nil"/>
              <w:bottom w:val="nil"/>
              <w:right w:val="nil"/>
            </w:tcBorders>
            <w:shd w:val="clear" w:color="000000" w:fill="FFFFFF"/>
            <w:noWrap/>
            <w:hideMark/>
          </w:tcPr>
          <w:p w14:paraId="4D6FF156"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147,130</w:t>
            </w:r>
          </w:p>
        </w:tc>
        <w:tc>
          <w:tcPr>
            <w:tcW w:w="328" w:type="pct"/>
            <w:tcBorders>
              <w:top w:val="nil"/>
              <w:left w:val="nil"/>
              <w:bottom w:val="nil"/>
              <w:right w:val="nil"/>
            </w:tcBorders>
            <w:shd w:val="clear" w:color="000000" w:fill="FFFFFF"/>
            <w:noWrap/>
            <w:hideMark/>
          </w:tcPr>
          <w:p w14:paraId="5A8A5698"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147,510</w:t>
            </w:r>
          </w:p>
        </w:tc>
        <w:tc>
          <w:tcPr>
            <w:tcW w:w="328" w:type="pct"/>
            <w:tcBorders>
              <w:top w:val="nil"/>
              <w:left w:val="nil"/>
              <w:bottom w:val="nil"/>
              <w:right w:val="single" w:sz="8" w:space="0" w:color="auto"/>
            </w:tcBorders>
            <w:shd w:val="clear" w:color="000000" w:fill="FFFFFF"/>
            <w:noWrap/>
            <w:hideMark/>
          </w:tcPr>
          <w:p w14:paraId="0828EF2C"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148,000</w:t>
            </w:r>
          </w:p>
        </w:tc>
      </w:tr>
      <w:tr w:rsidR="00D20A9E" w:rsidRPr="00B97758" w14:paraId="354D66C3" w14:textId="77777777" w:rsidTr="000B0E01">
        <w:trPr>
          <w:trHeight w:val="300"/>
        </w:trPr>
        <w:tc>
          <w:tcPr>
            <w:tcW w:w="1394" w:type="pct"/>
            <w:tcBorders>
              <w:top w:val="nil"/>
              <w:left w:val="single" w:sz="8" w:space="0" w:color="auto"/>
              <w:bottom w:val="single" w:sz="8" w:space="0" w:color="auto"/>
              <w:right w:val="single" w:sz="8" w:space="0" w:color="auto"/>
            </w:tcBorders>
            <w:shd w:val="clear" w:color="000000" w:fill="FFFFFF"/>
            <w:noWrap/>
            <w:hideMark/>
          </w:tcPr>
          <w:p w14:paraId="3EEDB125" w14:textId="77777777" w:rsidR="00D20A9E" w:rsidRPr="00B97758" w:rsidRDefault="00D20A9E" w:rsidP="00C166D7">
            <w:pPr>
              <w:spacing w:after="0"/>
              <w:ind w:left="0" w:firstLine="0"/>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 xml:space="preserve">+ </w:t>
            </w:r>
            <w:proofErr w:type="spellStart"/>
            <w:r w:rsidRPr="00B97758">
              <w:rPr>
                <w:rFonts w:ascii="Franklin Gothic Book" w:hAnsi="Franklin Gothic Book" w:cs="Calibri"/>
                <w:b/>
                <w:bCs/>
                <w:color w:val="000000"/>
                <w:sz w:val="12"/>
                <w:szCs w:val="12"/>
                <w:lang w:bidi="ar-SA"/>
              </w:rPr>
              <w:t>BtM</w:t>
            </w:r>
            <w:proofErr w:type="spellEnd"/>
            <w:r w:rsidRPr="00B97758">
              <w:rPr>
                <w:rFonts w:ascii="Franklin Gothic Book" w:hAnsi="Franklin Gothic Book" w:cs="Calibri"/>
                <w:b/>
                <w:bCs/>
                <w:color w:val="000000"/>
                <w:sz w:val="12"/>
                <w:szCs w:val="12"/>
                <w:lang w:bidi="ar-SA"/>
              </w:rPr>
              <w:t xml:space="preserve"> Solar PV</w:t>
            </w:r>
          </w:p>
        </w:tc>
        <w:tc>
          <w:tcPr>
            <w:tcW w:w="327" w:type="pct"/>
            <w:tcBorders>
              <w:top w:val="nil"/>
              <w:left w:val="nil"/>
              <w:bottom w:val="single" w:sz="8" w:space="0" w:color="auto"/>
              <w:right w:val="nil"/>
            </w:tcBorders>
            <w:shd w:val="clear" w:color="000000" w:fill="FFFFFF"/>
            <w:noWrap/>
            <w:hideMark/>
          </w:tcPr>
          <w:p w14:paraId="3FB1AA7D"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2,631</w:t>
            </w:r>
          </w:p>
        </w:tc>
        <w:tc>
          <w:tcPr>
            <w:tcW w:w="327" w:type="pct"/>
            <w:tcBorders>
              <w:top w:val="nil"/>
              <w:left w:val="nil"/>
              <w:bottom w:val="single" w:sz="8" w:space="0" w:color="auto"/>
              <w:right w:val="nil"/>
            </w:tcBorders>
            <w:shd w:val="clear" w:color="000000" w:fill="FFFFFF"/>
            <w:noWrap/>
            <w:hideMark/>
          </w:tcPr>
          <w:p w14:paraId="1DE65348"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3,274</w:t>
            </w:r>
          </w:p>
        </w:tc>
        <w:tc>
          <w:tcPr>
            <w:tcW w:w="328" w:type="pct"/>
            <w:tcBorders>
              <w:top w:val="nil"/>
              <w:left w:val="nil"/>
              <w:bottom w:val="single" w:sz="8" w:space="0" w:color="auto"/>
              <w:right w:val="nil"/>
            </w:tcBorders>
            <w:shd w:val="clear" w:color="000000" w:fill="FFFFFF"/>
            <w:noWrap/>
            <w:hideMark/>
          </w:tcPr>
          <w:p w14:paraId="2815AAC7"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3,899</w:t>
            </w:r>
          </w:p>
        </w:tc>
        <w:tc>
          <w:tcPr>
            <w:tcW w:w="328" w:type="pct"/>
            <w:tcBorders>
              <w:top w:val="nil"/>
              <w:left w:val="nil"/>
              <w:bottom w:val="single" w:sz="8" w:space="0" w:color="auto"/>
              <w:right w:val="nil"/>
            </w:tcBorders>
            <w:shd w:val="clear" w:color="000000" w:fill="FFFFFF"/>
            <w:noWrap/>
            <w:hideMark/>
          </w:tcPr>
          <w:p w14:paraId="624561EB"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4,563</w:t>
            </w:r>
          </w:p>
        </w:tc>
        <w:tc>
          <w:tcPr>
            <w:tcW w:w="328" w:type="pct"/>
            <w:tcBorders>
              <w:top w:val="nil"/>
              <w:left w:val="nil"/>
              <w:bottom w:val="single" w:sz="8" w:space="0" w:color="auto"/>
              <w:right w:val="nil"/>
            </w:tcBorders>
            <w:shd w:val="clear" w:color="000000" w:fill="FFFFFF"/>
            <w:noWrap/>
            <w:hideMark/>
          </w:tcPr>
          <w:p w14:paraId="1ACA551B"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5,193</w:t>
            </w:r>
          </w:p>
        </w:tc>
        <w:tc>
          <w:tcPr>
            <w:tcW w:w="328" w:type="pct"/>
            <w:tcBorders>
              <w:top w:val="nil"/>
              <w:left w:val="nil"/>
              <w:bottom w:val="single" w:sz="8" w:space="0" w:color="auto"/>
              <w:right w:val="nil"/>
            </w:tcBorders>
            <w:shd w:val="clear" w:color="000000" w:fill="FFFFFF"/>
            <w:noWrap/>
            <w:hideMark/>
          </w:tcPr>
          <w:p w14:paraId="5F2FB364"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5,738</w:t>
            </w:r>
          </w:p>
        </w:tc>
        <w:tc>
          <w:tcPr>
            <w:tcW w:w="328" w:type="pct"/>
            <w:tcBorders>
              <w:top w:val="nil"/>
              <w:left w:val="nil"/>
              <w:bottom w:val="single" w:sz="8" w:space="0" w:color="auto"/>
              <w:right w:val="nil"/>
            </w:tcBorders>
            <w:shd w:val="clear" w:color="000000" w:fill="FFFFFF"/>
            <w:noWrap/>
            <w:hideMark/>
          </w:tcPr>
          <w:p w14:paraId="4401E137"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6,205</w:t>
            </w:r>
          </w:p>
        </w:tc>
        <w:tc>
          <w:tcPr>
            <w:tcW w:w="328" w:type="pct"/>
            <w:tcBorders>
              <w:top w:val="nil"/>
              <w:left w:val="nil"/>
              <w:bottom w:val="single" w:sz="8" w:space="0" w:color="auto"/>
              <w:right w:val="nil"/>
            </w:tcBorders>
            <w:shd w:val="clear" w:color="000000" w:fill="FFFFFF"/>
            <w:noWrap/>
            <w:hideMark/>
          </w:tcPr>
          <w:p w14:paraId="1729C550"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6,591</w:t>
            </w:r>
          </w:p>
        </w:tc>
        <w:tc>
          <w:tcPr>
            <w:tcW w:w="328" w:type="pct"/>
            <w:tcBorders>
              <w:top w:val="nil"/>
              <w:left w:val="nil"/>
              <w:bottom w:val="single" w:sz="8" w:space="0" w:color="auto"/>
              <w:right w:val="nil"/>
            </w:tcBorders>
            <w:shd w:val="clear" w:color="000000" w:fill="FFFFFF"/>
            <w:noWrap/>
            <w:hideMark/>
          </w:tcPr>
          <w:p w14:paraId="388348BB"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6,893</w:t>
            </w:r>
          </w:p>
        </w:tc>
        <w:tc>
          <w:tcPr>
            <w:tcW w:w="328" w:type="pct"/>
            <w:tcBorders>
              <w:top w:val="nil"/>
              <w:left w:val="nil"/>
              <w:bottom w:val="single" w:sz="8" w:space="0" w:color="auto"/>
              <w:right w:val="nil"/>
            </w:tcBorders>
            <w:shd w:val="clear" w:color="000000" w:fill="FFFFFF"/>
            <w:noWrap/>
            <w:hideMark/>
          </w:tcPr>
          <w:p w14:paraId="1F8A1064"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7,130</w:t>
            </w:r>
          </w:p>
        </w:tc>
        <w:tc>
          <w:tcPr>
            <w:tcW w:w="328" w:type="pct"/>
            <w:tcBorders>
              <w:top w:val="nil"/>
              <w:left w:val="nil"/>
              <w:bottom w:val="single" w:sz="8" w:space="0" w:color="auto"/>
              <w:right w:val="single" w:sz="8" w:space="0" w:color="auto"/>
            </w:tcBorders>
            <w:shd w:val="clear" w:color="000000" w:fill="FFFFFF"/>
            <w:noWrap/>
            <w:hideMark/>
          </w:tcPr>
          <w:p w14:paraId="0EA399BB"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7,289</w:t>
            </w:r>
          </w:p>
        </w:tc>
      </w:tr>
      <w:tr w:rsidR="00D20A9E" w:rsidRPr="00B97758" w14:paraId="77EC9575" w14:textId="77777777" w:rsidTr="000B0E01">
        <w:trPr>
          <w:trHeight w:val="336"/>
        </w:trPr>
        <w:tc>
          <w:tcPr>
            <w:tcW w:w="1394" w:type="pct"/>
            <w:tcBorders>
              <w:top w:val="nil"/>
              <w:left w:val="single" w:sz="8" w:space="0" w:color="auto"/>
              <w:bottom w:val="single" w:sz="8" w:space="0" w:color="auto"/>
              <w:right w:val="single" w:sz="8" w:space="0" w:color="auto"/>
            </w:tcBorders>
            <w:shd w:val="clear" w:color="000000" w:fill="FFFFFF"/>
            <w:noWrap/>
            <w:hideMark/>
          </w:tcPr>
          <w:p w14:paraId="756C19C8" w14:textId="77777777" w:rsidR="00D20A9E" w:rsidRPr="00B97758" w:rsidRDefault="00D20A9E" w:rsidP="00C166D7">
            <w:pPr>
              <w:spacing w:after="0"/>
              <w:ind w:left="0" w:firstLine="0"/>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2020 RNA Base Case Updated Forecast</w:t>
            </w:r>
            <w:r w:rsidRPr="00B97758">
              <w:rPr>
                <w:rFonts w:ascii="Franklin Gothic Book" w:hAnsi="Franklin Gothic Book" w:cs="Calibri"/>
                <w:b/>
                <w:bCs/>
                <w:color w:val="000000"/>
                <w:sz w:val="12"/>
                <w:szCs w:val="12"/>
                <w:vertAlign w:val="superscript"/>
                <w:lang w:bidi="ar-SA"/>
              </w:rPr>
              <w:t xml:space="preserve">1 </w:t>
            </w:r>
          </w:p>
        </w:tc>
        <w:tc>
          <w:tcPr>
            <w:tcW w:w="327" w:type="pct"/>
            <w:tcBorders>
              <w:top w:val="nil"/>
              <w:left w:val="nil"/>
              <w:bottom w:val="single" w:sz="8" w:space="0" w:color="auto"/>
              <w:right w:val="nil"/>
            </w:tcBorders>
            <w:shd w:val="clear" w:color="000000" w:fill="FFFFFF"/>
            <w:noWrap/>
            <w:hideMark/>
          </w:tcPr>
          <w:p w14:paraId="4F2610C8"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152,131</w:t>
            </w:r>
          </w:p>
        </w:tc>
        <w:tc>
          <w:tcPr>
            <w:tcW w:w="327" w:type="pct"/>
            <w:tcBorders>
              <w:top w:val="nil"/>
              <w:left w:val="nil"/>
              <w:bottom w:val="single" w:sz="8" w:space="0" w:color="auto"/>
              <w:right w:val="nil"/>
            </w:tcBorders>
            <w:shd w:val="clear" w:color="000000" w:fill="FFFFFF"/>
            <w:noWrap/>
            <w:hideMark/>
          </w:tcPr>
          <w:p w14:paraId="025E9DB4"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153,134</w:t>
            </w:r>
          </w:p>
        </w:tc>
        <w:tc>
          <w:tcPr>
            <w:tcW w:w="328" w:type="pct"/>
            <w:tcBorders>
              <w:top w:val="nil"/>
              <w:left w:val="nil"/>
              <w:bottom w:val="single" w:sz="8" w:space="0" w:color="auto"/>
              <w:right w:val="nil"/>
            </w:tcBorders>
            <w:shd w:val="clear" w:color="000000" w:fill="FFFFFF"/>
            <w:noWrap/>
            <w:hideMark/>
          </w:tcPr>
          <w:p w14:paraId="02D4BC17"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153,489</w:t>
            </w:r>
          </w:p>
        </w:tc>
        <w:tc>
          <w:tcPr>
            <w:tcW w:w="328" w:type="pct"/>
            <w:tcBorders>
              <w:top w:val="nil"/>
              <w:left w:val="nil"/>
              <w:bottom w:val="single" w:sz="8" w:space="0" w:color="auto"/>
              <w:right w:val="nil"/>
            </w:tcBorders>
            <w:shd w:val="clear" w:color="000000" w:fill="FFFFFF"/>
            <w:noWrap/>
            <w:hideMark/>
          </w:tcPr>
          <w:p w14:paraId="36406C97"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153,463</w:t>
            </w:r>
          </w:p>
        </w:tc>
        <w:tc>
          <w:tcPr>
            <w:tcW w:w="328" w:type="pct"/>
            <w:tcBorders>
              <w:top w:val="nil"/>
              <w:left w:val="nil"/>
              <w:bottom w:val="single" w:sz="8" w:space="0" w:color="auto"/>
              <w:right w:val="nil"/>
            </w:tcBorders>
            <w:shd w:val="clear" w:color="000000" w:fill="FFFFFF"/>
            <w:noWrap/>
            <w:hideMark/>
          </w:tcPr>
          <w:p w14:paraId="6092AA1A"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153,353</w:t>
            </w:r>
          </w:p>
        </w:tc>
        <w:tc>
          <w:tcPr>
            <w:tcW w:w="328" w:type="pct"/>
            <w:tcBorders>
              <w:top w:val="nil"/>
              <w:left w:val="nil"/>
              <w:bottom w:val="single" w:sz="8" w:space="0" w:color="auto"/>
              <w:right w:val="nil"/>
            </w:tcBorders>
            <w:shd w:val="clear" w:color="000000" w:fill="FFFFFF"/>
            <w:noWrap/>
            <w:hideMark/>
          </w:tcPr>
          <w:p w14:paraId="7594840E"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153,318</w:t>
            </w:r>
          </w:p>
        </w:tc>
        <w:tc>
          <w:tcPr>
            <w:tcW w:w="328" w:type="pct"/>
            <w:tcBorders>
              <w:top w:val="nil"/>
              <w:left w:val="nil"/>
              <w:bottom w:val="single" w:sz="8" w:space="0" w:color="auto"/>
              <w:right w:val="nil"/>
            </w:tcBorders>
            <w:shd w:val="clear" w:color="000000" w:fill="FFFFFF"/>
            <w:noWrap/>
            <w:hideMark/>
          </w:tcPr>
          <w:p w14:paraId="5D9AFA68"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153,305</w:t>
            </w:r>
          </w:p>
        </w:tc>
        <w:tc>
          <w:tcPr>
            <w:tcW w:w="328" w:type="pct"/>
            <w:tcBorders>
              <w:top w:val="nil"/>
              <w:left w:val="nil"/>
              <w:bottom w:val="single" w:sz="8" w:space="0" w:color="auto"/>
              <w:right w:val="nil"/>
            </w:tcBorders>
            <w:shd w:val="clear" w:color="000000" w:fill="FFFFFF"/>
            <w:noWrap/>
            <w:hideMark/>
          </w:tcPr>
          <w:p w14:paraId="1D854239"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153,551</w:t>
            </w:r>
          </w:p>
        </w:tc>
        <w:tc>
          <w:tcPr>
            <w:tcW w:w="328" w:type="pct"/>
            <w:tcBorders>
              <w:top w:val="nil"/>
              <w:left w:val="nil"/>
              <w:bottom w:val="single" w:sz="8" w:space="0" w:color="auto"/>
              <w:right w:val="nil"/>
            </w:tcBorders>
            <w:shd w:val="clear" w:color="000000" w:fill="FFFFFF"/>
            <w:noWrap/>
            <w:hideMark/>
          </w:tcPr>
          <w:p w14:paraId="1C4A4167"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154,023</w:t>
            </w:r>
          </w:p>
        </w:tc>
        <w:tc>
          <w:tcPr>
            <w:tcW w:w="328" w:type="pct"/>
            <w:tcBorders>
              <w:top w:val="nil"/>
              <w:left w:val="nil"/>
              <w:bottom w:val="single" w:sz="8" w:space="0" w:color="auto"/>
              <w:right w:val="nil"/>
            </w:tcBorders>
            <w:shd w:val="clear" w:color="000000" w:fill="FFFFFF"/>
            <w:noWrap/>
            <w:hideMark/>
          </w:tcPr>
          <w:p w14:paraId="67BBC4D6"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154,640</w:t>
            </w:r>
          </w:p>
        </w:tc>
        <w:tc>
          <w:tcPr>
            <w:tcW w:w="328" w:type="pct"/>
            <w:tcBorders>
              <w:top w:val="nil"/>
              <w:left w:val="nil"/>
              <w:bottom w:val="single" w:sz="8" w:space="0" w:color="auto"/>
              <w:right w:val="single" w:sz="8" w:space="0" w:color="auto"/>
            </w:tcBorders>
            <w:shd w:val="clear" w:color="000000" w:fill="FFFFFF"/>
            <w:noWrap/>
            <w:hideMark/>
          </w:tcPr>
          <w:p w14:paraId="297B3D54"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155,289</w:t>
            </w:r>
          </w:p>
        </w:tc>
      </w:tr>
      <w:tr w:rsidR="00D20A9E" w:rsidRPr="00B97758" w14:paraId="67F1E853" w14:textId="77777777" w:rsidTr="000B0E01">
        <w:trPr>
          <w:trHeight w:val="300"/>
        </w:trPr>
        <w:tc>
          <w:tcPr>
            <w:tcW w:w="1394" w:type="pct"/>
            <w:tcBorders>
              <w:top w:val="nil"/>
              <w:left w:val="nil"/>
              <w:bottom w:val="nil"/>
              <w:right w:val="nil"/>
            </w:tcBorders>
            <w:shd w:val="clear" w:color="000000" w:fill="FFFFFF"/>
            <w:noWrap/>
            <w:hideMark/>
          </w:tcPr>
          <w:p w14:paraId="4A2E9075" w14:textId="77777777" w:rsidR="00D20A9E" w:rsidRPr="00B97758" w:rsidRDefault="00D20A9E" w:rsidP="00C166D7">
            <w:pPr>
              <w:spacing w:after="0"/>
              <w:ind w:left="0" w:firstLine="0"/>
              <w:rPr>
                <w:rFonts w:ascii="Calibri" w:hAnsi="Calibri" w:cs="Calibri"/>
                <w:color w:val="000000"/>
                <w:sz w:val="12"/>
                <w:szCs w:val="12"/>
                <w:lang w:bidi="ar-SA"/>
              </w:rPr>
            </w:pPr>
            <w:r w:rsidRPr="00B97758">
              <w:rPr>
                <w:rFonts w:ascii="Calibri" w:hAnsi="Calibri" w:cs="Calibri"/>
                <w:color w:val="000000"/>
                <w:sz w:val="12"/>
                <w:szCs w:val="12"/>
                <w:lang w:bidi="ar-SA"/>
              </w:rPr>
              <w:t> </w:t>
            </w:r>
          </w:p>
        </w:tc>
        <w:tc>
          <w:tcPr>
            <w:tcW w:w="327" w:type="pct"/>
            <w:tcBorders>
              <w:top w:val="nil"/>
              <w:left w:val="nil"/>
              <w:bottom w:val="nil"/>
              <w:right w:val="nil"/>
            </w:tcBorders>
            <w:shd w:val="clear" w:color="000000" w:fill="FFFFFF"/>
            <w:noWrap/>
            <w:hideMark/>
          </w:tcPr>
          <w:p w14:paraId="7768A228" w14:textId="77777777" w:rsidR="00D20A9E" w:rsidRPr="00B97758" w:rsidRDefault="00D20A9E" w:rsidP="00C166D7">
            <w:pPr>
              <w:spacing w:after="0"/>
              <w:ind w:left="0" w:firstLine="0"/>
              <w:rPr>
                <w:rFonts w:ascii="Calibri" w:hAnsi="Calibri" w:cs="Calibri"/>
                <w:color w:val="000000"/>
                <w:sz w:val="12"/>
                <w:szCs w:val="12"/>
                <w:lang w:bidi="ar-SA"/>
              </w:rPr>
            </w:pPr>
            <w:r w:rsidRPr="00B97758">
              <w:rPr>
                <w:rFonts w:ascii="Calibri" w:hAnsi="Calibri" w:cs="Calibri"/>
                <w:color w:val="000000"/>
                <w:sz w:val="12"/>
                <w:szCs w:val="12"/>
                <w:lang w:bidi="ar-SA"/>
              </w:rPr>
              <w:t> </w:t>
            </w:r>
          </w:p>
        </w:tc>
        <w:tc>
          <w:tcPr>
            <w:tcW w:w="327" w:type="pct"/>
            <w:tcBorders>
              <w:top w:val="nil"/>
              <w:left w:val="nil"/>
              <w:bottom w:val="nil"/>
              <w:right w:val="nil"/>
            </w:tcBorders>
            <w:shd w:val="clear" w:color="000000" w:fill="FFFFFF"/>
            <w:noWrap/>
            <w:hideMark/>
          </w:tcPr>
          <w:p w14:paraId="0421C794" w14:textId="77777777" w:rsidR="00D20A9E" w:rsidRPr="00B97758" w:rsidRDefault="00D20A9E" w:rsidP="00C166D7">
            <w:pPr>
              <w:spacing w:after="0"/>
              <w:ind w:left="0" w:firstLine="0"/>
              <w:rPr>
                <w:rFonts w:ascii="Calibri" w:hAnsi="Calibri" w:cs="Calibri"/>
                <w:color w:val="000000"/>
                <w:sz w:val="12"/>
                <w:szCs w:val="12"/>
                <w:lang w:bidi="ar-SA"/>
              </w:rPr>
            </w:pPr>
            <w:r w:rsidRPr="00B97758">
              <w:rPr>
                <w:rFonts w:ascii="Calibri" w:hAnsi="Calibri" w:cs="Calibri"/>
                <w:color w:val="000000"/>
                <w:sz w:val="12"/>
                <w:szCs w:val="12"/>
                <w:lang w:bidi="ar-SA"/>
              </w:rPr>
              <w:t> </w:t>
            </w:r>
          </w:p>
        </w:tc>
        <w:tc>
          <w:tcPr>
            <w:tcW w:w="328" w:type="pct"/>
            <w:tcBorders>
              <w:top w:val="nil"/>
              <w:left w:val="nil"/>
              <w:bottom w:val="nil"/>
              <w:right w:val="nil"/>
            </w:tcBorders>
            <w:shd w:val="clear" w:color="000000" w:fill="FFFFFF"/>
            <w:noWrap/>
            <w:hideMark/>
          </w:tcPr>
          <w:p w14:paraId="1EF233BD" w14:textId="77777777" w:rsidR="00D20A9E" w:rsidRPr="00B97758" w:rsidRDefault="00D20A9E" w:rsidP="00C166D7">
            <w:pPr>
              <w:spacing w:after="0"/>
              <w:ind w:left="0" w:firstLine="0"/>
              <w:rPr>
                <w:rFonts w:ascii="Calibri" w:hAnsi="Calibri" w:cs="Calibri"/>
                <w:color w:val="000000"/>
                <w:sz w:val="12"/>
                <w:szCs w:val="12"/>
                <w:lang w:bidi="ar-SA"/>
              </w:rPr>
            </w:pPr>
            <w:r w:rsidRPr="00B97758">
              <w:rPr>
                <w:rFonts w:ascii="Calibri" w:hAnsi="Calibri" w:cs="Calibri"/>
                <w:color w:val="000000"/>
                <w:sz w:val="12"/>
                <w:szCs w:val="12"/>
                <w:lang w:bidi="ar-SA"/>
              </w:rPr>
              <w:t> </w:t>
            </w:r>
          </w:p>
        </w:tc>
        <w:tc>
          <w:tcPr>
            <w:tcW w:w="328" w:type="pct"/>
            <w:tcBorders>
              <w:top w:val="nil"/>
              <w:left w:val="nil"/>
              <w:bottom w:val="nil"/>
              <w:right w:val="nil"/>
            </w:tcBorders>
            <w:shd w:val="clear" w:color="000000" w:fill="FFFFFF"/>
            <w:noWrap/>
            <w:hideMark/>
          </w:tcPr>
          <w:p w14:paraId="4CB78B43" w14:textId="77777777" w:rsidR="00D20A9E" w:rsidRPr="00B97758" w:rsidRDefault="00D20A9E" w:rsidP="00C166D7">
            <w:pPr>
              <w:spacing w:after="0"/>
              <w:ind w:left="0" w:firstLine="0"/>
              <w:rPr>
                <w:rFonts w:ascii="Calibri" w:hAnsi="Calibri" w:cs="Calibri"/>
                <w:color w:val="000000"/>
                <w:sz w:val="12"/>
                <w:szCs w:val="12"/>
                <w:lang w:bidi="ar-SA"/>
              </w:rPr>
            </w:pPr>
            <w:r w:rsidRPr="00B97758">
              <w:rPr>
                <w:rFonts w:ascii="Calibri" w:hAnsi="Calibri" w:cs="Calibri"/>
                <w:color w:val="000000"/>
                <w:sz w:val="12"/>
                <w:szCs w:val="12"/>
                <w:lang w:bidi="ar-SA"/>
              </w:rPr>
              <w:t> </w:t>
            </w:r>
          </w:p>
        </w:tc>
        <w:tc>
          <w:tcPr>
            <w:tcW w:w="328" w:type="pct"/>
            <w:tcBorders>
              <w:top w:val="nil"/>
              <w:left w:val="nil"/>
              <w:bottom w:val="nil"/>
              <w:right w:val="nil"/>
            </w:tcBorders>
            <w:shd w:val="clear" w:color="000000" w:fill="FFFFFF"/>
            <w:noWrap/>
            <w:hideMark/>
          </w:tcPr>
          <w:p w14:paraId="38666C9F" w14:textId="77777777" w:rsidR="00D20A9E" w:rsidRPr="00B97758" w:rsidRDefault="00D20A9E" w:rsidP="00C166D7">
            <w:pPr>
              <w:spacing w:after="0"/>
              <w:ind w:left="0" w:firstLine="0"/>
              <w:rPr>
                <w:rFonts w:ascii="Calibri" w:hAnsi="Calibri" w:cs="Calibri"/>
                <w:color w:val="000000"/>
                <w:sz w:val="12"/>
                <w:szCs w:val="12"/>
                <w:lang w:bidi="ar-SA"/>
              </w:rPr>
            </w:pPr>
            <w:r w:rsidRPr="00B97758">
              <w:rPr>
                <w:rFonts w:ascii="Calibri" w:hAnsi="Calibri" w:cs="Calibri"/>
                <w:color w:val="000000"/>
                <w:sz w:val="12"/>
                <w:szCs w:val="12"/>
                <w:lang w:bidi="ar-SA"/>
              </w:rPr>
              <w:t> </w:t>
            </w:r>
          </w:p>
        </w:tc>
        <w:tc>
          <w:tcPr>
            <w:tcW w:w="328" w:type="pct"/>
            <w:tcBorders>
              <w:top w:val="nil"/>
              <w:left w:val="nil"/>
              <w:bottom w:val="nil"/>
              <w:right w:val="nil"/>
            </w:tcBorders>
            <w:shd w:val="clear" w:color="000000" w:fill="FFFFFF"/>
            <w:noWrap/>
            <w:hideMark/>
          </w:tcPr>
          <w:p w14:paraId="4C61DD16" w14:textId="77777777" w:rsidR="00D20A9E" w:rsidRPr="00B97758" w:rsidRDefault="00D20A9E" w:rsidP="00C166D7">
            <w:pPr>
              <w:spacing w:after="0"/>
              <w:ind w:left="0" w:firstLine="0"/>
              <w:rPr>
                <w:rFonts w:ascii="Calibri" w:hAnsi="Calibri" w:cs="Calibri"/>
                <w:color w:val="000000"/>
                <w:sz w:val="12"/>
                <w:szCs w:val="12"/>
                <w:lang w:bidi="ar-SA"/>
              </w:rPr>
            </w:pPr>
            <w:r w:rsidRPr="00B97758">
              <w:rPr>
                <w:rFonts w:ascii="Calibri" w:hAnsi="Calibri" w:cs="Calibri"/>
                <w:color w:val="000000"/>
                <w:sz w:val="12"/>
                <w:szCs w:val="12"/>
                <w:lang w:bidi="ar-SA"/>
              </w:rPr>
              <w:t> </w:t>
            </w:r>
          </w:p>
        </w:tc>
        <w:tc>
          <w:tcPr>
            <w:tcW w:w="328" w:type="pct"/>
            <w:tcBorders>
              <w:top w:val="nil"/>
              <w:left w:val="nil"/>
              <w:bottom w:val="nil"/>
              <w:right w:val="nil"/>
            </w:tcBorders>
            <w:shd w:val="clear" w:color="000000" w:fill="FFFFFF"/>
            <w:noWrap/>
            <w:hideMark/>
          </w:tcPr>
          <w:p w14:paraId="616B8036" w14:textId="77777777" w:rsidR="00D20A9E" w:rsidRPr="00B97758" w:rsidRDefault="00D20A9E" w:rsidP="00C166D7">
            <w:pPr>
              <w:spacing w:after="0"/>
              <w:ind w:left="0" w:firstLine="0"/>
              <w:rPr>
                <w:rFonts w:ascii="Calibri" w:hAnsi="Calibri" w:cs="Calibri"/>
                <w:color w:val="000000"/>
                <w:sz w:val="12"/>
                <w:szCs w:val="12"/>
                <w:lang w:bidi="ar-SA"/>
              </w:rPr>
            </w:pPr>
            <w:r w:rsidRPr="00B97758">
              <w:rPr>
                <w:rFonts w:ascii="Calibri" w:hAnsi="Calibri" w:cs="Calibri"/>
                <w:color w:val="000000"/>
                <w:sz w:val="12"/>
                <w:szCs w:val="12"/>
                <w:lang w:bidi="ar-SA"/>
              </w:rPr>
              <w:t> </w:t>
            </w:r>
          </w:p>
        </w:tc>
        <w:tc>
          <w:tcPr>
            <w:tcW w:w="328" w:type="pct"/>
            <w:tcBorders>
              <w:top w:val="nil"/>
              <w:left w:val="nil"/>
              <w:bottom w:val="nil"/>
              <w:right w:val="nil"/>
            </w:tcBorders>
            <w:shd w:val="clear" w:color="000000" w:fill="FFFFFF"/>
            <w:noWrap/>
            <w:hideMark/>
          </w:tcPr>
          <w:p w14:paraId="7422950B" w14:textId="77777777" w:rsidR="00D20A9E" w:rsidRPr="00B97758" w:rsidRDefault="00D20A9E" w:rsidP="00C166D7">
            <w:pPr>
              <w:spacing w:after="0"/>
              <w:ind w:left="0" w:firstLine="0"/>
              <w:rPr>
                <w:rFonts w:ascii="Calibri" w:hAnsi="Calibri" w:cs="Calibri"/>
                <w:color w:val="000000"/>
                <w:sz w:val="12"/>
                <w:szCs w:val="12"/>
                <w:lang w:bidi="ar-SA"/>
              </w:rPr>
            </w:pPr>
            <w:r w:rsidRPr="00B97758">
              <w:rPr>
                <w:rFonts w:ascii="Calibri" w:hAnsi="Calibri" w:cs="Calibri"/>
                <w:color w:val="000000"/>
                <w:sz w:val="12"/>
                <w:szCs w:val="12"/>
                <w:lang w:bidi="ar-SA"/>
              </w:rPr>
              <w:t> </w:t>
            </w:r>
          </w:p>
        </w:tc>
        <w:tc>
          <w:tcPr>
            <w:tcW w:w="328" w:type="pct"/>
            <w:tcBorders>
              <w:top w:val="nil"/>
              <w:left w:val="nil"/>
              <w:bottom w:val="nil"/>
              <w:right w:val="nil"/>
            </w:tcBorders>
            <w:shd w:val="clear" w:color="000000" w:fill="FFFFFF"/>
            <w:noWrap/>
            <w:hideMark/>
          </w:tcPr>
          <w:p w14:paraId="6DBCC9BE" w14:textId="77777777" w:rsidR="00D20A9E" w:rsidRPr="00B97758" w:rsidRDefault="00D20A9E" w:rsidP="00C166D7">
            <w:pPr>
              <w:spacing w:after="0"/>
              <w:ind w:left="0" w:firstLine="0"/>
              <w:rPr>
                <w:rFonts w:ascii="Calibri" w:hAnsi="Calibri" w:cs="Calibri"/>
                <w:color w:val="000000"/>
                <w:sz w:val="12"/>
                <w:szCs w:val="12"/>
                <w:lang w:bidi="ar-SA"/>
              </w:rPr>
            </w:pPr>
            <w:r w:rsidRPr="00B97758">
              <w:rPr>
                <w:rFonts w:ascii="Calibri" w:hAnsi="Calibri" w:cs="Calibri"/>
                <w:color w:val="000000"/>
                <w:sz w:val="12"/>
                <w:szCs w:val="12"/>
                <w:lang w:bidi="ar-SA"/>
              </w:rPr>
              <w:t> </w:t>
            </w:r>
          </w:p>
        </w:tc>
        <w:tc>
          <w:tcPr>
            <w:tcW w:w="328" w:type="pct"/>
            <w:tcBorders>
              <w:top w:val="nil"/>
              <w:left w:val="nil"/>
              <w:bottom w:val="nil"/>
              <w:right w:val="nil"/>
            </w:tcBorders>
            <w:shd w:val="clear" w:color="000000" w:fill="FFFFFF"/>
            <w:noWrap/>
            <w:hideMark/>
          </w:tcPr>
          <w:p w14:paraId="7E947CE0" w14:textId="77777777" w:rsidR="00D20A9E" w:rsidRPr="00B97758" w:rsidRDefault="00D20A9E" w:rsidP="00C166D7">
            <w:pPr>
              <w:spacing w:after="0"/>
              <w:ind w:left="0" w:firstLine="0"/>
              <w:rPr>
                <w:rFonts w:ascii="Calibri" w:hAnsi="Calibri" w:cs="Calibri"/>
                <w:color w:val="000000"/>
                <w:sz w:val="12"/>
                <w:szCs w:val="12"/>
                <w:lang w:bidi="ar-SA"/>
              </w:rPr>
            </w:pPr>
            <w:r w:rsidRPr="00B97758">
              <w:rPr>
                <w:rFonts w:ascii="Calibri" w:hAnsi="Calibri" w:cs="Calibri"/>
                <w:color w:val="000000"/>
                <w:sz w:val="12"/>
                <w:szCs w:val="12"/>
                <w:lang w:bidi="ar-SA"/>
              </w:rPr>
              <w:t> </w:t>
            </w:r>
          </w:p>
        </w:tc>
        <w:tc>
          <w:tcPr>
            <w:tcW w:w="328" w:type="pct"/>
            <w:tcBorders>
              <w:top w:val="nil"/>
              <w:left w:val="nil"/>
              <w:bottom w:val="nil"/>
              <w:right w:val="nil"/>
            </w:tcBorders>
            <w:shd w:val="clear" w:color="000000" w:fill="FFFFFF"/>
            <w:noWrap/>
            <w:hideMark/>
          </w:tcPr>
          <w:p w14:paraId="21878B26" w14:textId="77777777" w:rsidR="00D20A9E" w:rsidRPr="00B97758" w:rsidRDefault="00D20A9E" w:rsidP="00C166D7">
            <w:pPr>
              <w:spacing w:after="0"/>
              <w:ind w:left="0" w:firstLine="0"/>
              <w:rPr>
                <w:rFonts w:ascii="Calibri" w:hAnsi="Calibri" w:cs="Calibri"/>
                <w:color w:val="000000"/>
                <w:sz w:val="12"/>
                <w:szCs w:val="12"/>
                <w:lang w:bidi="ar-SA"/>
              </w:rPr>
            </w:pPr>
            <w:r w:rsidRPr="00B97758">
              <w:rPr>
                <w:rFonts w:ascii="Calibri" w:hAnsi="Calibri" w:cs="Calibri"/>
                <w:color w:val="000000"/>
                <w:sz w:val="12"/>
                <w:szCs w:val="12"/>
                <w:lang w:bidi="ar-SA"/>
              </w:rPr>
              <w:t> </w:t>
            </w:r>
          </w:p>
        </w:tc>
      </w:tr>
      <w:tr w:rsidR="00D20A9E" w:rsidRPr="00B97758" w14:paraId="0F944BBD" w14:textId="77777777" w:rsidTr="000B0E01">
        <w:trPr>
          <w:trHeight w:val="300"/>
        </w:trPr>
        <w:tc>
          <w:tcPr>
            <w:tcW w:w="2049" w:type="pct"/>
            <w:gridSpan w:val="3"/>
            <w:tcBorders>
              <w:top w:val="nil"/>
              <w:left w:val="nil"/>
              <w:bottom w:val="nil"/>
              <w:right w:val="nil"/>
            </w:tcBorders>
            <w:shd w:val="clear" w:color="000000" w:fill="FFFFFF"/>
            <w:noWrap/>
            <w:hideMark/>
          </w:tcPr>
          <w:p w14:paraId="466AA8D8" w14:textId="77777777" w:rsidR="00D20A9E" w:rsidRPr="00B97758" w:rsidRDefault="00D20A9E" w:rsidP="00C166D7">
            <w:pPr>
              <w:spacing w:after="0"/>
              <w:ind w:left="0" w:firstLine="0"/>
              <w:rPr>
                <w:rFonts w:ascii="Franklin Gothic Book" w:hAnsi="Franklin Gothic Book" w:cs="Calibri"/>
                <w:b/>
                <w:bCs/>
                <w:color w:val="0070C0"/>
                <w:sz w:val="12"/>
                <w:szCs w:val="12"/>
                <w:lang w:bidi="ar-SA"/>
              </w:rPr>
            </w:pPr>
            <w:r w:rsidRPr="00B97758">
              <w:rPr>
                <w:rFonts w:ascii="Franklin Gothic Book" w:hAnsi="Franklin Gothic Book" w:cs="Calibri"/>
                <w:b/>
                <w:bCs/>
                <w:color w:val="0070C0"/>
                <w:sz w:val="12"/>
                <w:szCs w:val="12"/>
                <w:lang w:bidi="ar-SA"/>
              </w:rPr>
              <w:t>Baseline and Adjusted Baseline Summer Updated Peak Forecasts</w:t>
            </w:r>
          </w:p>
          <w:p w14:paraId="04DC4781" w14:textId="77777777" w:rsidR="00D20A9E" w:rsidRPr="00B97758" w:rsidRDefault="00D20A9E" w:rsidP="00C166D7">
            <w:pPr>
              <w:spacing w:after="0"/>
              <w:ind w:left="0" w:firstLine="0"/>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 </w:t>
            </w:r>
          </w:p>
        </w:tc>
        <w:tc>
          <w:tcPr>
            <w:tcW w:w="328" w:type="pct"/>
            <w:tcBorders>
              <w:top w:val="nil"/>
              <w:left w:val="nil"/>
              <w:bottom w:val="nil"/>
              <w:right w:val="nil"/>
            </w:tcBorders>
            <w:shd w:val="clear" w:color="000000" w:fill="FFFFFF"/>
            <w:noWrap/>
            <w:hideMark/>
          </w:tcPr>
          <w:p w14:paraId="11AFDBF5" w14:textId="77777777" w:rsidR="00D20A9E" w:rsidRPr="00B97758" w:rsidRDefault="00D20A9E" w:rsidP="00C166D7">
            <w:pPr>
              <w:spacing w:after="0"/>
              <w:ind w:left="0" w:firstLine="0"/>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 </w:t>
            </w:r>
          </w:p>
        </w:tc>
        <w:tc>
          <w:tcPr>
            <w:tcW w:w="328" w:type="pct"/>
            <w:tcBorders>
              <w:top w:val="nil"/>
              <w:left w:val="nil"/>
              <w:bottom w:val="nil"/>
              <w:right w:val="nil"/>
            </w:tcBorders>
            <w:shd w:val="clear" w:color="000000" w:fill="FFFFFF"/>
            <w:noWrap/>
            <w:hideMark/>
          </w:tcPr>
          <w:p w14:paraId="22961368" w14:textId="77777777" w:rsidR="00D20A9E" w:rsidRPr="00B97758" w:rsidRDefault="00D20A9E" w:rsidP="00C166D7">
            <w:pPr>
              <w:spacing w:after="0"/>
              <w:ind w:left="0" w:firstLine="0"/>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 </w:t>
            </w:r>
          </w:p>
        </w:tc>
        <w:tc>
          <w:tcPr>
            <w:tcW w:w="328" w:type="pct"/>
            <w:tcBorders>
              <w:top w:val="nil"/>
              <w:left w:val="nil"/>
              <w:bottom w:val="nil"/>
              <w:right w:val="nil"/>
            </w:tcBorders>
            <w:shd w:val="clear" w:color="000000" w:fill="FFFFFF"/>
            <w:noWrap/>
            <w:hideMark/>
          </w:tcPr>
          <w:p w14:paraId="7273489B" w14:textId="77777777" w:rsidR="00D20A9E" w:rsidRPr="00B97758" w:rsidRDefault="00D20A9E" w:rsidP="00C166D7">
            <w:pPr>
              <w:spacing w:after="0"/>
              <w:ind w:left="0" w:firstLine="0"/>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 </w:t>
            </w:r>
          </w:p>
        </w:tc>
        <w:tc>
          <w:tcPr>
            <w:tcW w:w="328" w:type="pct"/>
            <w:tcBorders>
              <w:top w:val="nil"/>
              <w:left w:val="nil"/>
              <w:bottom w:val="nil"/>
              <w:right w:val="nil"/>
            </w:tcBorders>
            <w:shd w:val="clear" w:color="000000" w:fill="FFFFFF"/>
            <w:noWrap/>
            <w:hideMark/>
          </w:tcPr>
          <w:p w14:paraId="4BB55B9E" w14:textId="77777777" w:rsidR="00D20A9E" w:rsidRPr="00B97758" w:rsidRDefault="00D20A9E" w:rsidP="00C166D7">
            <w:pPr>
              <w:spacing w:after="0"/>
              <w:ind w:left="0" w:firstLine="0"/>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 </w:t>
            </w:r>
          </w:p>
        </w:tc>
        <w:tc>
          <w:tcPr>
            <w:tcW w:w="328" w:type="pct"/>
            <w:tcBorders>
              <w:top w:val="nil"/>
              <w:left w:val="nil"/>
              <w:bottom w:val="nil"/>
              <w:right w:val="nil"/>
            </w:tcBorders>
            <w:shd w:val="clear" w:color="000000" w:fill="FFFFFF"/>
            <w:noWrap/>
            <w:hideMark/>
          </w:tcPr>
          <w:p w14:paraId="0788993D" w14:textId="77777777" w:rsidR="00D20A9E" w:rsidRPr="00B97758" w:rsidRDefault="00D20A9E" w:rsidP="00C166D7">
            <w:pPr>
              <w:spacing w:after="0"/>
              <w:ind w:left="0" w:firstLine="0"/>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 </w:t>
            </w:r>
          </w:p>
        </w:tc>
        <w:tc>
          <w:tcPr>
            <w:tcW w:w="328" w:type="pct"/>
            <w:tcBorders>
              <w:top w:val="nil"/>
              <w:left w:val="nil"/>
              <w:bottom w:val="nil"/>
              <w:right w:val="nil"/>
            </w:tcBorders>
            <w:shd w:val="clear" w:color="000000" w:fill="FFFFFF"/>
            <w:noWrap/>
            <w:hideMark/>
          </w:tcPr>
          <w:p w14:paraId="1E6B6EA9" w14:textId="77777777" w:rsidR="00D20A9E" w:rsidRPr="00B97758" w:rsidRDefault="00D20A9E" w:rsidP="00C166D7">
            <w:pPr>
              <w:spacing w:after="0"/>
              <w:ind w:left="0" w:firstLine="0"/>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 </w:t>
            </w:r>
          </w:p>
        </w:tc>
        <w:tc>
          <w:tcPr>
            <w:tcW w:w="328" w:type="pct"/>
            <w:tcBorders>
              <w:top w:val="nil"/>
              <w:left w:val="nil"/>
              <w:bottom w:val="nil"/>
              <w:right w:val="nil"/>
            </w:tcBorders>
            <w:shd w:val="clear" w:color="000000" w:fill="FFFFFF"/>
            <w:noWrap/>
            <w:hideMark/>
          </w:tcPr>
          <w:p w14:paraId="1A811766" w14:textId="77777777" w:rsidR="00D20A9E" w:rsidRPr="00B97758" w:rsidRDefault="00D20A9E" w:rsidP="00C166D7">
            <w:pPr>
              <w:spacing w:after="0"/>
              <w:ind w:left="0" w:firstLine="0"/>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 </w:t>
            </w:r>
          </w:p>
        </w:tc>
        <w:tc>
          <w:tcPr>
            <w:tcW w:w="328" w:type="pct"/>
            <w:tcBorders>
              <w:top w:val="nil"/>
              <w:left w:val="nil"/>
              <w:bottom w:val="nil"/>
              <w:right w:val="nil"/>
            </w:tcBorders>
            <w:shd w:val="clear" w:color="000000" w:fill="FFFFFF"/>
            <w:noWrap/>
            <w:hideMark/>
          </w:tcPr>
          <w:p w14:paraId="656B5AE6" w14:textId="77777777" w:rsidR="00D20A9E" w:rsidRPr="00B97758" w:rsidRDefault="00D20A9E" w:rsidP="00C166D7">
            <w:pPr>
              <w:spacing w:after="0"/>
              <w:ind w:left="0" w:firstLine="0"/>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 </w:t>
            </w:r>
          </w:p>
        </w:tc>
        <w:tc>
          <w:tcPr>
            <w:tcW w:w="328" w:type="pct"/>
            <w:tcBorders>
              <w:top w:val="nil"/>
              <w:left w:val="nil"/>
              <w:bottom w:val="nil"/>
              <w:right w:val="nil"/>
            </w:tcBorders>
            <w:shd w:val="clear" w:color="000000" w:fill="FFFFFF"/>
            <w:noWrap/>
            <w:hideMark/>
          </w:tcPr>
          <w:p w14:paraId="628B2842" w14:textId="77777777" w:rsidR="00D20A9E" w:rsidRPr="00B97758" w:rsidRDefault="00D20A9E" w:rsidP="00C166D7">
            <w:pPr>
              <w:spacing w:after="0"/>
              <w:ind w:left="0" w:firstLine="0"/>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 </w:t>
            </w:r>
          </w:p>
        </w:tc>
      </w:tr>
      <w:tr w:rsidR="00D20A9E" w:rsidRPr="00B97758" w14:paraId="25C25842" w14:textId="77777777" w:rsidTr="000B0E01">
        <w:trPr>
          <w:trHeight w:val="300"/>
        </w:trPr>
        <w:tc>
          <w:tcPr>
            <w:tcW w:w="1394" w:type="pct"/>
            <w:tcBorders>
              <w:top w:val="single" w:sz="8" w:space="0" w:color="auto"/>
              <w:left w:val="single" w:sz="8" w:space="0" w:color="auto"/>
              <w:bottom w:val="nil"/>
              <w:right w:val="single" w:sz="8" w:space="0" w:color="auto"/>
            </w:tcBorders>
            <w:shd w:val="clear" w:color="000000" w:fill="BDD7EE"/>
            <w:noWrap/>
            <w:hideMark/>
          </w:tcPr>
          <w:p w14:paraId="472A4A61" w14:textId="77777777" w:rsidR="00D20A9E" w:rsidRPr="00B97758" w:rsidRDefault="00D20A9E" w:rsidP="00C166D7">
            <w:pPr>
              <w:spacing w:after="0"/>
              <w:ind w:left="0" w:firstLine="0"/>
              <w:jc w:val="center"/>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Annual MW</w:t>
            </w:r>
          </w:p>
        </w:tc>
        <w:tc>
          <w:tcPr>
            <w:tcW w:w="327" w:type="pct"/>
            <w:tcBorders>
              <w:top w:val="single" w:sz="8" w:space="0" w:color="auto"/>
              <w:left w:val="nil"/>
              <w:bottom w:val="nil"/>
              <w:right w:val="nil"/>
            </w:tcBorders>
            <w:shd w:val="clear" w:color="000000" w:fill="BDD7EE"/>
            <w:noWrap/>
            <w:hideMark/>
          </w:tcPr>
          <w:p w14:paraId="3C745856" w14:textId="77777777" w:rsidR="00D20A9E" w:rsidRPr="00B97758" w:rsidRDefault="00D20A9E" w:rsidP="00C166D7">
            <w:pPr>
              <w:spacing w:after="0"/>
              <w:ind w:left="0" w:firstLine="0"/>
              <w:jc w:val="right"/>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2020</w:t>
            </w:r>
          </w:p>
        </w:tc>
        <w:tc>
          <w:tcPr>
            <w:tcW w:w="327" w:type="pct"/>
            <w:tcBorders>
              <w:top w:val="single" w:sz="8" w:space="0" w:color="auto"/>
              <w:left w:val="nil"/>
              <w:bottom w:val="nil"/>
              <w:right w:val="nil"/>
            </w:tcBorders>
            <w:shd w:val="clear" w:color="000000" w:fill="BDD7EE"/>
            <w:noWrap/>
            <w:hideMark/>
          </w:tcPr>
          <w:p w14:paraId="566DA0B3" w14:textId="77777777" w:rsidR="00D20A9E" w:rsidRPr="00B97758" w:rsidRDefault="00D20A9E" w:rsidP="00C166D7">
            <w:pPr>
              <w:spacing w:after="0"/>
              <w:ind w:left="0" w:firstLine="0"/>
              <w:jc w:val="right"/>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2021</w:t>
            </w:r>
          </w:p>
        </w:tc>
        <w:tc>
          <w:tcPr>
            <w:tcW w:w="328" w:type="pct"/>
            <w:tcBorders>
              <w:top w:val="single" w:sz="8" w:space="0" w:color="auto"/>
              <w:left w:val="nil"/>
              <w:bottom w:val="nil"/>
              <w:right w:val="nil"/>
            </w:tcBorders>
            <w:shd w:val="clear" w:color="000000" w:fill="BDD7EE"/>
            <w:noWrap/>
            <w:hideMark/>
          </w:tcPr>
          <w:p w14:paraId="46BADB7A" w14:textId="77777777" w:rsidR="00D20A9E" w:rsidRPr="00B97758" w:rsidRDefault="00D20A9E" w:rsidP="00C166D7">
            <w:pPr>
              <w:spacing w:after="0"/>
              <w:ind w:left="0" w:firstLine="0"/>
              <w:jc w:val="right"/>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2022</w:t>
            </w:r>
          </w:p>
        </w:tc>
        <w:tc>
          <w:tcPr>
            <w:tcW w:w="328" w:type="pct"/>
            <w:tcBorders>
              <w:top w:val="single" w:sz="8" w:space="0" w:color="auto"/>
              <w:left w:val="nil"/>
              <w:bottom w:val="nil"/>
              <w:right w:val="nil"/>
            </w:tcBorders>
            <w:shd w:val="clear" w:color="000000" w:fill="BDD7EE"/>
            <w:noWrap/>
            <w:hideMark/>
          </w:tcPr>
          <w:p w14:paraId="0982B91B" w14:textId="77777777" w:rsidR="00D20A9E" w:rsidRPr="00B97758" w:rsidRDefault="00D20A9E" w:rsidP="00C166D7">
            <w:pPr>
              <w:spacing w:after="0"/>
              <w:ind w:left="0" w:firstLine="0"/>
              <w:jc w:val="right"/>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2023</w:t>
            </w:r>
          </w:p>
        </w:tc>
        <w:tc>
          <w:tcPr>
            <w:tcW w:w="328" w:type="pct"/>
            <w:tcBorders>
              <w:top w:val="single" w:sz="8" w:space="0" w:color="auto"/>
              <w:left w:val="nil"/>
              <w:bottom w:val="nil"/>
              <w:right w:val="nil"/>
            </w:tcBorders>
            <w:shd w:val="clear" w:color="000000" w:fill="BDD7EE"/>
            <w:noWrap/>
            <w:hideMark/>
          </w:tcPr>
          <w:p w14:paraId="7703F5DB" w14:textId="77777777" w:rsidR="00D20A9E" w:rsidRPr="00B97758" w:rsidRDefault="00D20A9E" w:rsidP="00C166D7">
            <w:pPr>
              <w:spacing w:after="0"/>
              <w:ind w:left="0" w:firstLine="0"/>
              <w:jc w:val="right"/>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2024</w:t>
            </w:r>
          </w:p>
        </w:tc>
        <w:tc>
          <w:tcPr>
            <w:tcW w:w="328" w:type="pct"/>
            <w:tcBorders>
              <w:top w:val="single" w:sz="8" w:space="0" w:color="auto"/>
              <w:left w:val="nil"/>
              <w:bottom w:val="nil"/>
              <w:right w:val="nil"/>
            </w:tcBorders>
            <w:shd w:val="clear" w:color="000000" w:fill="BDD7EE"/>
            <w:noWrap/>
            <w:hideMark/>
          </w:tcPr>
          <w:p w14:paraId="6DFBC379" w14:textId="77777777" w:rsidR="00D20A9E" w:rsidRPr="00B97758" w:rsidRDefault="00D20A9E" w:rsidP="00C166D7">
            <w:pPr>
              <w:spacing w:after="0"/>
              <w:ind w:left="0" w:firstLine="0"/>
              <w:jc w:val="right"/>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2025</w:t>
            </w:r>
          </w:p>
        </w:tc>
        <w:tc>
          <w:tcPr>
            <w:tcW w:w="328" w:type="pct"/>
            <w:tcBorders>
              <w:top w:val="single" w:sz="8" w:space="0" w:color="auto"/>
              <w:left w:val="nil"/>
              <w:bottom w:val="nil"/>
              <w:right w:val="nil"/>
            </w:tcBorders>
            <w:shd w:val="clear" w:color="000000" w:fill="BDD7EE"/>
            <w:noWrap/>
            <w:hideMark/>
          </w:tcPr>
          <w:p w14:paraId="6E86EEF7" w14:textId="77777777" w:rsidR="00D20A9E" w:rsidRPr="00B97758" w:rsidRDefault="00D20A9E" w:rsidP="00C166D7">
            <w:pPr>
              <w:spacing w:after="0"/>
              <w:ind w:left="0" w:firstLine="0"/>
              <w:jc w:val="right"/>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2026</w:t>
            </w:r>
          </w:p>
        </w:tc>
        <w:tc>
          <w:tcPr>
            <w:tcW w:w="328" w:type="pct"/>
            <w:tcBorders>
              <w:top w:val="single" w:sz="8" w:space="0" w:color="auto"/>
              <w:left w:val="nil"/>
              <w:bottom w:val="nil"/>
              <w:right w:val="nil"/>
            </w:tcBorders>
            <w:shd w:val="clear" w:color="000000" w:fill="BDD7EE"/>
            <w:noWrap/>
            <w:hideMark/>
          </w:tcPr>
          <w:p w14:paraId="498A7D3B" w14:textId="77777777" w:rsidR="00D20A9E" w:rsidRPr="00B97758" w:rsidRDefault="00D20A9E" w:rsidP="00C166D7">
            <w:pPr>
              <w:spacing w:after="0"/>
              <w:ind w:left="0" w:firstLine="0"/>
              <w:jc w:val="right"/>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2027</w:t>
            </w:r>
          </w:p>
        </w:tc>
        <w:tc>
          <w:tcPr>
            <w:tcW w:w="328" w:type="pct"/>
            <w:tcBorders>
              <w:top w:val="single" w:sz="8" w:space="0" w:color="auto"/>
              <w:left w:val="nil"/>
              <w:bottom w:val="nil"/>
              <w:right w:val="nil"/>
            </w:tcBorders>
            <w:shd w:val="clear" w:color="000000" w:fill="BDD7EE"/>
            <w:noWrap/>
            <w:hideMark/>
          </w:tcPr>
          <w:p w14:paraId="60F311E1" w14:textId="77777777" w:rsidR="00D20A9E" w:rsidRPr="00B97758" w:rsidRDefault="00D20A9E" w:rsidP="00C166D7">
            <w:pPr>
              <w:spacing w:after="0"/>
              <w:ind w:left="0" w:firstLine="0"/>
              <w:jc w:val="right"/>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2028</w:t>
            </w:r>
          </w:p>
        </w:tc>
        <w:tc>
          <w:tcPr>
            <w:tcW w:w="328" w:type="pct"/>
            <w:tcBorders>
              <w:top w:val="single" w:sz="8" w:space="0" w:color="auto"/>
              <w:left w:val="nil"/>
              <w:bottom w:val="nil"/>
              <w:right w:val="nil"/>
            </w:tcBorders>
            <w:shd w:val="clear" w:color="000000" w:fill="BDD7EE"/>
            <w:noWrap/>
            <w:hideMark/>
          </w:tcPr>
          <w:p w14:paraId="6801CF95" w14:textId="77777777" w:rsidR="00D20A9E" w:rsidRPr="00B97758" w:rsidRDefault="00D20A9E" w:rsidP="00C166D7">
            <w:pPr>
              <w:spacing w:after="0"/>
              <w:ind w:left="0" w:firstLine="0"/>
              <w:jc w:val="right"/>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2029</w:t>
            </w:r>
          </w:p>
        </w:tc>
        <w:tc>
          <w:tcPr>
            <w:tcW w:w="328" w:type="pct"/>
            <w:tcBorders>
              <w:top w:val="single" w:sz="8" w:space="0" w:color="auto"/>
              <w:left w:val="nil"/>
              <w:bottom w:val="nil"/>
              <w:right w:val="single" w:sz="8" w:space="0" w:color="auto"/>
            </w:tcBorders>
            <w:shd w:val="clear" w:color="000000" w:fill="BDD7EE"/>
            <w:noWrap/>
            <w:hideMark/>
          </w:tcPr>
          <w:p w14:paraId="28858815" w14:textId="77777777" w:rsidR="00D20A9E" w:rsidRPr="00B97758" w:rsidRDefault="00D20A9E" w:rsidP="00C166D7">
            <w:pPr>
              <w:spacing w:after="0"/>
              <w:ind w:left="0" w:firstLine="0"/>
              <w:jc w:val="right"/>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2030</w:t>
            </w:r>
          </w:p>
        </w:tc>
      </w:tr>
      <w:tr w:rsidR="00D20A9E" w:rsidRPr="00B97758" w14:paraId="2D5BB121" w14:textId="77777777" w:rsidTr="000B0E01">
        <w:trPr>
          <w:trHeight w:val="300"/>
        </w:trPr>
        <w:tc>
          <w:tcPr>
            <w:tcW w:w="1394" w:type="pct"/>
            <w:tcBorders>
              <w:top w:val="nil"/>
              <w:left w:val="single" w:sz="8" w:space="0" w:color="auto"/>
              <w:bottom w:val="nil"/>
              <w:right w:val="single" w:sz="8" w:space="0" w:color="auto"/>
            </w:tcBorders>
            <w:shd w:val="clear" w:color="000000" w:fill="FFFFFF"/>
            <w:noWrap/>
            <w:hideMark/>
          </w:tcPr>
          <w:p w14:paraId="2BC0B285" w14:textId="77777777" w:rsidR="00D20A9E" w:rsidRPr="00B97758" w:rsidRDefault="00D20A9E" w:rsidP="00C166D7">
            <w:pPr>
              <w:spacing w:after="0"/>
              <w:ind w:left="0" w:firstLine="0"/>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2020 End-Use Peak Demand Forecast - Nov. update</w:t>
            </w:r>
          </w:p>
        </w:tc>
        <w:tc>
          <w:tcPr>
            <w:tcW w:w="327" w:type="pct"/>
            <w:tcBorders>
              <w:top w:val="nil"/>
              <w:left w:val="nil"/>
              <w:bottom w:val="nil"/>
              <w:right w:val="nil"/>
            </w:tcBorders>
            <w:shd w:val="clear" w:color="000000" w:fill="FFFFFF"/>
            <w:noWrap/>
            <w:hideMark/>
          </w:tcPr>
          <w:p w14:paraId="1A8D6A4A"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33,319</w:t>
            </w:r>
          </w:p>
        </w:tc>
        <w:tc>
          <w:tcPr>
            <w:tcW w:w="327" w:type="pct"/>
            <w:tcBorders>
              <w:top w:val="nil"/>
              <w:left w:val="nil"/>
              <w:bottom w:val="nil"/>
              <w:right w:val="nil"/>
            </w:tcBorders>
            <w:shd w:val="clear" w:color="000000" w:fill="FFFFFF"/>
            <w:noWrap/>
            <w:hideMark/>
          </w:tcPr>
          <w:p w14:paraId="3E3367C8"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33,615</w:t>
            </w:r>
          </w:p>
        </w:tc>
        <w:tc>
          <w:tcPr>
            <w:tcW w:w="328" w:type="pct"/>
            <w:tcBorders>
              <w:top w:val="nil"/>
              <w:left w:val="nil"/>
              <w:bottom w:val="nil"/>
              <w:right w:val="nil"/>
            </w:tcBorders>
            <w:shd w:val="clear" w:color="000000" w:fill="FFFFFF"/>
            <w:noWrap/>
            <w:hideMark/>
          </w:tcPr>
          <w:p w14:paraId="552147C2"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33,962</w:t>
            </w:r>
          </w:p>
        </w:tc>
        <w:tc>
          <w:tcPr>
            <w:tcW w:w="328" w:type="pct"/>
            <w:tcBorders>
              <w:top w:val="nil"/>
              <w:left w:val="nil"/>
              <w:bottom w:val="nil"/>
              <w:right w:val="nil"/>
            </w:tcBorders>
            <w:shd w:val="clear" w:color="000000" w:fill="FFFFFF"/>
            <w:noWrap/>
            <w:hideMark/>
          </w:tcPr>
          <w:p w14:paraId="78CAD116"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34,169</w:t>
            </w:r>
          </w:p>
        </w:tc>
        <w:tc>
          <w:tcPr>
            <w:tcW w:w="328" w:type="pct"/>
            <w:tcBorders>
              <w:top w:val="nil"/>
              <w:left w:val="nil"/>
              <w:bottom w:val="nil"/>
              <w:right w:val="nil"/>
            </w:tcBorders>
            <w:shd w:val="clear" w:color="000000" w:fill="FFFFFF"/>
            <w:noWrap/>
            <w:hideMark/>
          </w:tcPr>
          <w:p w14:paraId="17C4439D"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34,346</w:t>
            </w:r>
          </w:p>
        </w:tc>
        <w:tc>
          <w:tcPr>
            <w:tcW w:w="328" w:type="pct"/>
            <w:tcBorders>
              <w:top w:val="nil"/>
              <w:left w:val="nil"/>
              <w:bottom w:val="nil"/>
              <w:right w:val="nil"/>
            </w:tcBorders>
            <w:shd w:val="clear" w:color="000000" w:fill="FFFFFF"/>
            <w:noWrap/>
            <w:hideMark/>
          </w:tcPr>
          <w:p w14:paraId="5F629302"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34,621</w:t>
            </w:r>
          </w:p>
        </w:tc>
        <w:tc>
          <w:tcPr>
            <w:tcW w:w="328" w:type="pct"/>
            <w:tcBorders>
              <w:top w:val="nil"/>
              <w:left w:val="nil"/>
              <w:bottom w:val="nil"/>
              <w:right w:val="nil"/>
            </w:tcBorders>
            <w:shd w:val="clear" w:color="000000" w:fill="FFFFFF"/>
            <w:noWrap/>
            <w:hideMark/>
          </w:tcPr>
          <w:p w14:paraId="63AE9DAC"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34,904</w:t>
            </w:r>
          </w:p>
        </w:tc>
        <w:tc>
          <w:tcPr>
            <w:tcW w:w="328" w:type="pct"/>
            <w:tcBorders>
              <w:top w:val="nil"/>
              <w:left w:val="nil"/>
              <w:bottom w:val="nil"/>
              <w:right w:val="nil"/>
            </w:tcBorders>
            <w:shd w:val="clear" w:color="000000" w:fill="FFFFFF"/>
            <w:noWrap/>
            <w:hideMark/>
          </w:tcPr>
          <w:p w14:paraId="3CE3C98B"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35,208</w:t>
            </w:r>
          </w:p>
        </w:tc>
        <w:tc>
          <w:tcPr>
            <w:tcW w:w="328" w:type="pct"/>
            <w:tcBorders>
              <w:top w:val="nil"/>
              <w:left w:val="nil"/>
              <w:bottom w:val="nil"/>
              <w:right w:val="nil"/>
            </w:tcBorders>
            <w:shd w:val="clear" w:color="000000" w:fill="FFFFFF"/>
            <w:noWrap/>
            <w:hideMark/>
          </w:tcPr>
          <w:p w14:paraId="09B7AF38"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35,501</w:t>
            </w:r>
          </w:p>
        </w:tc>
        <w:tc>
          <w:tcPr>
            <w:tcW w:w="328" w:type="pct"/>
            <w:tcBorders>
              <w:top w:val="nil"/>
              <w:left w:val="nil"/>
              <w:bottom w:val="nil"/>
              <w:right w:val="nil"/>
            </w:tcBorders>
            <w:shd w:val="clear" w:color="000000" w:fill="FFFFFF"/>
            <w:noWrap/>
            <w:hideMark/>
          </w:tcPr>
          <w:p w14:paraId="66C9A306"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35,749</w:t>
            </w:r>
          </w:p>
        </w:tc>
        <w:tc>
          <w:tcPr>
            <w:tcW w:w="328" w:type="pct"/>
            <w:tcBorders>
              <w:top w:val="nil"/>
              <w:left w:val="nil"/>
              <w:bottom w:val="nil"/>
              <w:right w:val="single" w:sz="8" w:space="0" w:color="auto"/>
            </w:tcBorders>
            <w:shd w:val="clear" w:color="000000" w:fill="FFFFFF"/>
            <w:noWrap/>
            <w:hideMark/>
          </w:tcPr>
          <w:p w14:paraId="60801969"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35,941</w:t>
            </w:r>
          </w:p>
        </w:tc>
      </w:tr>
      <w:tr w:rsidR="00D20A9E" w:rsidRPr="00B97758" w14:paraId="48E71455" w14:textId="77777777" w:rsidTr="000B0E01">
        <w:trPr>
          <w:trHeight w:val="288"/>
        </w:trPr>
        <w:tc>
          <w:tcPr>
            <w:tcW w:w="1394" w:type="pct"/>
            <w:tcBorders>
              <w:top w:val="nil"/>
              <w:left w:val="single" w:sz="8" w:space="0" w:color="auto"/>
              <w:bottom w:val="nil"/>
              <w:right w:val="single" w:sz="8" w:space="0" w:color="auto"/>
            </w:tcBorders>
            <w:shd w:val="clear" w:color="000000" w:fill="FFFFFF"/>
            <w:noWrap/>
            <w:hideMark/>
          </w:tcPr>
          <w:p w14:paraId="31A70C9D" w14:textId="77777777" w:rsidR="00D20A9E" w:rsidRPr="00B97758" w:rsidRDefault="00D20A9E" w:rsidP="00C166D7">
            <w:pPr>
              <w:spacing w:after="0"/>
              <w:ind w:left="0" w:firstLine="0"/>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 Energy Efficiency and Codes &amp; Standards</w:t>
            </w:r>
          </w:p>
        </w:tc>
        <w:tc>
          <w:tcPr>
            <w:tcW w:w="327" w:type="pct"/>
            <w:tcBorders>
              <w:top w:val="nil"/>
              <w:left w:val="nil"/>
              <w:bottom w:val="nil"/>
              <w:right w:val="nil"/>
            </w:tcBorders>
            <w:shd w:val="clear" w:color="000000" w:fill="FFFFFF"/>
            <w:noWrap/>
            <w:hideMark/>
          </w:tcPr>
          <w:p w14:paraId="709BC3C4"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296</w:t>
            </w:r>
          </w:p>
        </w:tc>
        <w:tc>
          <w:tcPr>
            <w:tcW w:w="327" w:type="pct"/>
            <w:tcBorders>
              <w:top w:val="nil"/>
              <w:left w:val="nil"/>
              <w:bottom w:val="nil"/>
              <w:right w:val="nil"/>
            </w:tcBorders>
            <w:shd w:val="clear" w:color="000000" w:fill="FFFFFF"/>
            <w:noWrap/>
            <w:hideMark/>
          </w:tcPr>
          <w:p w14:paraId="22B22327"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591</w:t>
            </w:r>
          </w:p>
        </w:tc>
        <w:tc>
          <w:tcPr>
            <w:tcW w:w="328" w:type="pct"/>
            <w:tcBorders>
              <w:top w:val="nil"/>
              <w:left w:val="nil"/>
              <w:bottom w:val="nil"/>
              <w:right w:val="nil"/>
            </w:tcBorders>
            <w:shd w:val="clear" w:color="000000" w:fill="FFFFFF"/>
            <w:noWrap/>
            <w:hideMark/>
          </w:tcPr>
          <w:p w14:paraId="26FB46D7"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943</w:t>
            </w:r>
          </w:p>
        </w:tc>
        <w:tc>
          <w:tcPr>
            <w:tcW w:w="328" w:type="pct"/>
            <w:tcBorders>
              <w:top w:val="nil"/>
              <w:left w:val="nil"/>
              <w:bottom w:val="nil"/>
              <w:right w:val="nil"/>
            </w:tcBorders>
            <w:shd w:val="clear" w:color="000000" w:fill="FFFFFF"/>
            <w:noWrap/>
            <w:hideMark/>
          </w:tcPr>
          <w:p w14:paraId="10D97E60"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1,322</w:t>
            </w:r>
          </w:p>
        </w:tc>
        <w:tc>
          <w:tcPr>
            <w:tcW w:w="328" w:type="pct"/>
            <w:tcBorders>
              <w:top w:val="nil"/>
              <w:left w:val="nil"/>
              <w:bottom w:val="nil"/>
              <w:right w:val="nil"/>
            </w:tcBorders>
            <w:shd w:val="clear" w:color="000000" w:fill="FFFFFF"/>
            <w:noWrap/>
            <w:hideMark/>
          </w:tcPr>
          <w:p w14:paraId="02D1DB4E"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1,709</w:t>
            </w:r>
          </w:p>
        </w:tc>
        <w:tc>
          <w:tcPr>
            <w:tcW w:w="328" w:type="pct"/>
            <w:tcBorders>
              <w:top w:val="nil"/>
              <w:left w:val="nil"/>
              <w:bottom w:val="nil"/>
              <w:right w:val="nil"/>
            </w:tcBorders>
            <w:shd w:val="clear" w:color="000000" w:fill="FFFFFF"/>
            <w:noWrap/>
            <w:hideMark/>
          </w:tcPr>
          <w:p w14:paraId="47D6FC2D"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2,108</w:t>
            </w:r>
          </w:p>
        </w:tc>
        <w:tc>
          <w:tcPr>
            <w:tcW w:w="328" w:type="pct"/>
            <w:tcBorders>
              <w:top w:val="nil"/>
              <w:left w:val="nil"/>
              <w:bottom w:val="nil"/>
              <w:right w:val="nil"/>
            </w:tcBorders>
            <w:shd w:val="clear" w:color="000000" w:fill="FFFFFF"/>
            <w:noWrap/>
            <w:hideMark/>
          </w:tcPr>
          <w:p w14:paraId="1D953713"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2,488</w:t>
            </w:r>
          </w:p>
        </w:tc>
        <w:tc>
          <w:tcPr>
            <w:tcW w:w="328" w:type="pct"/>
            <w:tcBorders>
              <w:top w:val="nil"/>
              <w:left w:val="nil"/>
              <w:bottom w:val="nil"/>
              <w:right w:val="nil"/>
            </w:tcBorders>
            <w:shd w:val="clear" w:color="000000" w:fill="FFFFFF"/>
            <w:noWrap/>
            <w:hideMark/>
          </w:tcPr>
          <w:p w14:paraId="006E8D87"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2,825</w:t>
            </w:r>
          </w:p>
        </w:tc>
        <w:tc>
          <w:tcPr>
            <w:tcW w:w="328" w:type="pct"/>
            <w:tcBorders>
              <w:top w:val="nil"/>
              <w:left w:val="nil"/>
              <w:bottom w:val="nil"/>
              <w:right w:val="nil"/>
            </w:tcBorders>
            <w:shd w:val="clear" w:color="000000" w:fill="FFFFFF"/>
            <w:noWrap/>
            <w:hideMark/>
          </w:tcPr>
          <w:p w14:paraId="2C381B4F"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3,116</w:t>
            </w:r>
          </w:p>
        </w:tc>
        <w:tc>
          <w:tcPr>
            <w:tcW w:w="328" w:type="pct"/>
            <w:tcBorders>
              <w:top w:val="nil"/>
              <w:left w:val="nil"/>
              <w:bottom w:val="nil"/>
              <w:right w:val="nil"/>
            </w:tcBorders>
            <w:shd w:val="clear" w:color="000000" w:fill="FFFFFF"/>
            <w:noWrap/>
            <w:hideMark/>
          </w:tcPr>
          <w:p w14:paraId="7F7C6011"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3,360</w:t>
            </w:r>
          </w:p>
        </w:tc>
        <w:tc>
          <w:tcPr>
            <w:tcW w:w="328" w:type="pct"/>
            <w:tcBorders>
              <w:top w:val="nil"/>
              <w:left w:val="nil"/>
              <w:bottom w:val="nil"/>
              <w:right w:val="single" w:sz="8" w:space="0" w:color="auto"/>
            </w:tcBorders>
            <w:shd w:val="clear" w:color="000000" w:fill="FFFFFF"/>
            <w:noWrap/>
            <w:hideMark/>
          </w:tcPr>
          <w:p w14:paraId="617E649F"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3,579</w:t>
            </w:r>
          </w:p>
        </w:tc>
      </w:tr>
      <w:tr w:rsidR="00D20A9E" w:rsidRPr="00B97758" w14:paraId="3A4414F2" w14:textId="77777777" w:rsidTr="000B0E01">
        <w:trPr>
          <w:trHeight w:val="288"/>
        </w:trPr>
        <w:tc>
          <w:tcPr>
            <w:tcW w:w="1394" w:type="pct"/>
            <w:tcBorders>
              <w:top w:val="nil"/>
              <w:left w:val="single" w:sz="8" w:space="0" w:color="auto"/>
              <w:bottom w:val="nil"/>
              <w:right w:val="single" w:sz="8" w:space="0" w:color="auto"/>
            </w:tcBorders>
            <w:shd w:val="clear" w:color="000000" w:fill="FFFFFF"/>
            <w:noWrap/>
            <w:hideMark/>
          </w:tcPr>
          <w:p w14:paraId="6403E249" w14:textId="77777777" w:rsidR="00D20A9E" w:rsidRPr="00B97758" w:rsidRDefault="00D20A9E" w:rsidP="00C166D7">
            <w:pPr>
              <w:spacing w:after="0"/>
              <w:ind w:left="0" w:firstLine="0"/>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 xml:space="preserve">-- </w:t>
            </w:r>
            <w:proofErr w:type="spellStart"/>
            <w:r w:rsidRPr="00B97758">
              <w:rPr>
                <w:rFonts w:ascii="Franklin Gothic Book" w:hAnsi="Franklin Gothic Book" w:cs="Calibri"/>
                <w:b/>
                <w:bCs/>
                <w:color w:val="000000"/>
                <w:sz w:val="12"/>
                <w:szCs w:val="12"/>
                <w:lang w:bidi="ar-SA"/>
              </w:rPr>
              <w:t>BtM</w:t>
            </w:r>
            <w:proofErr w:type="spellEnd"/>
            <w:r w:rsidRPr="00B97758">
              <w:rPr>
                <w:rFonts w:ascii="Franklin Gothic Book" w:hAnsi="Franklin Gothic Book" w:cs="Calibri"/>
                <w:b/>
                <w:bCs/>
                <w:color w:val="000000"/>
                <w:sz w:val="12"/>
                <w:szCs w:val="12"/>
                <w:lang w:bidi="ar-SA"/>
              </w:rPr>
              <w:t xml:space="preserve"> Solar PV</w:t>
            </w:r>
          </w:p>
        </w:tc>
        <w:tc>
          <w:tcPr>
            <w:tcW w:w="327" w:type="pct"/>
            <w:tcBorders>
              <w:top w:val="nil"/>
              <w:left w:val="nil"/>
              <w:bottom w:val="nil"/>
              <w:right w:val="nil"/>
            </w:tcBorders>
            <w:shd w:val="clear" w:color="000000" w:fill="FFFFFF"/>
            <w:noWrap/>
            <w:hideMark/>
          </w:tcPr>
          <w:p w14:paraId="040CE975"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555</w:t>
            </w:r>
          </w:p>
        </w:tc>
        <w:tc>
          <w:tcPr>
            <w:tcW w:w="327" w:type="pct"/>
            <w:tcBorders>
              <w:top w:val="nil"/>
              <w:left w:val="nil"/>
              <w:bottom w:val="nil"/>
              <w:right w:val="nil"/>
            </w:tcBorders>
            <w:shd w:val="clear" w:color="000000" w:fill="FFFFFF"/>
            <w:noWrap/>
            <w:hideMark/>
          </w:tcPr>
          <w:p w14:paraId="7E64E64C"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707</w:t>
            </w:r>
          </w:p>
        </w:tc>
        <w:tc>
          <w:tcPr>
            <w:tcW w:w="328" w:type="pct"/>
            <w:tcBorders>
              <w:top w:val="nil"/>
              <w:left w:val="nil"/>
              <w:bottom w:val="nil"/>
              <w:right w:val="nil"/>
            </w:tcBorders>
            <w:shd w:val="clear" w:color="000000" w:fill="FFFFFF"/>
            <w:noWrap/>
            <w:hideMark/>
          </w:tcPr>
          <w:p w14:paraId="7FE3E5AB"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841</w:t>
            </w:r>
          </w:p>
        </w:tc>
        <w:tc>
          <w:tcPr>
            <w:tcW w:w="328" w:type="pct"/>
            <w:tcBorders>
              <w:top w:val="nil"/>
              <w:left w:val="nil"/>
              <w:bottom w:val="nil"/>
              <w:right w:val="nil"/>
            </w:tcBorders>
            <w:shd w:val="clear" w:color="000000" w:fill="FFFFFF"/>
            <w:noWrap/>
            <w:hideMark/>
          </w:tcPr>
          <w:p w14:paraId="64EEDF42"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986</w:t>
            </w:r>
          </w:p>
        </w:tc>
        <w:tc>
          <w:tcPr>
            <w:tcW w:w="328" w:type="pct"/>
            <w:tcBorders>
              <w:top w:val="nil"/>
              <w:left w:val="nil"/>
              <w:bottom w:val="nil"/>
              <w:right w:val="nil"/>
            </w:tcBorders>
            <w:shd w:val="clear" w:color="000000" w:fill="FFFFFF"/>
            <w:noWrap/>
            <w:hideMark/>
          </w:tcPr>
          <w:p w14:paraId="3AF7D6D8"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1,102</w:t>
            </w:r>
          </w:p>
        </w:tc>
        <w:tc>
          <w:tcPr>
            <w:tcW w:w="328" w:type="pct"/>
            <w:tcBorders>
              <w:top w:val="nil"/>
              <w:left w:val="nil"/>
              <w:bottom w:val="nil"/>
              <w:right w:val="nil"/>
            </w:tcBorders>
            <w:shd w:val="clear" w:color="000000" w:fill="FFFFFF"/>
            <w:noWrap/>
            <w:hideMark/>
          </w:tcPr>
          <w:p w14:paraId="50F9FD93"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1,204</w:t>
            </w:r>
          </w:p>
        </w:tc>
        <w:tc>
          <w:tcPr>
            <w:tcW w:w="328" w:type="pct"/>
            <w:tcBorders>
              <w:top w:val="nil"/>
              <w:left w:val="nil"/>
              <w:bottom w:val="nil"/>
              <w:right w:val="nil"/>
            </w:tcBorders>
            <w:shd w:val="clear" w:color="000000" w:fill="FFFFFF"/>
            <w:noWrap/>
            <w:hideMark/>
          </w:tcPr>
          <w:p w14:paraId="2181D9D4"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1,287</w:t>
            </w:r>
          </w:p>
        </w:tc>
        <w:tc>
          <w:tcPr>
            <w:tcW w:w="328" w:type="pct"/>
            <w:tcBorders>
              <w:top w:val="nil"/>
              <w:left w:val="nil"/>
              <w:bottom w:val="nil"/>
              <w:right w:val="nil"/>
            </w:tcBorders>
            <w:shd w:val="clear" w:color="000000" w:fill="FFFFFF"/>
            <w:noWrap/>
            <w:hideMark/>
          </w:tcPr>
          <w:p w14:paraId="0D8E634D"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1,351</w:t>
            </w:r>
          </w:p>
        </w:tc>
        <w:tc>
          <w:tcPr>
            <w:tcW w:w="328" w:type="pct"/>
            <w:tcBorders>
              <w:top w:val="nil"/>
              <w:left w:val="nil"/>
              <w:bottom w:val="nil"/>
              <w:right w:val="nil"/>
            </w:tcBorders>
            <w:shd w:val="clear" w:color="000000" w:fill="FFFFFF"/>
            <w:noWrap/>
            <w:hideMark/>
          </w:tcPr>
          <w:p w14:paraId="2A8426D0"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1,392</w:t>
            </w:r>
          </w:p>
        </w:tc>
        <w:tc>
          <w:tcPr>
            <w:tcW w:w="328" w:type="pct"/>
            <w:tcBorders>
              <w:top w:val="nil"/>
              <w:left w:val="nil"/>
              <w:bottom w:val="nil"/>
              <w:right w:val="nil"/>
            </w:tcBorders>
            <w:shd w:val="clear" w:color="000000" w:fill="FFFFFF"/>
            <w:noWrap/>
            <w:hideMark/>
          </w:tcPr>
          <w:p w14:paraId="2AD1C8FD"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1,411</w:t>
            </w:r>
          </w:p>
        </w:tc>
        <w:tc>
          <w:tcPr>
            <w:tcW w:w="328" w:type="pct"/>
            <w:tcBorders>
              <w:top w:val="nil"/>
              <w:left w:val="nil"/>
              <w:bottom w:val="nil"/>
              <w:right w:val="single" w:sz="8" w:space="0" w:color="auto"/>
            </w:tcBorders>
            <w:shd w:val="clear" w:color="000000" w:fill="FFFFFF"/>
            <w:noWrap/>
            <w:hideMark/>
          </w:tcPr>
          <w:p w14:paraId="4D185A11"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1,411</w:t>
            </w:r>
          </w:p>
        </w:tc>
      </w:tr>
      <w:tr w:rsidR="00D20A9E" w:rsidRPr="00B97758" w14:paraId="15B82F84" w14:textId="77777777" w:rsidTr="000B0E01">
        <w:trPr>
          <w:trHeight w:val="288"/>
        </w:trPr>
        <w:tc>
          <w:tcPr>
            <w:tcW w:w="1394" w:type="pct"/>
            <w:tcBorders>
              <w:top w:val="nil"/>
              <w:left w:val="single" w:sz="8" w:space="0" w:color="auto"/>
              <w:bottom w:val="nil"/>
              <w:right w:val="single" w:sz="8" w:space="0" w:color="auto"/>
            </w:tcBorders>
            <w:shd w:val="clear" w:color="000000" w:fill="FFFFFF"/>
            <w:noWrap/>
            <w:hideMark/>
          </w:tcPr>
          <w:p w14:paraId="60E4486D" w14:textId="77777777" w:rsidR="00D20A9E" w:rsidRPr="00B97758" w:rsidRDefault="00D20A9E" w:rsidP="00C166D7">
            <w:pPr>
              <w:spacing w:after="0"/>
              <w:ind w:left="0" w:firstLine="0"/>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 xml:space="preserve">-- </w:t>
            </w:r>
            <w:proofErr w:type="spellStart"/>
            <w:r w:rsidRPr="00B97758">
              <w:rPr>
                <w:rFonts w:ascii="Franklin Gothic Book" w:hAnsi="Franklin Gothic Book" w:cs="Calibri"/>
                <w:b/>
                <w:bCs/>
                <w:color w:val="000000"/>
                <w:sz w:val="12"/>
                <w:szCs w:val="12"/>
                <w:lang w:bidi="ar-SA"/>
              </w:rPr>
              <w:t>BtM</w:t>
            </w:r>
            <w:proofErr w:type="spellEnd"/>
            <w:r w:rsidRPr="00B97758">
              <w:rPr>
                <w:rFonts w:ascii="Franklin Gothic Book" w:hAnsi="Franklin Gothic Book" w:cs="Calibri"/>
                <w:b/>
                <w:bCs/>
                <w:color w:val="000000"/>
                <w:sz w:val="12"/>
                <w:szCs w:val="12"/>
                <w:lang w:bidi="ar-SA"/>
              </w:rPr>
              <w:t xml:space="preserve"> Non-Solar Distributed Generation</w:t>
            </w:r>
          </w:p>
        </w:tc>
        <w:tc>
          <w:tcPr>
            <w:tcW w:w="327" w:type="pct"/>
            <w:tcBorders>
              <w:top w:val="nil"/>
              <w:left w:val="nil"/>
              <w:bottom w:val="nil"/>
              <w:right w:val="nil"/>
            </w:tcBorders>
            <w:shd w:val="clear" w:color="000000" w:fill="FFFFFF"/>
            <w:noWrap/>
            <w:hideMark/>
          </w:tcPr>
          <w:p w14:paraId="30BB6680"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218</w:t>
            </w:r>
          </w:p>
        </w:tc>
        <w:tc>
          <w:tcPr>
            <w:tcW w:w="327" w:type="pct"/>
            <w:tcBorders>
              <w:top w:val="nil"/>
              <w:left w:val="nil"/>
              <w:bottom w:val="nil"/>
              <w:right w:val="nil"/>
            </w:tcBorders>
            <w:shd w:val="clear" w:color="000000" w:fill="FFFFFF"/>
            <w:noWrap/>
            <w:hideMark/>
          </w:tcPr>
          <w:p w14:paraId="2057FB5E"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251</w:t>
            </w:r>
          </w:p>
        </w:tc>
        <w:tc>
          <w:tcPr>
            <w:tcW w:w="328" w:type="pct"/>
            <w:tcBorders>
              <w:top w:val="nil"/>
              <w:left w:val="nil"/>
              <w:bottom w:val="nil"/>
              <w:right w:val="nil"/>
            </w:tcBorders>
            <w:shd w:val="clear" w:color="000000" w:fill="FFFFFF"/>
            <w:noWrap/>
            <w:hideMark/>
          </w:tcPr>
          <w:p w14:paraId="6A5307D5"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189</w:t>
            </w:r>
          </w:p>
        </w:tc>
        <w:tc>
          <w:tcPr>
            <w:tcW w:w="328" w:type="pct"/>
            <w:tcBorders>
              <w:top w:val="nil"/>
              <w:left w:val="nil"/>
              <w:bottom w:val="nil"/>
              <w:right w:val="nil"/>
            </w:tcBorders>
            <w:shd w:val="clear" w:color="000000" w:fill="FFFFFF"/>
            <w:noWrap/>
            <w:hideMark/>
          </w:tcPr>
          <w:p w14:paraId="0E60698C"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169</w:t>
            </w:r>
          </w:p>
        </w:tc>
        <w:tc>
          <w:tcPr>
            <w:tcW w:w="328" w:type="pct"/>
            <w:tcBorders>
              <w:top w:val="nil"/>
              <w:left w:val="nil"/>
              <w:bottom w:val="nil"/>
              <w:right w:val="nil"/>
            </w:tcBorders>
            <w:shd w:val="clear" w:color="000000" w:fill="FFFFFF"/>
            <w:noWrap/>
            <w:hideMark/>
          </w:tcPr>
          <w:p w14:paraId="23BDDA4E"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148</w:t>
            </w:r>
          </w:p>
        </w:tc>
        <w:tc>
          <w:tcPr>
            <w:tcW w:w="328" w:type="pct"/>
            <w:tcBorders>
              <w:top w:val="nil"/>
              <w:left w:val="nil"/>
              <w:bottom w:val="nil"/>
              <w:right w:val="nil"/>
            </w:tcBorders>
            <w:shd w:val="clear" w:color="000000" w:fill="FFFFFF"/>
            <w:noWrap/>
            <w:hideMark/>
          </w:tcPr>
          <w:p w14:paraId="456CAFE3"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154</w:t>
            </w:r>
          </w:p>
        </w:tc>
        <w:tc>
          <w:tcPr>
            <w:tcW w:w="328" w:type="pct"/>
            <w:tcBorders>
              <w:top w:val="nil"/>
              <w:left w:val="nil"/>
              <w:bottom w:val="nil"/>
              <w:right w:val="nil"/>
            </w:tcBorders>
            <w:shd w:val="clear" w:color="000000" w:fill="FFFFFF"/>
            <w:noWrap/>
            <w:hideMark/>
          </w:tcPr>
          <w:p w14:paraId="75A4713A"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158</w:t>
            </w:r>
          </w:p>
        </w:tc>
        <w:tc>
          <w:tcPr>
            <w:tcW w:w="328" w:type="pct"/>
            <w:tcBorders>
              <w:top w:val="nil"/>
              <w:left w:val="nil"/>
              <w:bottom w:val="nil"/>
              <w:right w:val="nil"/>
            </w:tcBorders>
            <w:shd w:val="clear" w:color="000000" w:fill="FFFFFF"/>
            <w:noWrap/>
            <w:hideMark/>
          </w:tcPr>
          <w:p w14:paraId="4098AF23"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164</w:t>
            </w:r>
          </w:p>
        </w:tc>
        <w:tc>
          <w:tcPr>
            <w:tcW w:w="328" w:type="pct"/>
            <w:tcBorders>
              <w:top w:val="nil"/>
              <w:left w:val="nil"/>
              <w:bottom w:val="nil"/>
              <w:right w:val="nil"/>
            </w:tcBorders>
            <w:shd w:val="clear" w:color="000000" w:fill="FFFFFF"/>
            <w:noWrap/>
            <w:hideMark/>
          </w:tcPr>
          <w:p w14:paraId="3C83AF4D"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170</w:t>
            </w:r>
          </w:p>
        </w:tc>
        <w:tc>
          <w:tcPr>
            <w:tcW w:w="328" w:type="pct"/>
            <w:tcBorders>
              <w:top w:val="nil"/>
              <w:left w:val="nil"/>
              <w:bottom w:val="nil"/>
              <w:right w:val="nil"/>
            </w:tcBorders>
            <w:shd w:val="clear" w:color="000000" w:fill="FFFFFF"/>
            <w:noWrap/>
            <w:hideMark/>
          </w:tcPr>
          <w:p w14:paraId="22E8F1CB"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174</w:t>
            </w:r>
          </w:p>
        </w:tc>
        <w:tc>
          <w:tcPr>
            <w:tcW w:w="328" w:type="pct"/>
            <w:tcBorders>
              <w:top w:val="nil"/>
              <w:left w:val="nil"/>
              <w:bottom w:val="nil"/>
              <w:right w:val="single" w:sz="8" w:space="0" w:color="auto"/>
            </w:tcBorders>
            <w:shd w:val="clear" w:color="000000" w:fill="FFFFFF"/>
            <w:noWrap/>
            <w:hideMark/>
          </w:tcPr>
          <w:p w14:paraId="5D90C3E6"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177</w:t>
            </w:r>
          </w:p>
        </w:tc>
      </w:tr>
      <w:tr w:rsidR="00D20A9E" w:rsidRPr="00B97758" w14:paraId="63B71309" w14:textId="77777777" w:rsidTr="000B0E01">
        <w:trPr>
          <w:trHeight w:val="288"/>
        </w:trPr>
        <w:tc>
          <w:tcPr>
            <w:tcW w:w="1394" w:type="pct"/>
            <w:tcBorders>
              <w:top w:val="nil"/>
              <w:left w:val="single" w:sz="8" w:space="0" w:color="auto"/>
              <w:bottom w:val="nil"/>
              <w:right w:val="single" w:sz="8" w:space="0" w:color="auto"/>
            </w:tcBorders>
            <w:shd w:val="clear" w:color="000000" w:fill="FFFFFF"/>
            <w:noWrap/>
            <w:hideMark/>
          </w:tcPr>
          <w:p w14:paraId="56039014" w14:textId="77777777" w:rsidR="00D20A9E" w:rsidRPr="00B97758" w:rsidRDefault="00D20A9E" w:rsidP="00C166D7">
            <w:pPr>
              <w:spacing w:after="0"/>
              <w:ind w:left="0" w:firstLine="0"/>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 xml:space="preserve">-- </w:t>
            </w:r>
            <w:proofErr w:type="spellStart"/>
            <w:r w:rsidRPr="00B97758">
              <w:rPr>
                <w:rFonts w:ascii="Franklin Gothic Book" w:hAnsi="Franklin Gothic Book" w:cs="Calibri"/>
                <w:b/>
                <w:bCs/>
                <w:color w:val="000000"/>
                <w:sz w:val="12"/>
                <w:szCs w:val="12"/>
                <w:lang w:bidi="ar-SA"/>
              </w:rPr>
              <w:t>BtM</w:t>
            </w:r>
            <w:proofErr w:type="spellEnd"/>
            <w:r w:rsidRPr="00B97758">
              <w:rPr>
                <w:rFonts w:ascii="Franklin Gothic Book" w:hAnsi="Franklin Gothic Book" w:cs="Calibri"/>
                <w:b/>
                <w:bCs/>
                <w:color w:val="000000"/>
                <w:sz w:val="12"/>
                <w:szCs w:val="12"/>
                <w:lang w:bidi="ar-SA"/>
              </w:rPr>
              <w:t xml:space="preserve"> Storage Peak Reductions</w:t>
            </w:r>
          </w:p>
        </w:tc>
        <w:tc>
          <w:tcPr>
            <w:tcW w:w="327" w:type="pct"/>
            <w:tcBorders>
              <w:top w:val="nil"/>
              <w:left w:val="nil"/>
              <w:bottom w:val="nil"/>
              <w:right w:val="nil"/>
            </w:tcBorders>
            <w:shd w:val="clear" w:color="000000" w:fill="FFFFFF"/>
            <w:noWrap/>
            <w:hideMark/>
          </w:tcPr>
          <w:p w14:paraId="61BB20C9"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5</w:t>
            </w:r>
          </w:p>
        </w:tc>
        <w:tc>
          <w:tcPr>
            <w:tcW w:w="327" w:type="pct"/>
            <w:tcBorders>
              <w:top w:val="nil"/>
              <w:left w:val="nil"/>
              <w:bottom w:val="nil"/>
              <w:right w:val="nil"/>
            </w:tcBorders>
            <w:shd w:val="clear" w:color="000000" w:fill="FFFFFF"/>
            <w:noWrap/>
            <w:hideMark/>
          </w:tcPr>
          <w:p w14:paraId="62E5B0D5"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14</w:t>
            </w:r>
          </w:p>
        </w:tc>
        <w:tc>
          <w:tcPr>
            <w:tcW w:w="328" w:type="pct"/>
            <w:tcBorders>
              <w:top w:val="nil"/>
              <w:left w:val="nil"/>
              <w:bottom w:val="nil"/>
              <w:right w:val="nil"/>
            </w:tcBorders>
            <w:shd w:val="clear" w:color="000000" w:fill="FFFFFF"/>
            <w:noWrap/>
            <w:hideMark/>
          </w:tcPr>
          <w:p w14:paraId="20BDD836"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26</w:t>
            </w:r>
          </w:p>
        </w:tc>
        <w:tc>
          <w:tcPr>
            <w:tcW w:w="328" w:type="pct"/>
            <w:tcBorders>
              <w:top w:val="nil"/>
              <w:left w:val="nil"/>
              <w:bottom w:val="nil"/>
              <w:right w:val="nil"/>
            </w:tcBorders>
            <w:shd w:val="clear" w:color="000000" w:fill="FFFFFF"/>
            <w:noWrap/>
            <w:hideMark/>
          </w:tcPr>
          <w:p w14:paraId="2E1C5A9F"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44</w:t>
            </w:r>
          </w:p>
        </w:tc>
        <w:tc>
          <w:tcPr>
            <w:tcW w:w="328" w:type="pct"/>
            <w:tcBorders>
              <w:top w:val="nil"/>
              <w:left w:val="nil"/>
              <w:bottom w:val="nil"/>
              <w:right w:val="nil"/>
            </w:tcBorders>
            <w:shd w:val="clear" w:color="000000" w:fill="FFFFFF"/>
            <w:noWrap/>
            <w:hideMark/>
          </w:tcPr>
          <w:p w14:paraId="10CD58C9"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63</w:t>
            </w:r>
          </w:p>
        </w:tc>
        <w:tc>
          <w:tcPr>
            <w:tcW w:w="328" w:type="pct"/>
            <w:tcBorders>
              <w:top w:val="nil"/>
              <w:left w:val="nil"/>
              <w:bottom w:val="nil"/>
              <w:right w:val="nil"/>
            </w:tcBorders>
            <w:shd w:val="clear" w:color="000000" w:fill="FFFFFF"/>
            <w:noWrap/>
            <w:hideMark/>
          </w:tcPr>
          <w:p w14:paraId="30D3D463"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91</w:t>
            </w:r>
          </w:p>
        </w:tc>
        <w:tc>
          <w:tcPr>
            <w:tcW w:w="328" w:type="pct"/>
            <w:tcBorders>
              <w:top w:val="nil"/>
              <w:left w:val="nil"/>
              <w:bottom w:val="nil"/>
              <w:right w:val="nil"/>
            </w:tcBorders>
            <w:shd w:val="clear" w:color="000000" w:fill="FFFFFF"/>
            <w:noWrap/>
            <w:hideMark/>
          </w:tcPr>
          <w:p w14:paraId="4987AABD"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125</w:t>
            </w:r>
          </w:p>
        </w:tc>
        <w:tc>
          <w:tcPr>
            <w:tcW w:w="328" w:type="pct"/>
            <w:tcBorders>
              <w:top w:val="nil"/>
              <w:left w:val="nil"/>
              <w:bottom w:val="nil"/>
              <w:right w:val="nil"/>
            </w:tcBorders>
            <w:shd w:val="clear" w:color="000000" w:fill="FFFFFF"/>
            <w:noWrap/>
            <w:hideMark/>
          </w:tcPr>
          <w:p w14:paraId="74ADE727"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159</w:t>
            </w:r>
          </w:p>
        </w:tc>
        <w:tc>
          <w:tcPr>
            <w:tcW w:w="328" w:type="pct"/>
            <w:tcBorders>
              <w:top w:val="nil"/>
              <w:left w:val="nil"/>
              <w:bottom w:val="nil"/>
              <w:right w:val="nil"/>
            </w:tcBorders>
            <w:shd w:val="clear" w:color="000000" w:fill="FFFFFF"/>
            <w:noWrap/>
            <w:hideMark/>
          </w:tcPr>
          <w:p w14:paraId="4E89C2D8"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206</w:t>
            </w:r>
          </w:p>
        </w:tc>
        <w:tc>
          <w:tcPr>
            <w:tcW w:w="328" w:type="pct"/>
            <w:tcBorders>
              <w:top w:val="nil"/>
              <w:left w:val="nil"/>
              <w:bottom w:val="nil"/>
              <w:right w:val="nil"/>
            </w:tcBorders>
            <w:shd w:val="clear" w:color="000000" w:fill="FFFFFF"/>
            <w:noWrap/>
            <w:hideMark/>
          </w:tcPr>
          <w:p w14:paraId="1604C617"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250</w:t>
            </w:r>
          </w:p>
        </w:tc>
        <w:tc>
          <w:tcPr>
            <w:tcW w:w="328" w:type="pct"/>
            <w:tcBorders>
              <w:top w:val="nil"/>
              <w:left w:val="nil"/>
              <w:bottom w:val="nil"/>
              <w:right w:val="single" w:sz="8" w:space="0" w:color="auto"/>
            </w:tcBorders>
            <w:shd w:val="clear" w:color="000000" w:fill="FFFFFF"/>
            <w:noWrap/>
            <w:hideMark/>
          </w:tcPr>
          <w:p w14:paraId="5030303A"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292</w:t>
            </w:r>
          </w:p>
        </w:tc>
      </w:tr>
      <w:tr w:rsidR="00D20A9E" w:rsidRPr="00B97758" w14:paraId="69262432" w14:textId="77777777" w:rsidTr="000B0E01">
        <w:trPr>
          <w:trHeight w:val="288"/>
        </w:trPr>
        <w:tc>
          <w:tcPr>
            <w:tcW w:w="1394" w:type="pct"/>
            <w:tcBorders>
              <w:top w:val="nil"/>
              <w:left w:val="single" w:sz="8" w:space="0" w:color="auto"/>
              <w:bottom w:val="nil"/>
              <w:right w:val="single" w:sz="8" w:space="0" w:color="auto"/>
            </w:tcBorders>
            <w:shd w:val="clear" w:color="000000" w:fill="FFFFFF"/>
            <w:noWrap/>
            <w:hideMark/>
          </w:tcPr>
          <w:p w14:paraId="016224AD" w14:textId="77777777" w:rsidR="00D20A9E" w:rsidRPr="00B97758" w:rsidRDefault="00D20A9E" w:rsidP="00C166D7">
            <w:pPr>
              <w:spacing w:after="0"/>
              <w:ind w:left="0" w:firstLine="0"/>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 Electric Vehicle Peak Demand</w:t>
            </w:r>
          </w:p>
        </w:tc>
        <w:tc>
          <w:tcPr>
            <w:tcW w:w="327" w:type="pct"/>
            <w:tcBorders>
              <w:top w:val="nil"/>
              <w:left w:val="nil"/>
              <w:bottom w:val="nil"/>
              <w:right w:val="nil"/>
            </w:tcBorders>
            <w:shd w:val="clear" w:color="000000" w:fill="FFFFFF"/>
            <w:noWrap/>
            <w:hideMark/>
          </w:tcPr>
          <w:p w14:paraId="2D25C39C"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40</w:t>
            </w:r>
          </w:p>
        </w:tc>
        <w:tc>
          <w:tcPr>
            <w:tcW w:w="327" w:type="pct"/>
            <w:tcBorders>
              <w:top w:val="nil"/>
              <w:left w:val="nil"/>
              <w:bottom w:val="nil"/>
              <w:right w:val="nil"/>
            </w:tcBorders>
            <w:shd w:val="clear" w:color="000000" w:fill="FFFFFF"/>
            <w:noWrap/>
            <w:hideMark/>
          </w:tcPr>
          <w:p w14:paraId="1CCE0B72"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68</w:t>
            </w:r>
          </w:p>
        </w:tc>
        <w:tc>
          <w:tcPr>
            <w:tcW w:w="328" w:type="pct"/>
            <w:tcBorders>
              <w:top w:val="nil"/>
              <w:left w:val="nil"/>
              <w:bottom w:val="nil"/>
              <w:right w:val="nil"/>
            </w:tcBorders>
            <w:shd w:val="clear" w:color="000000" w:fill="FFFFFF"/>
            <w:noWrap/>
            <w:hideMark/>
          </w:tcPr>
          <w:p w14:paraId="2799D63E"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103</w:t>
            </w:r>
          </w:p>
        </w:tc>
        <w:tc>
          <w:tcPr>
            <w:tcW w:w="328" w:type="pct"/>
            <w:tcBorders>
              <w:top w:val="nil"/>
              <w:left w:val="nil"/>
              <w:bottom w:val="nil"/>
              <w:right w:val="nil"/>
            </w:tcBorders>
            <w:shd w:val="clear" w:color="000000" w:fill="FFFFFF"/>
            <w:noWrap/>
            <w:hideMark/>
          </w:tcPr>
          <w:p w14:paraId="53BCBEBC"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147</w:t>
            </w:r>
          </w:p>
        </w:tc>
        <w:tc>
          <w:tcPr>
            <w:tcW w:w="328" w:type="pct"/>
            <w:tcBorders>
              <w:top w:val="nil"/>
              <w:left w:val="nil"/>
              <w:bottom w:val="nil"/>
              <w:right w:val="nil"/>
            </w:tcBorders>
            <w:shd w:val="clear" w:color="000000" w:fill="FFFFFF"/>
            <w:noWrap/>
            <w:hideMark/>
          </w:tcPr>
          <w:p w14:paraId="0AEE08F4"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201</w:t>
            </w:r>
          </w:p>
        </w:tc>
        <w:tc>
          <w:tcPr>
            <w:tcW w:w="328" w:type="pct"/>
            <w:tcBorders>
              <w:top w:val="nil"/>
              <w:left w:val="nil"/>
              <w:bottom w:val="nil"/>
              <w:right w:val="nil"/>
            </w:tcBorders>
            <w:shd w:val="clear" w:color="000000" w:fill="FFFFFF"/>
            <w:noWrap/>
            <w:hideMark/>
          </w:tcPr>
          <w:p w14:paraId="68DA41EB"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261</w:t>
            </w:r>
          </w:p>
        </w:tc>
        <w:tc>
          <w:tcPr>
            <w:tcW w:w="328" w:type="pct"/>
            <w:tcBorders>
              <w:top w:val="nil"/>
              <w:left w:val="nil"/>
              <w:bottom w:val="nil"/>
              <w:right w:val="nil"/>
            </w:tcBorders>
            <w:shd w:val="clear" w:color="000000" w:fill="FFFFFF"/>
            <w:noWrap/>
            <w:hideMark/>
          </w:tcPr>
          <w:p w14:paraId="181FC6F0"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333</w:t>
            </w:r>
          </w:p>
        </w:tc>
        <w:tc>
          <w:tcPr>
            <w:tcW w:w="328" w:type="pct"/>
            <w:tcBorders>
              <w:top w:val="nil"/>
              <w:left w:val="nil"/>
              <w:bottom w:val="nil"/>
              <w:right w:val="nil"/>
            </w:tcBorders>
            <w:shd w:val="clear" w:color="000000" w:fill="FFFFFF"/>
            <w:noWrap/>
            <w:hideMark/>
          </w:tcPr>
          <w:p w14:paraId="161FB49D"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418</w:t>
            </w:r>
          </w:p>
        </w:tc>
        <w:tc>
          <w:tcPr>
            <w:tcW w:w="328" w:type="pct"/>
            <w:tcBorders>
              <w:top w:val="nil"/>
              <w:left w:val="nil"/>
              <w:bottom w:val="nil"/>
              <w:right w:val="nil"/>
            </w:tcBorders>
            <w:shd w:val="clear" w:color="000000" w:fill="FFFFFF"/>
            <w:noWrap/>
            <w:hideMark/>
          </w:tcPr>
          <w:p w14:paraId="5960B331"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513</w:t>
            </w:r>
          </w:p>
        </w:tc>
        <w:tc>
          <w:tcPr>
            <w:tcW w:w="328" w:type="pct"/>
            <w:tcBorders>
              <w:top w:val="nil"/>
              <w:left w:val="nil"/>
              <w:bottom w:val="nil"/>
              <w:right w:val="nil"/>
            </w:tcBorders>
            <w:shd w:val="clear" w:color="000000" w:fill="FFFFFF"/>
            <w:noWrap/>
            <w:hideMark/>
          </w:tcPr>
          <w:p w14:paraId="6DC73591"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625</w:t>
            </w:r>
          </w:p>
        </w:tc>
        <w:tc>
          <w:tcPr>
            <w:tcW w:w="328" w:type="pct"/>
            <w:tcBorders>
              <w:top w:val="nil"/>
              <w:left w:val="nil"/>
              <w:bottom w:val="nil"/>
              <w:right w:val="single" w:sz="8" w:space="0" w:color="auto"/>
            </w:tcBorders>
            <w:shd w:val="clear" w:color="000000" w:fill="FFFFFF"/>
            <w:noWrap/>
            <w:hideMark/>
          </w:tcPr>
          <w:p w14:paraId="0E5EE28E"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748</w:t>
            </w:r>
          </w:p>
        </w:tc>
      </w:tr>
      <w:tr w:rsidR="00D20A9E" w:rsidRPr="00B97758" w14:paraId="6BB67F32" w14:textId="77777777" w:rsidTr="000B0E01">
        <w:trPr>
          <w:trHeight w:val="300"/>
        </w:trPr>
        <w:tc>
          <w:tcPr>
            <w:tcW w:w="1394" w:type="pct"/>
            <w:tcBorders>
              <w:top w:val="nil"/>
              <w:left w:val="single" w:sz="8" w:space="0" w:color="auto"/>
              <w:bottom w:val="nil"/>
              <w:right w:val="single" w:sz="8" w:space="0" w:color="auto"/>
            </w:tcBorders>
            <w:shd w:val="clear" w:color="000000" w:fill="FFFFFF"/>
            <w:noWrap/>
            <w:hideMark/>
          </w:tcPr>
          <w:p w14:paraId="77477E5C" w14:textId="77777777" w:rsidR="00D20A9E" w:rsidRPr="00B97758" w:rsidRDefault="00D20A9E" w:rsidP="00C166D7">
            <w:pPr>
              <w:spacing w:after="0"/>
              <w:ind w:left="0" w:firstLine="0"/>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 Non-EV Electrification</w:t>
            </w:r>
          </w:p>
        </w:tc>
        <w:tc>
          <w:tcPr>
            <w:tcW w:w="327" w:type="pct"/>
            <w:tcBorders>
              <w:top w:val="nil"/>
              <w:left w:val="nil"/>
              <w:bottom w:val="nil"/>
              <w:right w:val="nil"/>
            </w:tcBorders>
            <w:shd w:val="clear" w:color="000000" w:fill="FFFFFF"/>
            <w:noWrap/>
            <w:hideMark/>
          </w:tcPr>
          <w:p w14:paraId="0CC7745B"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11</w:t>
            </w:r>
          </w:p>
        </w:tc>
        <w:tc>
          <w:tcPr>
            <w:tcW w:w="327" w:type="pct"/>
            <w:tcBorders>
              <w:top w:val="nil"/>
              <w:left w:val="nil"/>
              <w:bottom w:val="nil"/>
              <w:right w:val="nil"/>
            </w:tcBorders>
            <w:shd w:val="clear" w:color="000000" w:fill="FFFFFF"/>
            <w:noWrap/>
            <w:hideMark/>
          </w:tcPr>
          <w:p w14:paraId="5AC76DF2"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25</w:t>
            </w:r>
          </w:p>
        </w:tc>
        <w:tc>
          <w:tcPr>
            <w:tcW w:w="328" w:type="pct"/>
            <w:tcBorders>
              <w:top w:val="nil"/>
              <w:left w:val="nil"/>
              <w:bottom w:val="nil"/>
              <w:right w:val="nil"/>
            </w:tcBorders>
            <w:shd w:val="clear" w:color="000000" w:fill="FFFFFF"/>
            <w:noWrap/>
            <w:hideMark/>
          </w:tcPr>
          <w:p w14:paraId="2FD1C12B"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46</w:t>
            </w:r>
          </w:p>
        </w:tc>
        <w:tc>
          <w:tcPr>
            <w:tcW w:w="328" w:type="pct"/>
            <w:tcBorders>
              <w:top w:val="nil"/>
              <w:left w:val="nil"/>
              <w:bottom w:val="nil"/>
              <w:right w:val="nil"/>
            </w:tcBorders>
            <w:shd w:val="clear" w:color="000000" w:fill="FFFFFF"/>
            <w:noWrap/>
            <w:hideMark/>
          </w:tcPr>
          <w:p w14:paraId="1CEC69D0"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72</w:t>
            </w:r>
          </w:p>
        </w:tc>
        <w:tc>
          <w:tcPr>
            <w:tcW w:w="328" w:type="pct"/>
            <w:tcBorders>
              <w:top w:val="nil"/>
              <w:left w:val="nil"/>
              <w:bottom w:val="nil"/>
              <w:right w:val="nil"/>
            </w:tcBorders>
            <w:shd w:val="clear" w:color="000000" w:fill="FFFFFF"/>
            <w:noWrap/>
            <w:hideMark/>
          </w:tcPr>
          <w:p w14:paraId="34A40636"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104</w:t>
            </w:r>
          </w:p>
        </w:tc>
        <w:tc>
          <w:tcPr>
            <w:tcW w:w="328" w:type="pct"/>
            <w:tcBorders>
              <w:top w:val="nil"/>
              <w:left w:val="nil"/>
              <w:bottom w:val="nil"/>
              <w:right w:val="nil"/>
            </w:tcBorders>
            <w:shd w:val="clear" w:color="000000" w:fill="FFFFFF"/>
            <w:noWrap/>
            <w:hideMark/>
          </w:tcPr>
          <w:p w14:paraId="138F218F"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146</w:t>
            </w:r>
          </w:p>
        </w:tc>
        <w:tc>
          <w:tcPr>
            <w:tcW w:w="328" w:type="pct"/>
            <w:tcBorders>
              <w:top w:val="nil"/>
              <w:left w:val="nil"/>
              <w:bottom w:val="nil"/>
              <w:right w:val="nil"/>
            </w:tcBorders>
            <w:shd w:val="clear" w:color="000000" w:fill="FFFFFF"/>
            <w:noWrap/>
            <w:hideMark/>
          </w:tcPr>
          <w:p w14:paraId="7507198D"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187</w:t>
            </w:r>
          </w:p>
        </w:tc>
        <w:tc>
          <w:tcPr>
            <w:tcW w:w="328" w:type="pct"/>
            <w:tcBorders>
              <w:top w:val="nil"/>
              <w:left w:val="nil"/>
              <w:bottom w:val="nil"/>
              <w:right w:val="nil"/>
            </w:tcBorders>
            <w:shd w:val="clear" w:color="000000" w:fill="FFFFFF"/>
            <w:noWrap/>
            <w:hideMark/>
          </w:tcPr>
          <w:p w14:paraId="2C6C35AD"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230</w:t>
            </w:r>
          </w:p>
        </w:tc>
        <w:tc>
          <w:tcPr>
            <w:tcW w:w="328" w:type="pct"/>
            <w:tcBorders>
              <w:top w:val="nil"/>
              <w:left w:val="nil"/>
              <w:bottom w:val="nil"/>
              <w:right w:val="nil"/>
            </w:tcBorders>
            <w:shd w:val="clear" w:color="000000" w:fill="FFFFFF"/>
            <w:noWrap/>
            <w:hideMark/>
          </w:tcPr>
          <w:p w14:paraId="4E5406A3"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279</w:t>
            </w:r>
          </w:p>
        </w:tc>
        <w:tc>
          <w:tcPr>
            <w:tcW w:w="328" w:type="pct"/>
            <w:tcBorders>
              <w:top w:val="nil"/>
              <w:left w:val="nil"/>
              <w:bottom w:val="nil"/>
              <w:right w:val="nil"/>
            </w:tcBorders>
            <w:shd w:val="clear" w:color="000000" w:fill="FFFFFF"/>
            <w:noWrap/>
            <w:hideMark/>
          </w:tcPr>
          <w:p w14:paraId="088F7E6C"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327</w:t>
            </w:r>
          </w:p>
        </w:tc>
        <w:tc>
          <w:tcPr>
            <w:tcW w:w="328" w:type="pct"/>
            <w:tcBorders>
              <w:top w:val="nil"/>
              <w:left w:val="nil"/>
              <w:bottom w:val="nil"/>
              <w:right w:val="single" w:sz="8" w:space="0" w:color="auto"/>
            </w:tcBorders>
            <w:shd w:val="clear" w:color="000000" w:fill="FFFFFF"/>
            <w:noWrap/>
            <w:hideMark/>
          </w:tcPr>
          <w:p w14:paraId="03F1BB99"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379</w:t>
            </w:r>
          </w:p>
        </w:tc>
      </w:tr>
      <w:tr w:rsidR="00D20A9E" w:rsidRPr="00B97758" w14:paraId="2FC9A729" w14:textId="77777777" w:rsidTr="000B0E01">
        <w:trPr>
          <w:trHeight w:val="336"/>
        </w:trPr>
        <w:tc>
          <w:tcPr>
            <w:tcW w:w="1394" w:type="pct"/>
            <w:tcBorders>
              <w:top w:val="single" w:sz="8" w:space="0" w:color="auto"/>
              <w:left w:val="single" w:sz="8" w:space="0" w:color="auto"/>
              <w:bottom w:val="nil"/>
              <w:right w:val="nil"/>
            </w:tcBorders>
            <w:shd w:val="clear" w:color="000000" w:fill="FFFFFF"/>
            <w:noWrap/>
            <w:hideMark/>
          </w:tcPr>
          <w:p w14:paraId="533A9E38" w14:textId="77777777" w:rsidR="00D20A9E" w:rsidRPr="00B97758" w:rsidRDefault="00D20A9E" w:rsidP="00C166D7">
            <w:pPr>
              <w:spacing w:after="0"/>
              <w:ind w:left="0" w:firstLine="0"/>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November 2020 Baseline Forecast</w:t>
            </w:r>
            <w:r w:rsidRPr="00B97758">
              <w:rPr>
                <w:rFonts w:ascii="Franklin Gothic Book" w:hAnsi="Franklin Gothic Book" w:cs="Calibri"/>
                <w:b/>
                <w:bCs/>
                <w:color w:val="000000"/>
                <w:sz w:val="12"/>
                <w:szCs w:val="12"/>
                <w:vertAlign w:val="superscript"/>
                <w:lang w:bidi="ar-SA"/>
              </w:rPr>
              <w:t xml:space="preserve">2 </w:t>
            </w:r>
            <w:r w:rsidRPr="00B97758">
              <w:rPr>
                <w:rFonts w:ascii="Franklin Gothic Book" w:hAnsi="Franklin Gothic Book" w:cs="Calibri"/>
                <w:b/>
                <w:bCs/>
                <w:color w:val="000000"/>
                <w:sz w:val="12"/>
                <w:szCs w:val="12"/>
                <w:lang w:bidi="ar-SA"/>
              </w:rPr>
              <w:t>Update</w:t>
            </w:r>
          </w:p>
        </w:tc>
        <w:tc>
          <w:tcPr>
            <w:tcW w:w="327" w:type="pct"/>
            <w:tcBorders>
              <w:top w:val="single" w:sz="8" w:space="0" w:color="auto"/>
              <w:left w:val="single" w:sz="8" w:space="0" w:color="auto"/>
              <w:bottom w:val="nil"/>
              <w:right w:val="nil"/>
            </w:tcBorders>
            <w:shd w:val="clear" w:color="000000" w:fill="FFFFFF"/>
            <w:noWrap/>
            <w:hideMark/>
          </w:tcPr>
          <w:p w14:paraId="0AD4AA55"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32,296</w:t>
            </w:r>
          </w:p>
        </w:tc>
        <w:tc>
          <w:tcPr>
            <w:tcW w:w="327" w:type="pct"/>
            <w:tcBorders>
              <w:top w:val="single" w:sz="8" w:space="0" w:color="auto"/>
              <w:left w:val="nil"/>
              <w:bottom w:val="nil"/>
              <w:right w:val="nil"/>
            </w:tcBorders>
            <w:shd w:val="clear" w:color="000000" w:fill="FFFFFF"/>
            <w:noWrap/>
            <w:hideMark/>
          </w:tcPr>
          <w:p w14:paraId="1B972625"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32,145</w:t>
            </w:r>
          </w:p>
        </w:tc>
        <w:tc>
          <w:tcPr>
            <w:tcW w:w="328" w:type="pct"/>
            <w:tcBorders>
              <w:top w:val="single" w:sz="8" w:space="0" w:color="auto"/>
              <w:left w:val="nil"/>
              <w:bottom w:val="nil"/>
              <w:right w:val="nil"/>
            </w:tcBorders>
            <w:shd w:val="clear" w:color="000000" w:fill="FFFFFF"/>
            <w:noWrap/>
            <w:hideMark/>
          </w:tcPr>
          <w:p w14:paraId="109F13D0"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32,112</w:t>
            </w:r>
          </w:p>
        </w:tc>
        <w:tc>
          <w:tcPr>
            <w:tcW w:w="328" w:type="pct"/>
            <w:tcBorders>
              <w:top w:val="single" w:sz="8" w:space="0" w:color="auto"/>
              <w:left w:val="nil"/>
              <w:bottom w:val="nil"/>
              <w:right w:val="nil"/>
            </w:tcBorders>
            <w:shd w:val="clear" w:color="000000" w:fill="FFFFFF"/>
            <w:noWrap/>
            <w:hideMark/>
          </w:tcPr>
          <w:p w14:paraId="41C7D925"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31,867</w:t>
            </w:r>
          </w:p>
        </w:tc>
        <w:tc>
          <w:tcPr>
            <w:tcW w:w="328" w:type="pct"/>
            <w:tcBorders>
              <w:top w:val="single" w:sz="8" w:space="0" w:color="auto"/>
              <w:left w:val="nil"/>
              <w:bottom w:val="nil"/>
              <w:right w:val="nil"/>
            </w:tcBorders>
            <w:shd w:val="clear" w:color="000000" w:fill="FFFFFF"/>
            <w:noWrap/>
            <w:hideMark/>
          </w:tcPr>
          <w:p w14:paraId="2AE23E54"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31,629</w:t>
            </w:r>
          </w:p>
        </w:tc>
        <w:tc>
          <w:tcPr>
            <w:tcW w:w="328" w:type="pct"/>
            <w:tcBorders>
              <w:top w:val="single" w:sz="8" w:space="0" w:color="auto"/>
              <w:left w:val="nil"/>
              <w:bottom w:val="nil"/>
              <w:right w:val="nil"/>
            </w:tcBorders>
            <w:shd w:val="clear" w:color="000000" w:fill="FFFFFF"/>
            <w:noWrap/>
            <w:hideMark/>
          </w:tcPr>
          <w:p w14:paraId="447DE6D8"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31,471</w:t>
            </w:r>
          </w:p>
        </w:tc>
        <w:tc>
          <w:tcPr>
            <w:tcW w:w="328" w:type="pct"/>
            <w:tcBorders>
              <w:top w:val="single" w:sz="8" w:space="0" w:color="auto"/>
              <w:left w:val="nil"/>
              <w:bottom w:val="nil"/>
              <w:right w:val="nil"/>
            </w:tcBorders>
            <w:shd w:val="clear" w:color="000000" w:fill="FFFFFF"/>
            <w:noWrap/>
            <w:hideMark/>
          </w:tcPr>
          <w:p w14:paraId="2D0DCD81"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31,366</w:t>
            </w:r>
          </w:p>
        </w:tc>
        <w:tc>
          <w:tcPr>
            <w:tcW w:w="328" w:type="pct"/>
            <w:tcBorders>
              <w:top w:val="single" w:sz="8" w:space="0" w:color="auto"/>
              <w:left w:val="nil"/>
              <w:bottom w:val="nil"/>
              <w:right w:val="nil"/>
            </w:tcBorders>
            <w:shd w:val="clear" w:color="000000" w:fill="FFFFFF"/>
            <w:noWrap/>
            <w:hideMark/>
          </w:tcPr>
          <w:p w14:paraId="059189F6"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31,357</w:t>
            </w:r>
          </w:p>
        </w:tc>
        <w:tc>
          <w:tcPr>
            <w:tcW w:w="328" w:type="pct"/>
            <w:tcBorders>
              <w:top w:val="single" w:sz="8" w:space="0" w:color="auto"/>
              <w:left w:val="nil"/>
              <w:bottom w:val="nil"/>
              <w:right w:val="nil"/>
            </w:tcBorders>
            <w:shd w:val="clear" w:color="000000" w:fill="FFFFFF"/>
            <w:noWrap/>
            <w:hideMark/>
          </w:tcPr>
          <w:p w14:paraId="3B664968"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31,409</w:t>
            </w:r>
          </w:p>
        </w:tc>
        <w:tc>
          <w:tcPr>
            <w:tcW w:w="328" w:type="pct"/>
            <w:tcBorders>
              <w:top w:val="single" w:sz="8" w:space="0" w:color="auto"/>
              <w:left w:val="nil"/>
              <w:bottom w:val="nil"/>
              <w:right w:val="nil"/>
            </w:tcBorders>
            <w:shd w:val="clear" w:color="000000" w:fill="FFFFFF"/>
            <w:noWrap/>
            <w:hideMark/>
          </w:tcPr>
          <w:p w14:paraId="5E1AE69B"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31,506</w:t>
            </w:r>
          </w:p>
        </w:tc>
        <w:tc>
          <w:tcPr>
            <w:tcW w:w="328" w:type="pct"/>
            <w:tcBorders>
              <w:top w:val="single" w:sz="8" w:space="0" w:color="auto"/>
              <w:left w:val="nil"/>
              <w:bottom w:val="nil"/>
              <w:right w:val="single" w:sz="8" w:space="0" w:color="auto"/>
            </w:tcBorders>
            <w:shd w:val="clear" w:color="000000" w:fill="FFFFFF"/>
            <w:noWrap/>
            <w:hideMark/>
          </w:tcPr>
          <w:p w14:paraId="490DC19E"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31,609</w:t>
            </w:r>
          </w:p>
        </w:tc>
      </w:tr>
      <w:tr w:rsidR="00D20A9E" w:rsidRPr="00B97758" w14:paraId="3BE1CDC8" w14:textId="77777777" w:rsidTr="000B0E01">
        <w:trPr>
          <w:trHeight w:val="300"/>
        </w:trPr>
        <w:tc>
          <w:tcPr>
            <w:tcW w:w="1394" w:type="pct"/>
            <w:tcBorders>
              <w:top w:val="nil"/>
              <w:left w:val="single" w:sz="8" w:space="0" w:color="auto"/>
              <w:bottom w:val="single" w:sz="8" w:space="0" w:color="auto"/>
              <w:right w:val="nil"/>
            </w:tcBorders>
            <w:shd w:val="clear" w:color="000000" w:fill="FFFFFF"/>
            <w:noWrap/>
            <w:hideMark/>
          </w:tcPr>
          <w:p w14:paraId="661EA4C9" w14:textId="77777777" w:rsidR="00D20A9E" w:rsidRPr="00B97758" w:rsidRDefault="00D20A9E" w:rsidP="00C166D7">
            <w:pPr>
              <w:spacing w:after="0"/>
              <w:ind w:left="0" w:firstLine="0"/>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 xml:space="preserve">+ </w:t>
            </w:r>
            <w:proofErr w:type="spellStart"/>
            <w:r w:rsidRPr="00B97758">
              <w:rPr>
                <w:rFonts w:ascii="Franklin Gothic Book" w:hAnsi="Franklin Gothic Book" w:cs="Calibri"/>
                <w:b/>
                <w:bCs/>
                <w:color w:val="000000"/>
                <w:sz w:val="12"/>
                <w:szCs w:val="12"/>
                <w:lang w:bidi="ar-SA"/>
              </w:rPr>
              <w:t>BtM</w:t>
            </w:r>
            <w:proofErr w:type="spellEnd"/>
            <w:r w:rsidRPr="00B97758">
              <w:rPr>
                <w:rFonts w:ascii="Franklin Gothic Book" w:hAnsi="Franklin Gothic Book" w:cs="Calibri"/>
                <w:b/>
                <w:bCs/>
                <w:color w:val="000000"/>
                <w:sz w:val="12"/>
                <w:szCs w:val="12"/>
                <w:lang w:bidi="ar-SA"/>
              </w:rPr>
              <w:t xml:space="preserve"> Solar PV</w:t>
            </w:r>
          </w:p>
        </w:tc>
        <w:tc>
          <w:tcPr>
            <w:tcW w:w="327" w:type="pct"/>
            <w:tcBorders>
              <w:top w:val="nil"/>
              <w:left w:val="single" w:sz="8" w:space="0" w:color="auto"/>
              <w:bottom w:val="single" w:sz="8" w:space="0" w:color="auto"/>
              <w:right w:val="nil"/>
            </w:tcBorders>
            <w:shd w:val="clear" w:color="000000" w:fill="FFFFFF"/>
            <w:noWrap/>
            <w:hideMark/>
          </w:tcPr>
          <w:p w14:paraId="40A4AB81"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555</w:t>
            </w:r>
          </w:p>
        </w:tc>
        <w:tc>
          <w:tcPr>
            <w:tcW w:w="327" w:type="pct"/>
            <w:tcBorders>
              <w:top w:val="nil"/>
              <w:left w:val="nil"/>
              <w:bottom w:val="single" w:sz="8" w:space="0" w:color="auto"/>
              <w:right w:val="nil"/>
            </w:tcBorders>
            <w:shd w:val="clear" w:color="000000" w:fill="FFFFFF"/>
            <w:noWrap/>
            <w:hideMark/>
          </w:tcPr>
          <w:p w14:paraId="085450B4"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707</w:t>
            </w:r>
          </w:p>
        </w:tc>
        <w:tc>
          <w:tcPr>
            <w:tcW w:w="328" w:type="pct"/>
            <w:tcBorders>
              <w:top w:val="nil"/>
              <w:left w:val="nil"/>
              <w:bottom w:val="single" w:sz="8" w:space="0" w:color="auto"/>
              <w:right w:val="nil"/>
            </w:tcBorders>
            <w:shd w:val="clear" w:color="000000" w:fill="FFFFFF"/>
            <w:noWrap/>
            <w:hideMark/>
          </w:tcPr>
          <w:p w14:paraId="25A8BEE4"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841</w:t>
            </w:r>
          </w:p>
        </w:tc>
        <w:tc>
          <w:tcPr>
            <w:tcW w:w="328" w:type="pct"/>
            <w:tcBorders>
              <w:top w:val="nil"/>
              <w:left w:val="nil"/>
              <w:bottom w:val="single" w:sz="8" w:space="0" w:color="auto"/>
              <w:right w:val="nil"/>
            </w:tcBorders>
            <w:shd w:val="clear" w:color="000000" w:fill="FFFFFF"/>
            <w:noWrap/>
            <w:hideMark/>
          </w:tcPr>
          <w:p w14:paraId="55AFFED4"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986</w:t>
            </w:r>
          </w:p>
        </w:tc>
        <w:tc>
          <w:tcPr>
            <w:tcW w:w="328" w:type="pct"/>
            <w:tcBorders>
              <w:top w:val="nil"/>
              <w:left w:val="nil"/>
              <w:bottom w:val="single" w:sz="8" w:space="0" w:color="auto"/>
              <w:right w:val="nil"/>
            </w:tcBorders>
            <w:shd w:val="clear" w:color="000000" w:fill="FFFFFF"/>
            <w:noWrap/>
            <w:hideMark/>
          </w:tcPr>
          <w:p w14:paraId="5BCFE83A"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1,102</w:t>
            </w:r>
          </w:p>
        </w:tc>
        <w:tc>
          <w:tcPr>
            <w:tcW w:w="328" w:type="pct"/>
            <w:tcBorders>
              <w:top w:val="nil"/>
              <w:left w:val="nil"/>
              <w:bottom w:val="single" w:sz="8" w:space="0" w:color="auto"/>
              <w:right w:val="nil"/>
            </w:tcBorders>
            <w:shd w:val="clear" w:color="000000" w:fill="FFFFFF"/>
            <w:noWrap/>
            <w:hideMark/>
          </w:tcPr>
          <w:p w14:paraId="520CD169"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1,204</w:t>
            </w:r>
          </w:p>
        </w:tc>
        <w:tc>
          <w:tcPr>
            <w:tcW w:w="328" w:type="pct"/>
            <w:tcBorders>
              <w:top w:val="nil"/>
              <w:left w:val="nil"/>
              <w:bottom w:val="single" w:sz="8" w:space="0" w:color="auto"/>
              <w:right w:val="nil"/>
            </w:tcBorders>
            <w:shd w:val="clear" w:color="000000" w:fill="FFFFFF"/>
            <w:noWrap/>
            <w:hideMark/>
          </w:tcPr>
          <w:p w14:paraId="50CA88E7"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1,287</w:t>
            </w:r>
          </w:p>
        </w:tc>
        <w:tc>
          <w:tcPr>
            <w:tcW w:w="328" w:type="pct"/>
            <w:tcBorders>
              <w:top w:val="nil"/>
              <w:left w:val="nil"/>
              <w:bottom w:val="single" w:sz="8" w:space="0" w:color="auto"/>
              <w:right w:val="nil"/>
            </w:tcBorders>
            <w:shd w:val="clear" w:color="000000" w:fill="FFFFFF"/>
            <w:noWrap/>
            <w:hideMark/>
          </w:tcPr>
          <w:p w14:paraId="04F2E502"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1,351</w:t>
            </w:r>
          </w:p>
        </w:tc>
        <w:tc>
          <w:tcPr>
            <w:tcW w:w="328" w:type="pct"/>
            <w:tcBorders>
              <w:top w:val="nil"/>
              <w:left w:val="nil"/>
              <w:bottom w:val="single" w:sz="8" w:space="0" w:color="auto"/>
              <w:right w:val="nil"/>
            </w:tcBorders>
            <w:shd w:val="clear" w:color="000000" w:fill="FFFFFF"/>
            <w:noWrap/>
            <w:hideMark/>
          </w:tcPr>
          <w:p w14:paraId="75481E18"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1,392</w:t>
            </w:r>
          </w:p>
        </w:tc>
        <w:tc>
          <w:tcPr>
            <w:tcW w:w="328" w:type="pct"/>
            <w:tcBorders>
              <w:top w:val="nil"/>
              <w:left w:val="nil"/>
              <w:bottom w:val="single" w:sz="8" w:space="0" w:color="auto"/>
              <w:right w:val="nil"/>
            </w:tcBorders>
            <w:shd w:val="clear" w:color="000000" w:fill="FFFFFF"/>
            <w:noWrap/>
            <w:hideMark/>
          </w:tcPr>
          <w:p w14:paraId="6AB76A8A"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1,411</w:t>
            </w:r>
          </w:p>
        </w:tc>
        <w:tc>
          <w:tcPr>
            <w:tcW w:w="328" w:type="pct"/>
            <w:tcBorders>
              <w:top w:val="nil"/>
              <w:left w:val="nil"/>
              <w:bottom w:val="single" w:sz="8" w:space="0" w:color="auto"/>
              <w:right w:val="single" w:sz="8" w:space="0" w:color="auto"/>
            </w:tcBorders>
            <w:shd w:val="clear" w:color="000000" w:fill="FFFFFF"/>
            <w:noWrap/>
            <w:hideMark/>
          </w:tcPr>
          <w:p w14:paraId="197F18A9"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1,411</w:t>
            </w:r>
          </w:p>
        </w:tc>
      </w:tr>
      <w:tr w:rsidR="00D20A9E" w:rsidRPr="00B97758" w14:paraId="546873A4" w14:textId="77777777" w:rsidTr="000B0E01">
        <w:trPr>
          <w:trHeight w:val="336"/>
        </w:trPr>
        <w:tc>
          <w:tcPr>
            <w:tcW w:w="1394" w:type="pct"/>
            <w:tcBorders>
              <w:top w:val="nil"/>
              <w:left w:val="single" w:sz="8" w:space="0" w:color="auto"/>
              <w:bottom w:val="single" w:sz="8" w:space="0" w:color="auto"/>
              <w:right w:val="single" w:sz="8" w:space="0" w:color="auto"/>
            </w:tcBorders>
            <w:shd w:val="clear" w:color="000000" w:fill="FFFFFF"/>
            <w:noWrap/>
            <w:hideMark/>
          </w:tcPr>
          <w:p w14:paraId="60A048F2" w14:textId="77777777" w:rsidR="00D20A9E" w:rsidRPr="00B97758" w:rsidRDefault="00D20A9E" w:rsidP="00C166D7">
            <w:pPr>
              <w:spacing w:after="0"/>
              <w:ind w:left="0" w:firstLine="0"/>
              <w:rPr>
                <w:rFonts w:ascii="Franklin Gothic Book" w:hAnsi="Franklin Gothic Book" w:cs="Calibri"/>
                <w:b/>
                <w:bCs/>
                <w:color w:val="000000"/>
                <w:sz w:val="12"/>
                <w:szCs w:val="12"/>
                <w:lang w:bidi="ar-SA"/>
              </w:rPr>
            </w:pPr>
            <w:r w:rsidRPr="00B97758">
              <w:rPr>
                <w:rFonts w:ascii="Franklin Gothic Book" w:hAnsi="Franklin Gothic Book" w:cs="Calibri"/>
                <w:b/>
                <w:bCs/>
                <w:color w:val="000000"/>
                <w:sz w:val="12"/>
                <w:szCs w:val="12"/>
                <w:lang w:bidi="ar-SA"/>
              </w:rPr>
              <w:t>2020 RNA Base Case Updated Forecast</w:t>
            </w:r>
            <w:r w:rsidRPr="00B97758">
              <w:rPr>
                <w:rFonts w:ascii="Franklin Gothic Book" w:hAnsi="Franklin Gothic Book" w:cs="Calibri"/>
                <w:b/>
                <w:bCs/>
                <w:color w:val="000000"/>
                <w:sz w:val="12"/>
                <w:szCs w:val="12"/>
                <w:vertAlign w:val="superscript"/>
                <w:lang w:bidi="ar-SA"/>
              </w:rPr>
              <w:t xml:space="preserve">1 </w:t>
            </w:r>
          </w:p>
        </w:tc>
        <w:tc>
          <w:tcPr>
            <w:tcW w:w="327" w:type="pct"/>
            <w:tcBorders>
              <w:top w:val="nil"/>
              <w:left w:val="nil"/>
              <w:bottom w:val="single" w:sz="8" w:space="0" w:color="auto"/>
              <w:right w:val="nil"/>
            </w:tcBorders>
            <w:shd w:val="clear" w:color="000000" w:fill="FFFFFF"/>
            <w:noWrap/>
            <w:hideMark/>
          </w:tcPr>
          <w:p w14:paraId="001B5D36"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32,851</w:t>
            </w:r>
          </w:p>
        </w:tc>
        <w:tc>
          <w:tcPr>
            <w:tcW w:w="327" w:type="pct"/>
            <w:tcBorders>
              <w:top w:val="nil"/>
              <w:left w:val="nil"/>
              <w:bottom w:val="single" w:sz="8" w:space="0" w:color="auto"/>
              <w:right w:val="nil"/>
            </w:tcBorders>
            <w:shd w:val="clear" w:color="000000" w:fill="FFFFFF"/>
            <w:noWrap/>
            <w:hideMark/>
          </w:tcPr>
          <w:p w14:paraId="34D3864F"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32,852</w:t>
            </w:r>
          </w:p>
        </w:tc>
        <w:tc>
          <w:tcPr>
            <w:tcW w:w="328" w:type="pct"/>
            <w:tcBorders>
              <w:top w:val="nil"/>
              <w:left w:val="nil"/>
              <w:bottom w:val="single" w:sz="8" w:space="0" w:color="auto"/>
              <w:right w:val="nil"/>
            </w:tcBorders>
            <w:shd w:val="clear" w:color="000000" w:fill="FFFFFF"/>
            <w:noWrap/>
            <w:hideMark/>
          </w:tcPr>
          <w:p w14:paraId="31D44630"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32,953</w:t>
            </w:r>
          </w:p>
        </w:tc>
        <w:tc>
          <w:tcPr>
            <w:tcW w:w="328" w:type="pct"/>
            <w:tcBorders>
              <w:top w:val="nil"/>
              <w:left w:val="nil"/>
              <w:bottom w:val="single" w:sz="8" w:space="0" w:color="auto"/>
              <w:right w:val="nil"/>
            </w:tcBorders>
            <w:shd w:val="clear" w:color="000000" w:fill="FFFFFF"/>
            <w:noWrap/>
            <w:hideMark/>
          </w:tcPr>
          <w:p w14:paraId="37957E39"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32,853</w:t>
            </w:r>
          </w:p>
        </w:tc>
        <w:tc>
          <w:tcPr>
            <w:tcW w:w="328" w:type="pct"/>
            <w:tcBorders>
              <w:top w:val="nil"/>
              <w:left w:val="nil"/>
              <w:bottom w:val="single" w:sz="8" w:space="0" w:color="auto"/>
              <w:right w:val="nil"/>
            </w:tcBorders>
            <w:shd w:val="clear" w:color="000000" w:fill="FFFFFF"/>
            <w:noWrap/>
            <w:hideMark/>
          </w:tcPr>
          <w:p w14:paraId="7D1821ED"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32,731</w:t>
            </w:r>
          </w:p>
        </w:tc>
        <w:tc>
          <w:tcPr>
            <w:tcW w:w="328" w:type="pct"/>
            <w:tcBorders>
              <w:top w:val="nil"/>
              <w:left w:val="nil"/>
              <w:bottom w:val="single" w:sz="8" w:space="0" w:color="auto"/>
              <w:right w:val="nil"/>
            </w:tcBorders>
            <w:shd w:val="clear" w:color="000000" w:fill="FFFFFF"/>
            <w:noWrap/>
            <w:hideMark/>
          </w:tcPr>
          <w:p w14:paraId="21DA7D68"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32,675</w:t>
            </w:r>
          </w:p>
        </w:tc>
        <w:tc>
          <w:tcPr>
            <w:tcW w:w="328" w:type="pct"/>
            <w:tcBorders>
              <w:top w:val="nil"/>
              <w:left w:val="nil"/>
              <w:bottom w:val="single" w:sz="8" w:space="0" w:color="auto"/>
              <w:right w:val="nil"/>
            </w:tcBorders>
            <w:shd w:val="clear" w:color="000000" w:fill="FFFFFF"/>
            <w:noWrap/>
            <w:hideMark/>
          </w:tcPr>
          <w:p w14:paraId="5609BF71"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32,653</w:t>
            </w:r>
          </w:p>
        </w:tc>
        <w:tc>
          <w:tcPr>
            <w:tcW w:w="328" w:type="pct"/>
            <w:tcBorders>
              <w:top w:val="nil"/>
              <w:left w:val="nil"/>
              <w:bottom w:val="single" w:sz="8" w:space="0" w:color="auto"/>
              <w:right w:val="nil"/>
            </w:tcBorders>
            <w:shd w:val="clear" w:color="000000" w:fill="FFFFFF"/>
            <w:noWrap/>
            <w:hideMark/>
          </w:tcPr>
          <w:p w14:paraId="4F0248E3"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32,708</w:t>
            </w:r>
          </w:p>
        </w:tc>
        <w:tc>
          <w:tcPr>
            <w:tcW w:w="328" w:type="pct"/>
            <w:tcBorders>
              <w:top w:val="nil"/>
              <w:left w:val="nil"/>
              <w:bottom w:val="single" w:sz="8" w:space="0" w:color="auto"/>
              <w:right w:val="nil"/>
            </w:tcBorders>
            <w:shd w:val="clear" w:color="000000" w:fill="FFFFFF"/>
            <w:noWrap/>
            <w:hideMark/>
          </w:tcPr>
          <w:p w14:paraId="25B30974"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32,801</w:t>
            </w:r>
          </w:p>
        </w:tc>
        <w:tc>
          <w:tcPr>
            <w:tcW w:w="328" w:type="pct"/>
            <w:tcBorders>
              <w:top w:val="nil"/>
              <w:left w:val="nil"/>
              <w:bottom w:val="single" w:sz="8" w:space="0" w:color="auto"/>
              <w:right w:val="nil"/>
            </w:tcBorders>
            <w:shd w:val="clear" w:color="000000" w:fill="FFFFFF"/>
            <w:noWrap/>
            <w:hideMark/>
          </w:tcPr>
          <w:p w14:paraId="607E6A93"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32,917</w:t>
            </w:r>
          </w:p>
        </w:tc>
        <w:tc>
          <w:tcPr>
            <w:tcW w:w="328" w:type="pct"/>
            <w:tcBorders>
              <w:top w:val="nil"/>
              <w:left w:val="nil"/>
              <w:bottom w:val="single" w:sz="8" w:space="0" w:color="auto"/>
              <w:right w:val="single" w:sz="8" w:space="0" w:color="auto"/>
            </w:tcBorders>
            <w:shd w:val="clear" w:color="000000" w:fill="FFFFFF"/>
            <w:noWrap/>
            <w:hideMark/>
          </w:tcPr>
          <w:p w14:paraId="6CCB7585" w14:textId="77777777" w:rsidR="00D20A9E" w:rsidRPr="00B97758" w:rsidRDefault="00D20A9E" w:rsidP="00C166D7">
            <w:pPr>
              <w:spacing w:after="0"/>
              <w:ind w:left="0" w:firstLine="0"/>
              <w:jc w:val="right"/>
              <w:rPr>
                <w:rFonts w:ascii="Franklin Gothic Book" w:hAnsi="Franklin Gothic Book" w:cs="Calibri"/>
                <w:color w:val="000000"/>
                <w:sz w:val="12"/>
                <w:szCs w:val="12"/>
                <w:lang w:bidi="ar-SA"/>
              </w:rPr>
            </w:pPr>
            <w:r w:rsidRPr="00B97758">
              <w:rPr>
                <w:rFonts w:ascii="Franklin Gothic Book" w:hAnsi="Franklin Gothic Book" w:cs="Calibri"/>
                <w:color w:val="000000"/>
                <w:sz w:val="12"/>
                <w:szCs w:val="12"/>
                <w:lang w:bidi="ar-SA"/>
              </w:rPr>
              <w:t>33,020</w:t>
            </w:r>
          </w:p>
        </w:tc>
      </w:tr>
    </w:tbl>
    <w:p w14:paraId="4ADD1AA4" w14:textId="77777777" w:rsidR="00D20A9E" w:rsidRPr="00D20A9E" w:rsidRDefault="00D20A9E" w:rsidP="00D20A9E">
      <w:pPr>
        <w:pStyle w:val="BodyText"/>
        <w:spacing w:line="276" w:lineRule="auto"/>
        <w:ind w:left="720" w:firstLine="0"/>
        <w:rPr>
          <w:sz w:val="18"/>
          <w:szCs w:val="18"/>
        </w:rPr>
      </w:pPr>
      <w:r w:rsidRPr="00D20A9E">
        <w:rPr>
          <w:sz w:val="18"/>
          <w:szCs w:val="18"/>
        </w:rPr>
        <w:lastRenderedPageBreak/>
        <w:t>Notes:</w:t>
      </w:r>
    </w:p>
    <w:p w14:paraId="7C4D3D4E" w14:textId="77777777" w:rsidR="00D20A9E" w:rsidRDefault="00D20A9E" w:rsidP="007F4000">
      <w:pPr>
        <w:pStyle w:val="BodyText"/>
        <w:numPr>
          <w:ilvl w:val="0"/>
          <w:numId w:val="9"/>
        </w:numPr>
        <w:spacing w:line="276" w:lineRule="auto"/>
        <w:ind w:left="1080"/>
        <w:rPr>
          <w:sz w:val="18"/>
          <w:szCs w:val="18"/>
        </w:rPr>
      </w:pPr>
      <w:r w:rsidRPr="00D20A9E">
        <w:rPr>
          <w:sz w:val="18"/>
          <w:szCs w:val="18"/>
        </w:rPr>
        <w:t>For the resource adequacy study, the Gold Book baseline load forecast was modified by removing the behind-the-meter solar PV impacts in order to model the solar PV explicitly as a generation resource to account for the intermittent nature of its availability.</w:t>
      </w:r>
    </w:p>
    <w:p w14:paraId="713E30E2" w14:textId="55D9A0E1" w:rsidR="000B0E01" w:rsidRPr="001B360D" w:rsidRDefault="00D20A9E" w:rsidP="001B360D">
      <w:pPr>
        <w:pStyle w:val="BodyText"/>
        <w:numPr>
          <w:ilvl w:val="0"/>
          <w:numId w:val="9"/>
        </w:numPr>
        <w:spacing w:line="276" w:lineRule="auto"/>
        <w:ind w:left="1080"/>
        <w:rPr>
          <w:sz w:val="18"/>
          <w:szCs w:val="18"/>
        </w:rPr>
      </w:pPr>
      <w:r w:rsidRPr="00D20A9E">
        <w:rPr>
          <w:sz w:val="18"/>
          <w:szCs w:val="18"/>
        </w:rPr>
        <w:t>The transmission security power flow RNA base cases use t</w:t>
      </w:r>
      <w:r w:rsidR="001B360D">
        <w:rPr>
          <w:sz w:val="18"/>
          <w:szCs w:val="18"/>
        </w:rPr>
        <w:t>his Gold Book baseline forecast</w:t>
      </w:r>
      <w:r w:rsidR="006C747E">
        <w:rPr>
          <w:sz w:val="18"/>
          <w:szCs w:val="18"/>
        </w:rPr>
        <w:t>.</w:t>
      </w:r>
    </w:p>
    <w:p w14:paraId="164E31FE" w14:textId="77777777" w:rsidR="000B0E01" w:rsidRDefault="000B0E01" w:rsidP="00217DF4">
      <w:pPr>
        <w:pStyle w:val="BodyText"/>
        <w:rPr>
          <w:b/>
        </w:rPr>
      </w:pPr>
    </w:p>
    <w:p w14:paraId="021EBC14" w14:textId="1750EAD9" w:rsidR="00217DF4" w:rsidRDefault="00217DF4" w:rsidP="00217DF4">
      <w:pPr>
        <w:pStyle w:val="BodyText"/>
        <w:rPr>
          <w:b/>
        </w:rPr>
      </w:pPr>
      <w:r w:rsidRPr="00217DF4">
        <w:rPr>
          <w:b/>
        </w:rPr>
        <w:t>Figure xx: Planned Additions</w:t>
      </w:r>
    </w:p>
    <w:p w14:paraId="60D7F6D0" w14:textId="172BAD50" w:rsidR="00217DF4" w:rsidRPr="00217DF4" w:rsidRDefault="00217DF4" w:rsidP="00217DF4">
      <w:pPr>
        <w:pStyle w:val="BodyText"/>
        <w:rPr>
          <w:b/>
        </w:rPr>
      </w:pPr>
      <w:r w:rsidRPr="00217DF4">
        <w:rPr>
          <w:noProof/>
        </w:rPr>
        <w:drawing>
          <wp:inline distT="0" distB="0" distL="0" distR="0" wp14:anchorId="401C77A7" wp14:editId="79F36A72">
            <wp:extent cx="6400800" cy="3248788"/>
            <wp:effectExtent l="0" t="0" r="0"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00800" cy="3248788"/>
                    </a:xfrm>
                    <a:prstGeom prst="rect">
                      <a:avLst/>
                    </a:prstGeom>
                    <a:noFill/>
                    <a:ln>
                      <a:noFill/>
                    </a:ln>
                  </pic:spPr>
                </pic:pic>
              </a:graphicData>
            </a:graphic>
          </wp:inline>
        </w:drawing>
      </w:r>
    </w:p>
    <w:p w14:paraId="2B7A08AF" w14:textId="77777777" w:rsidR="000B0E01" w:rsidRDefault="000B0E01" w:rsidP="00217DF4">
      <w:pPr>
        <w:pStyle w:val="BodyText"/>
        <w:rPr>
          <w:b/>
        </w:rPr>
      </w:pPr>
    </w:p>
    <w:p w14:paraId="1E24FA28" w14:textId="77777777" w:rsidR="00785274" w:rsidRDefault="00785274">
      <w:pPr>
        <w:rPr>
          <w:rFonts w:ascii="Cambria" w:eastAsia="Arial Narrow" w:hAnsi="Cambria"/>
          <w:b/>
          <w:bCs/>
          <w:sz w:val="22"/>
          <w:lang w:bidi="ar-SA"/>
        </w:rPr>
      </w:pPr>
      <w:r>
        <w:rPr>
          <w:b/>
        </w:rPr>
        <w:br w:type="page"/>
      </w:r>
    </w:p>
    <w:p w14:paraId="11FA6ADB" w14:textId="4A3CEB8A" w:rsidR="009B669C" w:rsidRDefault="00031428" w:rsidP="00217DF4">
      <w:pPr>
        <w:pStyle w:val="BodyText"/>
        <w:rPr>
          <w:b/>
        </w:rPr>
      </w:pPr>
      <w:r w:rsidRPr="00031428">
        <w:rPr>
          <w:b/>
        </w:rPr>
        <w:lastRenderedPageBreak/>
        <w:t>Figure xx: Assumed Deactivations</w:t>
      </w:r>
    </w:p>
    <w:p w14:paraId="636ED716" w14:textId="1D92248E" w:rsidR="00031428" w:rsidRPr="00031428" w:rsidRDefault="00031428" w:rsidP="000B0E01">
      <w:pPr>
        <w:pStyle w:val="BodyText"/>
        <w:ind w:left="432"/>
        <w:rPr>
          <w:b/>
        </w:rPr>
      </w:pPr>
      <w:r w:rsidRPr="00031428">
        <w:rPr>
          <w:noProof/>
        </w:rPr>
        <w:drawing>
          <wp:inline distT="0" distB="0" distL="0" distR="0" wp14:anchorId="214007EB" wp14:editId="1EEBAA8F">
            <wp:extent cx="6400800" cy="3488534"/>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00800" cy="3488534"/>
                    </a:xfrm>
                    <a:prstGeom prst="rect">
                      <a:avLst/>
                    </a:prstGeom>
                    <a:noFill/>
                    <a:ln>
                      <a:noFill/>
                    </a:ln>
                  </pic:spPr>
                </pic:pic>
              </a:graphicData>
            </a:graphic>
          </wp:inline>
        </w:drawing>
      </w:r>
    </w:p>
    <w:p w14:paraId="1A6E8255" w14:textId="189F7113" w:rsidR="002C2C56" w:rsidRDefault="00031428" w:rsidP="000B0E01">
      <w:pPr>
        <w:ind w:left="0" w:firstLine="0"/>
        <w:rPr>
          <w:b/>
        </w:rPr>
      </w:pPr>
      <w:r w:rsidRPr="00031428">
        <w:rPr>
          <w:b/>
        </w:rPr>
        <w:t>Figure xx: Assumed Generation Status Change due to the DEC’s Peaker Rule</w:t>
      </w:r>
    </w:p>
    <w:p w14:paraId="37C19B07" w14:textId="2BBAEBD0" w:rsidR="00031428" w:rsidRDefault="005C4F82" w:rsidP="002C2C56">
      <w:pPr>
        <w:rPr>
          <w:b/>
        </w:rPr>
      </w:pPr>
      <w:r w:rsidRPr="005C4F82">
        <w:rPr>
          <w:noProof/>
          <w:lang w:bidi="ar-SA"/>
        </w:rPr>
        <w:drawing>
          <wp:inline distT="0" distB="0" distL="0" distR="0" wp14:anchorId="7DC50424" wp14:editId="72351167">
            <wp:extent cx="6400800" cy="3628437"/>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00800" cy="3628437"/>
                    </a:xfrm>
                    <a:prstGeom prst="rect">
                      <a:avLst/>
                    </a:prstGeom>
                    <a:noFill/>
                    <a:ln>
                      <a:noFill/>
                    </a:ln>
                  </pic:spPr>
                </pic:pic>
              </a:graphicData>
            </a:graphic>
          </wp:inline>
        </w:drawing>
      </w:r>
    </w:p>
    <w:p w14:paraId="3CF5447C" w14:textId="1FE8CFD4" w:rsidR="000772E5" w:rsidRDefault="000772E5" w:rsidP="002C2C56">
      <w:pPr>
        <w:rPr>
          <w:b/>
        </w:rPr>
      </w:pPr>
    </w:p>
    <w:p w14:paraId="6EC81576" w14:textId="5A1496DB" w:rsidR="000772E5" w:rsidRDefault="000772E5" w:rsidP="002C2C56">
      <w:pPr>
        <w:rPr>
          <w:b/>
        </w:rPr>
      </w:pPr>
    </w:p>
    <w:p w14:paraId="34A9A041" w14:textId="0B3E72B4" w:rsidR="00504667" w:rsidRDefault="00504667" w:rsidP="00504667">
      <w:pPr>
        <w:pStyle w:val="BodyText"/>
      </w:pPr>
      <w:r w:rsidRPr="00EF27F3">
        <w:lastRenderedPageBreak/>
        <w:t>In addition to the projects that met the 2020-2021 RPP inclusion rules, a number of other projects are progressing through the NYISO’s interconnection process.  Some of these additional generation resources either have accepted their cost allocation as part of a prior Class Year Facilities Study process, or are included in the Class Year 20</w:t>
      </w:r>
      <w:r>
        <w:t>21</w:t>
      </w:r>
      <w:r w:rsidRPr="00EF27F3">
        <w:t xml:space="preserve"> Facilities Study, or are candidates for future interconnection facilities studies. </w:t>
      </w:r>
      <w:r>
        <w:t>The most recent list of these</w:t>
      </w:r>
      <w:r w:rsidRPr="00EF27F3">
        <w:t xml:space="preserve"> projects </w:t>
      </w:r>
      <w:r>
        <w:t xml:space="preserve">resides </w:t>
      </w:r>
      <w:r w:rsidRPr="00EF27F3">
        <w:t xml:space="preserve">in the </w:t>
      </w:r>
      <w:r>
        <w:t>2021</w:t>
      </w:r>
      <w:r w:rsidRPr="00EF27F3">
        <w:t xml:space="preserve"> Gold Book</w:t>
      </w:r>
      <w:r>
        <w:t>.</w:t>
      </w:r>
    </w:p>
    <w:p w14:paraId="75C3093A" w14:textId="21DA4E32" w:rsidR="001A335D" w:rsidRDefault="001A335D" w:rsidP="00504667">
      <w:pPr>
        <w:pStyle w:val="BodyText"/>
      </w:pPr>
    </w:p>
    <w:p w14:paraId="78BA1AB3" w14:textId="719AE63A" w:rsidR="00D86857" w:rsidRDefault="00D86857" w:rsidP="001A335D">
      <w:pPr>
        <w:pStyle w:val="BodyText"/>
        <w:rPr>
          <w:b/>
        </w:rPr>
      </w:pPr>
    </w:p>
    <w:p w14:paraId="5567884C" w14:textId="77777777" w:rsidR="00D86857" w:rsidRDefault="00D86857" w:rsidP="00D86857">
      <w:pPr>
        <w:pStyle w:val="BodyText"/>
      </w:pPr>
    </w:p>
    <w:p w14:paraId="7FE4B82D" w14:textId="77777777" w:rsidR="00D86857" w:rsidRDefault="00D86857" w:rsidP="00D86857">
      <w:pPr>
        <w:pStyle w:val="Figure"/>
        <w:ind w:left="-450" w:firstLine="450"/>
        <w:sectPr w:rsidR="00D86857" w:rsidSect="0072270C">
          <w:pgSz w:w="12240" w:h="15840" w:code="1"/>
          <w:pgMar w:top="1440" w:right="1080" w:bottom="1440" w:left="1080" w:header="720" w:footer="58" w:gutter="0"/>
          <w:cols w:space="720"/>
          <w:docGrid w:linePitch="360"/>
        </w:sectPr>
      </w:pPr>
    </w:p>
    <w:p w14:paraId="047A9E1F" w14:textId="77777777" w:rsidR="00D86857" w:rsidRPr="00E61B4E" w:rsidRDefault="00D86857" w:rsidP="00D86857">
      <w:pPr>
        <w:pStyle w:val="Figure"/>
        <w:ind w:left="-450" w:firstLine="450"/>
      </w:pPr>
      <w:r w:rsidRPr="00E61B4E">
        <w:lastRenderedPageBreak/>
        <w:t xml:space="preserve">Figure </w:t>
      </w:r>
      <w:r w:rsidRPr="002C6E1B">
        <w:rPr>
          <w:highlight w:val="yellow"/>
        </w:rPr>
        <w:t>xx</w:t>
      </w:r>
      <w:r w:rsidRPr="00E61B4E">
        <w:t xml:space="preserve">: Firm Transmission Plans included in 2020 RNA Base Case </w:t>
      </w:r>
    </w:p>
    <w:p w14:paraId="6F10C3D4" w14:textId="77777777" w:rsidR="00D86857" w:rsidRDefault="00D86857" w:rsidP="00D86857">
      <w:pPr>
        <w:pStyle w:val="BodyText"/>
        <w:rPr>
          <w:rFonts w:ascii="Franklin Gothic Book" w:hAnsi="Franklin Gothic Book"/>
        </w:rPr>
      </w:pPr>
      <w:r w:rsidRPr="00DB3A9A">
        <w:rPr>
          <w:noProof/>
        </w:rPr>
        <w:drawing>
          <wp:inline distT="0" distB="0" distL="0" distR="0" wp14:anchorId="25BD21C4" wp14:editId="63C51EB3">
            <wp:extent cx="8036560" cy="553104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08" r="49628" b="49530"/>
                    <a:stretch/>
                  </pic:blipFill>
                  <pic:spPr bwMode="auto">
                    <a:xfrm>
                      <a:off x="0" y="0"/>
                      <a:ext cx="8050108" cy="5540369"/>
                    </a:xfrm>
                    <a:prstGeom prst="rect">
                      <a:avLst/>
                    </a:prstGeom>
                    <a:noFill/>
                    <a:ln>
                      <a:noFill/>
                    </a:ln>
                    <a:extLst>
                      <a:ext uri="{53640926-AAD7-44D8-BBD7-CCE9431645EC}">
                        <a14:shadowObscured xmlns:a14="http://schemas.microsoft.com/office/drawing/2010/main"/>
                      </a:ext>
                    </a:extLst>
                  </pic:spPr>
                </pic:pic>
              </a:graphicData>
            </a:graphic>
          </wp:inline>
        </w:drawing>
      </w:r>
    </w:p>
    <w:p w14:paraId="7135A189" w14:textId="77777777" w:rsidR="00D86857" w:rsidRDefault="00D86857" w:rsidP="00D86857">
      <w:pPr>
        <w:pStyle w:val="Figure"/>
        <w:rPr>
          <w:rFonts w:ascii="Franklin Gothic Book" w:hAnsi="Franklin Gothic Book"/>
        </w:rPr>
      </w:pPr>
    </w:p>
    <w:p w14:paraId="3182F8FC" w14:textId="77777777" w:rsidR="00D86857" w:rsidRDefault="00D86857" w:rsidP="00D86857">
      <w:pPr>
        <w:pStyle w:val="Figure"/>
        <w:rPr>
          <w:rFonts w:ascii="Franklin Gothic Book" w:hAnsi="Franklin Gothic Book"/>
        </w:rPr>
      </w:pPr>
      <w:r w:rsidRPr="00DB3A9A">
        <w:rPr>
          <w:noProof/>
        </w:rPr>
        <w:lastRenderedPageBreak/>
        <w:drawing>
          <wp:inline distT="0" distB="0" distL="0" distR="0" wp14:anchorId="1C37ADF5" wp14:editId="1F19419C">
            <wp:extent cx="8260080" cy="534475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 t="-464" r="49624" b="49397"/>
                    <a:stretch/>
                  </pic:blipFill>
                  <pic:spPr bwMode="auto">
                    <a:xfrm>
                      <a:off x="0" y="0"/>
                      <a:ext cx="8273910" cy="5353706"/>
                    </a:xfrm>
                    <a:prstGeom prst="rect">
                      <a:avLst/>
                    </a:prstGeom>
                    <a:noFill/>
                    <a:ln>
                      <a:noFill/>
                    </a:ln>
                    <a:extLst>
                      <a:ext uri="{53640926-AAD7-44D8-BBD7-CCE9431645EC}">
                        <a14:shadowObscured xmlns:a14="http://schemas.microsoft.com/office/drawing/2010/main"/>
                      </a:ext>
                    </a:extLst>
                  </pic:spPr>
                </pic:pic>
              </a:graphicData>
            </a:graphic>
          </wp:inline>
        </w:drawing>
      </w:r>
    </w:p>
    <w:p w14:paraId="0896AAE6" w14:textId="77777777" w:rsidR="00D86857" w:rsidRDefault="00D86857" w:rsidP="00D86857">
      <w:pPr>
        <w:pStyle w:val="Figure"/>
        <w:rPr>
          <w:rFonts w:ascii="Franklin Gothic Book" w:hAnsi="Franklin Gothic Book"/>
        </w:rPr>
      </w:pPr>
    </w:p>
    <w:p w14:paraId="1726FABF" w14:textId="77777777" w:rsidR="00D86857" w:rsidRDefault="00D86857" w:rsidP="00D86857">
      <w:pPr>
        <w:pStyle w:val="Figure"/>
        <w:rPr>
          <w:rFonts w:ascii="Franklin Gothic Book" w:hAnsi="Franklin Gothic Book"/>
        </w:rPr>
      </w:pPr>
    </w:p>
    <w:p w14:paraId="4D6E25E9" w14:textId="77777777" w:rsidR="00D86857" w:rsidRPr="00DF6E8C" w:rsidRDefault="00D86857" w:rsidP="00D86857">
      <w:pPr>
        <w:pStyle w:val="Figure"/>
        <w:rPr>
          <w:rFonts w:ascii="Franklin Gothic Book" w:hAnsi="Franklin Gothic Book" w:cs="Times"/>
          <w:szCs w:val="24"/>
        </w:rPr>
      </w:pPr>
      <w:r w:rsidRPr="00DB3A9A">
        <w:rPr>
          <w:noProof/>
        </w:rPr>
        <w:lastRenderedPageBreak/>
        <w:drawing>
          <wp:inline distT="0" distB="0" distL="0" distR="0" wp14:anchorId="26F6BA97" wp14:editId="6261002E">
            <wp:extent cx="8417560" cy="57066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466" r="49620" b="49430"/>
                    <a:stretch/>
                  </pic:blipFill>
                  <pic:spPr bwMode="auto">
                    <a:xfrm>
                      <a:off x="0" y="0"/>
                      <a:ext cx="8429000" cy="5714368"/>
                    </a:xfrm>
                    <a:prstGeom prst="rect">
                      <a:avLst/>
                    </a:prstGeom>
                    <a:noFill/>
                    <a:ln>
                      <a:noFill/>
                    </a:ln>
                    <a:extLst>
                      <a:ext uri="{53640926-AAD7-44D8-BBD7-CCE9431645EC}">
                        <a14:shadowObscured xmlns:a14="http://schemas.microsoft.com/office/drawing/2010/main"/>
                      </a:ext>
                    </a:extLst>
                  </pic:spPr>
                </pic:pic>
              </a:graphicData>
            </a:graphic>
          </wp:inline>
        </w:drawing>
      </w:r>
      <w:r w:rsidRPr="00DF6E8C">
        <w:rPr>
          <w:rFonts w:ascii="Franklin Gothic Book" w:hAnsi="Franklin Gothic Book"/>
        </w:rPr>
        <w:fldChar w:fldCharType="begin"/>
      </w:r>
      <w:r w:rsidRPr="00DF6E8C">
        <w:rPr>
          <w:rFonts w:ascii="Franklin Gothic Book" w:hAnsi="Franklin Gothic Book"/>
        </w:rPr>
        <w:instrText xml:space="preserve"> LINK Excel.Sheet.12 "\\\\ad.nyiso.com\\corporate\\Directories\\NYISO\\SRP_LTP\\_RPP\\2018_RPP\\01-StudyManagement\\02-Assumptions\\InclusionRules\\01-2018RNAFinal\\2018RNA_InclusionRulesConfid_0409.xlsx" "LTPs!R8C4:R159C15" \a \f 4 \h  \* MERGEFORMAT </w:instrText>
      </w:r>
      <w:r w:rsidRPr="00DF6E8C">
        <w:rPr>
          <w:rFonts w:ascii="Franklin Gothic Book" w:hAnsi="Franklin Gothic Book"/>
        </w:rPr>
        <w:fldChar w:fldCharType="separate"/>
      </w:r>
    </w:p>
    <w:p w14:paraId="15B14226" w14:textId="77777777" w:rsidR="00D86857" w:rsidRDefault="00D86857" w:rsidP="00D86857">
      <w:pPr>
        <w:pStyle w:val="Figure"/>
        <w:tabs>
          <w:tab w:val="left" w:pos="701"/>
        </w:tabs>
        <w:rPr>
          <w:rFonts w:ascii="Franklin Gothic Book" w:hAnsi="Franklin Gothic Book" w:cs="Times"/>
          <w:szCs w:val="24"/>
        </w:rPr>
      </w:pPr>
      <w:r w:rsidRPr="00DF6E8C">
        <w:rPr>
          <w:rFonts w:ascii="Franklin Gothic Book" w:hAnsi="Franklin Gothic Book" w:cs="Times"/>
          <w:szCs w:val="24"/>
        </w:rPr>
        <w:fldChar w:fldCharType="end"/>
      </w:r>
      <w:r>
        <w:rPr>
          <w:rFonts w:ascii="Franklin Gothic Book" w:hAnsi="Franklin Gothic Book" w:cs="Times"/>
          <w:szCs w:val="24"/>
        </w:rPr>
        <w:tab/>
      </w:r>
      <w:r w:rsidRPr="00DB3A9A">
        <w:rPr>
          <w:noProof/>
        </w:rPr>
        <w:lastRenderedPageBreak/>
        <w:drawing>
          <wp:inline distT="0" distB="0" distL="0" distR="0" wp14:anchorId="3E50CFEF" wp14:editId="3D45DAE4">
            <wp:extent cx="8466527" cy="568960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95" t="-553" r="49477" b="49524"/>
                    <a:stretch/>
                  </pic:blipFill>
                  <pic:spPr bwMode="auto">
                    <a:xfrm>
                      <a:off x="0" y="0"/>
                      <a:ext cx="8479551" cy="5698352"/>
                    </a:xfrm>
                    <a:prstGeom prst="rect">
                      <a:avLst/>
                    </a:prstGeom>
                    <a:noFill/>
                    <a:ln>
                      <a:noFill/>
                    </a:ln>
                    <a:extLst>
                      <a:ext uri="{53640926-AAD7-44D8-BBD7-CCE9431645EC}">
                        <a14:shadowObscured xmlns:a14="http://schemas.microsoft.com/office/drawing/2010/main"/>
                      </a:ext>
                    </a:extLst>
                  </pic:spPr>
                </pic:pic>
              </a:graphicData>
            </a:graphic>
          </wp:inline>
        </w:drawing>
      </w:r>
    </w:p>
    <w:p w14:paraId="4C4371DD" w14:textId="77777777" w:rsidR="00D86857" w:rsidRDefault="00D86857" w:rsidP="00D86857">
      <w:pPr>
        <w:pStyle w:val="Figure"/>
        <w:tabs>
          <w:tab w:val="left" w:pos="701"/>
        </w:tabs>
        <w:rPr>
          <w:rFonts w:ascii="Franklin Gothic Book" w:hAnsi="Franklin Gothic Book" w:cs="Times"/>
          <w:szCs w:val="24"/>
        </w:rPr>
      </w:pPr>
    </w:p>
    <w:p w14:paraId="5273FEC1" w14:textId="77777777" w:rsidR="00D86857" w:rsidRDefault="00D86857" w:rsidP="00D86857">
      <w:pPr>
        <w:pStyle w:val="Figure"/>
        <w:tabs>
          <w:tab w:val="left" w:pos="701"/>
        </w:tabs>
        <w:rPr>
          <w:rFonts w:ascii="Franklin Gothic Book" w:hAnsi="Franklin Gothic Book" w:cs="Times"/>
          <w:szCs w:val="24"/>
        </w:rPr>
      </w:pPr>
    </w:p>
    <w:p w14:paraId="4701194A" w14:textId="77777777" w:rsidR="00D86857" w:rsidRDefault="00D86857" w:rsidP="00D86857">
      <w:pPr>
        <w:pStyle w:val="Figure"/>
        <w:tabs>
          <w:tab w:val="left" w:pos="701"/>
        </w:tabs>
        <w:rPr>
          <w:rFonts w:ascii="Franklin Gothic Book" w:hAnsi="Franklin Gothic Book"/>
        </w:rPr>
      </w:pPr>
      <w:r w:rsidRPr="00DB3A9A">
        <w:rPr>
          <w:noProof/>
        </w:rPr>
        <w:lastRenderedPageBreak/>
        <w:drawing>
          <wp:inline distT="0" distB="0" distL="0" distR="0" wp14:anchorId="3BEB3937" wp14:editId="49FECB65">
            <wp:extent cx="8442960" cy="567779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520" t="-554" r="49626" b="49413"/>
                    <a:stretch/>
                  </pic:blipFill>
                  <pic:spPr bwMode="auto">
                    <a:xfrm>
                      <a:off x="0" y="0"/>
                      <a:ext cx="8455605" cy="5686300"/>
                    </a:xfrm>
                    <a:prstGeom prst="rect">
                      <a:avLst/>
                    </a:prstGeom>
                    <a:noFill/>
                    <a:ln>
                      <a:noFill/>
                    </a:ln>
                    <a:extLst>
                      <a:ext uri="{53640926-AAD7-44D8-BBD7-CCE9431645EC}">
                        <a14:shadowObscured xmlns:a14="http://schemas.microsoft.com/office/drawing/2010/main"/>
                      </a:ext>
                    </a:extLst>
                  </pic:spPr>
                </pic:pic>
              </a:graphicData>
            </a:graphic>
          </wp:inline>
        </w:drawing>
      </w:r>
    </w:p>
    <w:p w14:paraId="10340A4C" w14:textId="77777777" w:rsidR="00D86857" w:rsidRDefault="00D86857" w:rsidP="00D86857">
      <w:pPr>
        <w:pStyle w:val="Figure"/>
        <w:tabs>
          <w:tab w:val="left" w:pos="701"/>
        </w:tabs>
        <w:rPr>
          <w:rFonts w:ascii="Franklin Gothic Book" w:hAnsi="Franklin Gothic Book"/>
        </w:rPr>
      </w:pPr>
    </w:p>
    <w:p w14:paraId="377BB3FE" w14:textId="77777777" w:rsidR="00D86857" w:rsidRDefault="00D86857" w:rsidP="00D86857">
      <w:pPr>
        <w:pStyle w:val="Figure"/>
        <w:tabs>
          <w:tab w:val="left" w:pos="701"/>
        </w:tabs>
        <w:rPr>
          <w:rFonts w:ascii="Franklin Gothic Book" w:hAnsi="Franklin Gothic Book"/>
        </w:rPr>
      </w:pPr>
      <w:r w:rsidRPr="00164C5A">
        <w:rPr>
          <w:noProof/>
        </w:rPr>
        <w:lastRenderedPageBreak/>
        <w:drawing>
          <wp:inline distT="0" distB="0" distL="0" distR="0" wp14:anchorId="4ECDC86B" wp14:editId="478E8BD5">
            <wp:extent cx="8439693" cy="56591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519" t="-664" r="49478" b="49524"/>
                    <a:stretch/>
                  </pic:blipFill>
                  <pic:spPr bwMode="auto">
                    <a:xfrm>
                      <a:off x="0" y="0"/>
                      <a:ext cx="8451356" cy="5666940"/>
                    </a:xfrm>
                    <a:prstGeom prst="rect">
                      <a:avLst/>
                    </a:prstGeom>
                    <a:noFill/>
                    <a:ln>
                      <a:noFill/>
                    </a:ln>
                    <a:extLst>
                      <a:ext uri="{53640926-AAD7-44D8-BBD7-CCE9431645EC}">
                        <a14:shadowObscured xmlns:a14="http://schemas.microsoft.com/office/drawing/2010/main"/>
                      </a:ext>
                    </a:extLst>
                  </pic:spPr>
                </pic:pic>
              </a:graphicData>
            </a:graphic>
          </wp:inline>
        </w:drawing>
      </w:r>
    </w:p>
    <w:p w14:paraId="1FB4DB76" w14:textId="77777777" w:rsidR="00D86857" w:rsidRDefault="00D86857" w:rsidP="00D86857">
      <w:pPr>
        <w:pStyle w:val="Figure"/>
        <w:tabs>
          <w:tab w:val="left" w:pos="701"/>
        </w:tabs>
        <w:rPr>
          <w:rFonts w:ascii="Franklin Gothic Book" w:hAnsi="Franklin Gothic Book"/>
        </w:rPr>
      </w:pPr>
    </w:p>
    <w:p w14:paraId="7853FC94" w14:textId="77777777" w:rsidR="00D86857" w:rsidRDefault="00D86857" w:rsidP="00D86857">
      <w:pPr>
        <w:pStyle w:val="Figure"/>
        <w:tabs>
          <w:tab w:val="left" w:pos="701"/>
        </w:tabs>
        <w:rPr>
          <w:rFonts w:ascii="Franklin Gothic Book" w:hAnsi="Franklin Gothic Book"/>
        </w:rPr>
      </w:pPr>
      <w:r w:rsidRPr="00164C5A">
        <w:rPr>
          <w:noProof/>
        </w:rPr>
        <w:lastRenderedPageBreak/>
        <w:drawing>
          <wp:inline distT="0" distB="0" distL="0" distR="0" wp14:anchorId="429757D9" wp14:editId="43120822">
            <wp:extent cx="8442960" cy="565765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 r="49699" b="49635"/>
                    <a:stretch/>
                  </pic:blipFill>
                  <pic:spPr bwMode="auto">
                    <a:xfrm>
                      <a:off x="0" y="0"/>
                      <a:ext cx="8461579" cy="5670131"/>
                    </a:xfrm>
                    <a:prstGeom prst="rect">
                      <a:avLst/>
                    </a:prstGeom>
                    <a:noFill/>
                    <a:ln>
                      <a:noFill/>
                    </a:ln>
                    <a:extLst>
                      <a:ext uri="{53640926-AAD7-44D8-BBD7-CCE9431645EC}">
                        <a14:shadowObscured xmlns:a14="http://schemas.microsoft.com/office/drawing/2010/main"/>
                      </a:ext>
                    </a:extLst>
                  </pic:spPr>
                </pic:pic>
              </a:graphicData>
            </a:graphic>
          </wp:inline>
        </w:drawing>
      </w:r>
    </w:p>
    <w:p w14:paraId="490DBB3E" w14:textId="77777777" w:rsidR="00D86857" w:rsidRDefault="00D86857" w:rsidP="00D86857">
      <w:pPr>
        <w:pStyle w:val="Figure"/>
        <w:tabs>
          <w:tab w:val="left" w:pos="701"/>
        </w:tabs>
        <w:rPr>
          <w:rFonts w:ascii="Franklin Gothic Book" w:hAnsi="Franklin Gothic Book"/>
        </w:rPr>
      </w:pPr>
      <w:r w:rsidRPr="00164C5A">
        <w:rPr>
          <w:noProof/>
        </w:rPr>
        <w:lastRenderedPageBreak/>
        <w:drawing>
          <wp:inline distT="0" distB="0" distL="0" distR="0" wp14:anchorId="25CED433" wp14:editId="0AAF65D3">
            <wp:extent cx="8422640" cy="571005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49628" b="49452"/>
                    <a:stretch/>
                  </pic:blipFill>
                  <pic:spPr bwMode="auto">
                    <a:xfrm>
                      <a:off x="0" y="0"/>
                      <a:ext cx="8430048" cy="5715076"/>
                    </a:xfrm>
                    <a:prstGeom prst="rect">
                      <a:avLst/>
                    </a:prstGeom>
                    <a:noFill/>
                    <a:ln>
                      <a:noFill/>
                    </a:ln>
                    <a:extLst>
                      <a:ext uri="{53640926-AAD7-44D8-BBD7-CCE9431645EC}">
                        <a14:shadowObscured xmlns:a14="http://schemas.microsoft.com/office/drawing/2010/main"/>
                      </a:ext>
                    </a:extLst>
                  </pic:spPr>
                </pic:pic>
              </a:graphicData>
            </a:graphic>
          </wp:inline>
        </w:drawing>
      </w:r>
    </w:p>
    <w:p w14:paraId="2ED50E92" w14:textId="77777777" w:rsidR="00D86857" w:rsidRDefault="00D86857" w:rsidP="00D86857">
      <w:pPr>
        <w:pStyle w:val="Figure"/>
        <w:tabs>
          <w:tab w:val="left" w:pos="701"/>
        </w:tabs>
        <w:rPr>
          <w:rFonts w:ascii="Franklin Gothic Book" w:hAnsi="Franklin Gothic Book"/>
        </w:rPr>
      </w:pPr>
    </w:p>
    <w:p w14:paraId="3E9CB0BC" w14:textId="77777777" w:rsidR="00D86857" w:rsidRDefault="00D86857" w:rsidP="00D86857">
      <w:pPr>
        <w:pStyle w:val="Figure"/>
        <w:tabs>
          <w:tab w:val="left" w:pos="701"/>
        </w:tabs>
        <w:rPr>
          <w:rFonts w:ascii="Franklin Gothic Book" w:hAnsi="Franklin Gothic Book"/>
        </w:rPr>
      </w:pPr>
      <w:r w:rsidRPr="00164C5A">
        <w:rPr>
          <w:noProof/>
        </w:rPr>
        <w:lastRenderedPageBreak/>
        <w:drawing>
          <wp:inline distT="0" distB="0" distL="0" distR="0" wp14:anchorId="05E1F319" wp14:editId="4837B656">
            <wp:extent cx="8442960" cy="5669726"/>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45" t="-553" r="49700" b="49635"/>
                    <a:stretch/>
                  </pic:blipFill>
                  <pic:spPr bwMode="auto">
                    <a:xfrm>
                      <a:off x="0" y="0"/>
                      <a:ext cx="8453852" cy="5677041"/>
                    </a:xfrm>
                    <a:prstGeom prst="rect">
                      <a:avLst/>
                    </a:prstGeom>
                    <a:noFill/>
                    <a:ln>
                      <a:noFill/>
                    </a:ln>
                    <a:extLst>
                      <a:ext uri="{53640926-AAD7-44D8-BBD7-CCE9431645EC}">
                        <a14:shadowObscured xmlns:a14="http://schemas.microsoft.com/office/drawing/2010/main"/>
                      </a:ext>
                    </a:extLst>
                  </pic:spPr>
                </pic:pic>
              </a:graphicData>
            </a:graphic>
          </wp:inline>
        </w:drawing>
      </w:r>
    </w:p>
    <w:p w14:paraId="1C34F0E5" w14:textId="77777777" w:rsidR="00D86857" w:rsidRDefault="00D86857" w:rsidP="00D86857">
      <w:pPr>
        <w:pStyle w:val="Figure"/>
        <w:tabs>
          <w:tab w:val="left" w:pos="701"/>
        </w:tabs>
        <w:rPr>
          <w:rFonts w:ascii="Franklin Gothic Book" w:hAnsi="Franklin Gothic Book"/>
        </w:rPr>
      </w:pPr>
      <w:r w:rsidRPr="00164C5A">
        <w:rPr>
          <w:noProof/>
        </w:rPr>
        <w:lastRenderedPageBreak/>
        <w:drawing>
          <wp:inline distT="0" distB="0" distL="0" distR="0" wp14:anchorId="1C5ADA2F" wp14:editId="647107DA">
            <wp:extent cx="8437880" cy="616235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44" t="-510" r="49628" b="49409"/>
                    <a:stretch/>
                  </pic:blipFill>
                  <pic:spPr bwMode="auto">
                    <a:xfrm>
                      <a:off x="0" y="0"/>
                      <a:ext cx="8455722" cy="6175389"/>
                    </a:xfrm>
                    <a:prstGeom prst="rect">
                      <a:avLst/>
                    </a:prstGeom>
                    <a:noFill/>
                    <a:ln>
                      <a:noFill/>
                    </a:ln>
                    <a:extLst>
                      <a:ext uri="{53640926-AAD7-44D8-BBD7-CCE9431645EC}">
                        <a14:shadowObscured xmlns:a14="http://schemas.microsoft.com/office/drawing/2010/main"/>
                      </a:ext>
                    </a:extLst>
                  </pic:spPr>
                </pic:pic>
              </a:graphicData>
            </a:graphic>
          </wp:inline>
        </w:drawing>
      </w:r>
    </w:p>
    <w:p w14:paraId="360A3771" w14:textId="77777777" w:rsidR="00D86857" w:rsidRDefault="00D86857" w:rsidP="00D86857">
      <w:pPr>
        <w:pStyle w:val="Figure"/>
        <w:tabs>
          <w:tab w:val="left" w:pos="701"/>
        </w:tabs>
        <w:rPr>
          <w:rFonts w:ascii="Franklin Gothic Book" w:hAnsi="Franklin Gothic Book"/>
        </w:rPr>
      </w:pPr>
    </w:p>
    <w:p w14:paraId="40FDB102" w14:textId="77777777" w:rsidR="00D86857" w:rsidRDefault="00D86857" w:rsidP="00D86857">
      <w:pPr>
        <w:pStyle w:val="Figure"/>
        <w:tabs>
          <w:tab w:val="left" w:pos="701"/>
        </w:tabs>
        <w:rPr>
          <w:rFonts w:ascii="Franklin Gothic Book" w:hAnsi="Franklin Gothic Book"/>
        </w:rPr>
      </w:pPr>
      <w:r w:rsidRPr="00164C5A">
        <w:rPr>
          <w:noProof/>
        </w:rPr>
        <w:drawing>
          <wp:inline distT="0" distB="0" distL="0" distR="0" wp14:anchorId="5F471AAC" wp14:editId="45D72894">
            <wp:extent cx="8547100" cy="284076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593" r="49554" b="48712"/>
                    <a:stretch/>
                  </pic:blipFill>
                  <pic:spPr bwMode="auto">
                    <a:xfrm>
                      <a:off x="0" y="0"/>
                      <a:ext cx="8565182" cy="2846773"/>
                    </a:xfrm>
                    <a:prstGeom prst="rect">
                      <a:avLst/>
                    </a:prstGeom>
                    <a:noFill/>
                    <a:ln>
                      <a:noFill/>
                    </a:ln>
                    <a:extLst>
                      <a:ext uri="{53640926-AAD7-44D8-BBD7-CCE9431645EC}">
                        <a14:shadowObscured xmlns:a14="http://schemas.microsoft.com/office/drawing/2010/main"/>
                      </a:ext>
                    </a:extLst>
                  </pic:spPr>
                </pic:pic>
              </a:graphicData>
            </a:graphic>
          </wp:inline>
        </w:drawing>
      </w:r>
    </w:p>
    <w:p w14:paraId="5F7C7417" w14:textId="77777777" w:rsidR="00D86857" w:rsidRDefault="00D86857" w:rsidP="00D86857">
      <w:pPr>
        <w:pStyle w:val="BodyText"/>
        <w:sectPr w:rsidR="00D86857" w:rsidSect="006B2354">
          <w:pgSz w:w="15840" w:h="12240" w:orient="landscape" w:code="1"/>
          <w:pgMar w:top="1080" w:right="1440" w:bottom="1080" w:left="1440" w:header="720" w:footer="58" w:gutter="0"/>
          <w:cols w:space="720"/>
          <w:docGrid w:linePitch="360"/>
        </w:sectPr>
      </w:pPr>
      <w:r w:rsidRPr="002D4B6C">
        <w:t>.</w:t>
      </w:r>
    </w:p>
    <w:p w14:paraId="0AD84171" w14:textId="1C3D678D" w:rsidR="000A6EA8" w:rsidRDefault="00914033" w:rsidP="00914033">
      <w:pPr>
        <w:pStyle w:val="Heading1"/>
      </w:pPr>
      <w:bookmarkStart w:id="121" w:name="_Toc81138705"/>
      <w:bookmarkStart w:id="122" w:name="_Toc80191676"/>
      <w:r>
        <w:lastRenderedPageBreak/>
        <w:t>Appendix C – Resource Adequacy</w:t>
      </w:r>
      <w:r w:rsidR="00247748">
        <w:t xml:space="preserve"> Models and Analysis</w:t>
      </w:r>
      <w:bookmarkEnd w:id="121"/>
      <w:r>
        <w:t xml:space="preserve"> </w:t>
      </w:r>
    </w:p>
    <w:p w14:paraId="33476BF9" w14:textId="5F011AC0" w:rsidR="0028239F" w:rsidRDefault="0028239F" w:rsidP="000A6EA8">
      <w:pPr>
        <w:pStyle w:val="Heading2"/>
      </w:pPr>
      <w:bookmarkStart w:id="123" w:name="_Toc81138706"/>
      <w:r>
        <w:t>Modeling Background</w:t>
      </w:r>
      <w:bookmarkEnd w:id="123"/>
    </w:p>
    <w:p w14:paraId="13A71794" w14:textId="2C5D9655" w:rsidR="0028239F" w:rsidRPr="000C7947" w:rsidRDefault="0028239F" w:rsidP="0028239F">
      <w:pPr>
        <w:pStyle w:val="BodyText"/>
      </w:pPr>
      <w:r w:rsidRPr="000C7947">
        <w:t>The NYISO conducts its resource adequacy analysis using the GE-MARS</w:t>
      </w:r>
      <w:r>
        <w:t xml:space="preserve"> </w:t>
      </w:r>
      <w:r w:rsidRPr="000C7947">
        <w:t>software package, which performs probabilistic simulations of outages of capacity and select transmission resources</w:t>
      </w:r>
      <w:r>
        <w:t xml:space="preserve">. </w:t>
      </w:r>
      <w:r w:rsidRPr="000C7947">
        <w:rPr>
          <w:lang w:bidi="en-US"/>
        </w:rPr>
        <w:t xml:space="preserve">The program </w:t>
      </w:r>
      <w:r>
        <w:t>employs a sequential Monte Carlo simulation method</w:t>
      </w:r>
      <w:r w:rsidRPr="000C7947">
        <w:rPr>
          <w:lang w:bidi="en-US"/>
        </w:rPr>
        <w:t xml:space="preserve"> </w:t>
      </w:r>
      <w:r>
        <w:rPr>
          <w:lang w:bidi="en-US"/>
        </w:rPr>
        <w:t xml:space="preserve">and </w:t>
      </w:r>
      <w:r w:rsidRPr="000C7947">
        <w:rPr>
          <w:lang w:bidi="en-US"/>
        </w:rPr>
        <w:t xml:space="preserve">calculates expected values of reliability indices such as LOLE </w:t>
      </w:r>
      <w:r>
        <w:rPr>
          <w:lang w:bidi="en-US"/>
        </w:rPr>
        <w:t>(</w:t>
      </w:r>
      <w:r w:rsidRPr="000C7947">
        <w:rPr>
          <w:lang w:bidi="en-US"/>
        </w:rPr>
        <w:t>days/year) and includes load, generation, and transmission representation</w:t>
      </w:r>
      <w:r>
        <w:rPr>
          <w:lang w:bidi="en-US"/>
        </w:rPr>
        <w:t xml:space="preserve">.  Additional modeling details and links to various stakeholders’ presentations are in the </w:t>
      </w:r>
      <w:proofErr w:type="gramStart"/>
      <w:r>
        <w:rPr>
          <w:lang w:bidi="en-US"/>
        </w:rPr>
        <w:t>assumptions</w:t>
      </w:r>
      <w:proofErr w:type="gramEnd"/>
      <w:r>
        <w:rPr>
          <w:lang w:bidi="en-US"/>
        </w:rPr>
        <w:t xml:space="preserve"> matrix, </w:t>
      </w:r>
      <w:r w:rsidRPr="0028239F">
        <w:rPr>
          <w:lang w:bidi="en-US"/>
        </w:rPr>
        <w:t>below</w:t>
      </w:r>
      <w:r>
        <w:rPr>
          <w:lang w:bidi="en-US"/>
        </w:rPr>
        <w:t xml:space="preserve">.  </w:t>
      </w:r>
      <w:r w:rsidRPr="00517241">
        <w:t xml:space="preserve">In determining the reliability of a system, there are several types of randomly occurring events that </w:t>
      </w:r>
      <w:r>
        <w:t>are</w:t>
      </w:r>
      <w:r w:rsidRPr="00517241">
        <w:t xml:space="preserve"> taken into consideration</w:t>
      </w:r>
      <w:r>
        <w:t xml:space="preserve">.  </w:t>
      </w:r>
      <w:r w:rsidRPr="00517241">
        <w:t xml:space="preserve">Among these are the forced outages of </w:t>
      </w:r>
      <w:r>
        <w:t>generation and transmission</w:t>
      </w:r>
      <w:r w:rsidRPr="00517241">
        <w:t>, and deviations from the forecasted loads</w:t>
      </w:r>
      <w:r>
        <w:t xml:space="preserve">.  </w:t>
      </w:r>
    </w:p>
    <w:p w14:paraId="27CA4039" w14:textId="77777777" w:rsidR="0028239F" w:rsidRPr="0028239F" w:rsidRDefault="0028239F" w:rsidP="0028239F">
      <w:pPr>
        <w:pStyle w:val="BodyText"/>
        <w:rPr>
          <w:b/>
          <w:color w:val="C00000"/>
        </w:rPr>
      </w:pPr>
      <w:r w:rsidRPr="0028239F">
        <w:rPr>
          <w:b/>
        </w:rPr>
        <w:t xml:space="preserve">Generation Model </w:t>
      </w:r>
    </w:p>
    <w:p w14:paraId="150E7F9C" w14:textId="77777777" w:rsidR="0028239F" w:rsidRPr="00BE6903" w:rsidRDefault="0028239F" w:rsidP="0028239F">
      <w:pPr>
        <w:pStyle w:val="BodyText"/>
      </w:pPr>
      <w:r w:rsidRPr="000C7947">
        <w:t xml:space="preserve">The NYISO models the </w:t>
      </w:r>
      <w:r>
        <w:t>generation</w:t>
      </w:r>
      <w:r w:rsidRPr="000C7947">
        <w:t xml:space="preserve"> system in GE-MARS using </w:t>
      </w:r>
      <w:r>
        <w:t xml:space="preserve">several types of units. Thermal </w:t>
      </w:r>
      <w:proofErr w:type="gramStart"/>
      <w:r>
        <w:t>units</w:t>
      </w:r>
      <w:proofErr w:type="gramEnd"/>
      <w:r>
        <w:t xml:space="preserve"> considerations include: random forced outages as determined by Generator Availability Data System (GADS) — calculated </w:t>
      </w:r>
      <w:proofErr w:type="spellStart"/>
      <w:r>
        <w:t>EFORd</w:t>
      </w:r>
      <w:proofErr w:type="spellEnd"/>
      <w:r>
        <w:t xml:space="preserve"> and the Monte Carlo draw, scheduled and unplanned maintenance, and thermal derates.  Renewable resource units (</w:t>
      </w:r>
      <w:r w:rsidRPr="00B47652">
        <w:rPr>
          <w:i/>
        </w:rPr>
        <w:t>i.e</w:t>
      </w:r>
      <w:r>
        <w:rPr>
          <w:i/>
        </w:rPr>
        <w:t xml:space="preserve">., </w:t>
      </w:r>
      <w:r>
        <w:t>solar PV, wind, run-of-river hydro and landfill gas) are modeled using five years of historical production data. Co-generation units are also modeled using a capacity and load profile for each unit.</w:t>
      </w:r>
    </w:p>
    <w:p w14:paraId="68424049" w14:textId="77777777" w:rsidR="0028239F" w:rsidRPr="0028239F" w:rsidRDefault="0028239F" w:rsidP="0028239F">
      <w:pPr>
        <w:pStyle w:val="BodyText"/>
        <w:rPr>
          <w:b/>
        </w:rPr>
      </w:pPr>
      <w:r w:rsidRPr="0028239F">
        <w:rPr>
          <w:b/>
        </w:rPr>
        <w:t>Load Model</w:t>
      </w:r>
    </w:p>
    <w:p w14:paraId="50A92EB3" w14:textId="77777777" w:rsidR="0028239F" w:rsidRDefault="0028239F" w:rsidP="0028239F">
      <w:pPr>
        <w:pStyle w:val="BodyText"/>
      </w:pPr>
      <w:r>
        <w:t>The load model in the NYISO GE-MARS model consists of historical load shapes and load forecast uncertainty (LFU). The NYISO uses three historical load shapes in the GE-MARS model (2002, 2006 and 2007) in seven different load levels using a normal distribution. LFU is applied to every hour of these historical shapes and each of the seven load levels are run through the GE-MARS model.</w:t>
      </w:r>
    </w:p>
    <w:p w14:paraId="05715E60" w14:textId="77777777" w:rsidR="0028239F" w:rsidRPr="0028239F" w:rsidRDefault="0028239F" w:rsidP="0028239F">
      <w:pPr>
        <w:pStyle w:val="BodyText"/>
        <w:rPr>
          <w:b/>
        </w:rPr>
      </w:pPr>
      <w:r w:rsidRPr="0028239F">
        <w:rPr>
          <w:b/>
        </w:rPr>
        <w:t>External Areas Model</w:t>
      </w:r>
    </w:p>
    <w:p w14:paraId="693E3814" w14:textId="77777777" w:rsidR="0028239F" w:rsidRPr="007B5A5C" w:rsidRDefault="0028239F" w:rsidP="0028239F">
      <w:pPr>
        <w:pStyle w:val="BodyText"/>
      </w:pPr>
      <w:r w:rsidRPr="000C7947">
        <w:rPr>
          <w:lang w:bidi="en-US"/>
        </w:rPr>
        <w:t xml:space="preserve">The </w:t>
      </w:r>
      <w:r>
        <w:rPr>
          <w:lang w:bidi="en-US"/>
        </w:rPr>
        <w:t xml:space="preserve">NYISO models the </w:t>
      </w:r>
      <w:r w:rsidRPr="000C7947">
        <w:rPr>
          <w:lang w:bidi="en-US"/>
        </w:rPr>
        <w:t xml:space="preserve">four external Control Areas interconnected to the </w:t>
      </w:r>
      <w:proofErr w:type="gramStart"/>
      <w:r w:rsidRPr="000C7947">
        <w:rPr>
          <w:lang w:bidi="en-US"/>
        </w:rPr>
        <w:t>NYCA</w:t>
      </w:r>
      <w:r>
        <w:rPr>
          <w:lang w:bidi="en-US"/>
        </w:rPr>
        <w:t>;</w:t>
      </w:r>
      <w:proofErr w:type="gramEnd"/>
      <w:r w:rsidRPr="000C7947">
        <w:rPr>
          <w:lang w:bidi="en-US"/>
        </w:rPr>
        <w:t xml:space="preserve"> </w:t>
      </w:r>
      <w:r>
        <w:rPr>
          <w:lang w:bidi="en-US"/>
        </w:rPr>
        <w:t xml:space="preserve">(ISO-New England, PJM, Ontario and Quebec). The transfer limits between the NYCA and the external areas are set in collaboration with the NPCC CP-8 Working Group and are shown in the MARS Topology </w:t>
      </w:r>
      <w:r>
        <w:rPr>
          <w:lang w:bidi="en-US"/>
        </w:rPr>
        <w:fldChar w:fldCharType="begin"/>
      </w:r>
      <w:r>
        <w:rPr>
          <w:lang w:bidi="en-US"/>
        </w:rPr>
        <w:instrText xml:space="preserve"> REF _Ref47079403 \h </w:instrText>
      </w:r>
      <w:r>
        <w:rPr>
          <w:lang w:bidi="en-US"/>
        </w:rPr>
      </w:r>
      <w:r>
        <w:rPr>
          <w:lang w:bidi="en-US"/>
        </w:rPr>
        <w:fldChar w:fldCharType="separate"/>
      </w:r>
      <w:r w:rsidRPr="002A031A">
        <w:t xml:space="preserve">Figure </w:t>
      </w:r>
      <w:r>
        <w:rPr>
          <w:noProof/>
        </w:rPr>
        <w:t>46</w:t>
      </w:r>
      <w:r>
        <w:rPr>
          <w:lang w:bidi="en-US"/>
        </w:rPr>
        <w:fldChar w:fldCharType="end"/>
      </w:r>
      <w:r>
        <w:rPr>
          <w:lang w:bidi="en-US"/>
        </w:rPr>
        <w:t xml:space="preserve">.  </w:t>
      </w:r>
      <w:r>
        <w:t>Additionally, the probabilistic model used in the 2020 RNA to assess resource adequacy employs a number of methods aimed at preventing overreliance on support from the external systems. These include imposing a limit of 3,500 MW to the total emergency assistance from all neighbors, modeling simultaneous peak days, and modeling the long-term purchases and sales with neighboring control areas</w:t>
      </w:r>
      <w:r>
        <w:rPr>
          <w:i/>
          <w:iCs/>
        </w:rPr>
        <w:t>.</w:t>
      </w:r>
    </w:p>
    <w:p w14:paraId="12FA41BE" w14:textId="77777777" w:rsidR="0028239F" w:rsidRPr="0028239F" w:rsidRDefault="0028239F" w:rsidP="0028239F">
      <w:pPr>
        <w:pStyle w:val="BodyText"/>
        <w:rPr>
          <w:b/>
        </w:rPr>
      </w:pPr>
      <w:r w:rsidRPr="0028239F">
        <w:rPr>
          <w:b/>
        </w:rPr>
        <w:lastRenderedPageBreak/>
        <w:t xml:space="preserve">MARS Topology  </w:t>
      </w:r>
    </w:p>
    <w:p w14:paraId="25B8CDC6" w14:textId="77777777" w:rsidR="0028239F" w:rsidRPr="000C7947" w:rsidRDefault="0028239F" w:rsidP="0028239F">
      <w:pPr>
        <w:pStyle w:val="BodyText"/>
      </w:pPr>
      <w:r w:rsidRPr="000C7947">
        <w:t xml:space="preserve">The NYISO models the </w:t>
      </w:r>
      <w:r>
        <w:t>amount of power that could be transferred across the system</w:t>
      </w:r>
      <w:r w:rsidRPr="000C7947">
        <w:t xml:space="preserve"> in GE-MARS using interface transfer limits applied to the connections between the GE-MARS areas</w:t>
      </w:r>
      <w:r>
        <w:rPr>
          <w:rStyle w:val="FootnoteReference"/>
        </w:rPr>
        <w:footnoteReference w:id="30"/>
      </w:r>
      <w:r w:rsidRPr="000C7947">
        <w:t xml:space="preserve"> (“bubble-and-pipe” model).</w:t>
      </w:r>
    </w:p>
    <w:p w14:paraId="3BE545E9" w14:textId="3BB1E914" w:rsidR="00914033" w:rsidRDefault="00914033" w:rsidP="000A6EA8">
      <w:pPr>
        <w:pStyle w:val="Heading2"/>
      </w:pPr>
      <w:bookmarkStart w:id="124" w:name="_Toc81138707"/>
      <w:r>
        <w:t xml:space="preserve">Impacts of the Post-RNA </w:t>
      </w:r>
      <w:r w:rsidR="002C035C">
        <w:t xml:space="preserve">(CRP) </w:t>
      </w:r>
      <w:r>
        <w:t>Changes</w:t>
      </w:r>
      <w:bookmarkEnd w:id="124"/>
    </w:p>
    <w:p w14:paraId="60A325AB" w14:textId="77777777" w:rsidR="005B4E95" w:rsidRPr="004A7469" w:rsidRDefault="005B4E95" w:rsidP="005B4E95">
      <w:pPr>
        <w:pStyle w:val="BodyText"/>
      </w:pPr>
      <w:r>
        <w:t>The impacts of the changes from the final RNA MARS base case to the CRP MARS base case are described below:</w:t>
      </w:r>
    </w:p>
    <w:p w14:paraId="6DE8EA22" w14:textId="782AA539" w:rsidR="005B4E95" w:rsidRDefault="005B4E95" w:rsidP="005B4E95">
      <w:pPr>
        <w:pStyle w:val="BodyText"/>
        <w:numPr>
          <w:ilvl w:val="0"/>
          <w:numId w:val="13"/>
        </w:numPr>
      </w:pPr>
      <w:r>
        <w:t xml:space="preserve">An updated load forecast was modeled in the MARS Base Cases. </w:t>
      </w:r>
      <w:r w:rsidR="0010618F">
        <w:t xml:space="preserve"> </w:t>
      </w:r>
      <w:r>
        <w:t>This change decreased the NYCA LOLE, mainly due to the decrease in the load forecast in Zone J.</w:t>
      </w:r>
    </w:p>
    <w:p w14:paraId="1B6B1277" w14:textId="77777777" w:rsidR="005B4E95" w:rsidRPr="001E7E5A" w:rsidRDefault="005B4E95" w:rsidP="002C035C">
      <w:pPr>
        <w:pStyle w:val="BodyText"/>
        <w:ind w:left="1152" w:firstLine="0"/>
        <w:jc w:val="left"/>
      </w:pPr>
      <w:r w:rsidRPr="001E7E5A">
        <w:t>Below are the updated end-use energy and peak demand forecasts (along with the resulting final baseline forecasts).  There were no updates to any other forecast components.</w:t>
      </w:r>
    </w:p>
    <w:p w14:paraId="22C6C5EA" w14:textId="71793083" w:rsidR="005B4E95" w:rsidRPr="004C7A82" w:rsidRDefault="005B4E95" w:rsidP="005B4E95">
      <w:pPr>
        <w:pStyle w:val="BodyText"/>
        <w:numPr>
          <w:ilvl w:val="0"/>
          <w:numId w:val="13"/>
        </w:numPr>
      </w:pPr>
      <w:r>
        <w:t>T</w:t>
      </w:r>
      <w:r w:rsidRPr="004C7A82">
        <w:t>he Con</w:t>
      </w:r>
      <w:r>
        <w:t xml:space="preserve"> </w:t>
      </w:r>
      <w:r w:rsidRPr="004C7A82">
        <w:t>Ed</w:t>
      </w:r>
      <w:r>
        <w:t>ison</w:t>
      </w:r>
      <w:r w:rsidRPr="004C7A82">
        <w:t xml:space="preserve"> series reactors status change impacts</w:t>
      </w:r>
      <w:r>
        <w:t xml:space="preserve"> on the MARS topology are described below. </w:t>
      </w:r>
      <w:r w:rsidR="001F01B7">
        <w:t xml:space="preserve"> </w:t>
      </w:r>
      <w:r>
        <w:t>The impacts are</w:t>
      </w:r>
      <w:r w:rsidRPr="004C7A82">
        <w:t xml:space="preserve"> throughout the entire RNA Study Period (2024-2030):</w:t>
      </w:r>
    </w:p>
    <w:p w14:paraId="3EA3739B" w14:textId="77777777" w:rsidR="005B4E95" w:rsidRPr="004C7A82" w:rsidRDefault="005B4E95" w:rsidP="001F01B7">
      <w:pPr>
        <w:pStyle w:val="BodyText"/>
        <w:numPr>
          <w:ilvl w:val="1"/>
          <w:numId w:val="44"/>
        </w:numPr>
        <w:spacing w:line="276" w:lineRule="auto"/>
      </w:pPr>
      <w:r w:rsidRPr="004C7A82">
        <w:t>G to H (UPNY-</w:t>
      </w:r>
      <w:proofErr w:type="spellStart"/>
      <w:r w:rsidRPr="004C7A82">
        <w:t>ConEd</w:t>
      </w:r>
      <w:proofErr w:type="spellEnd"/>
      <w:r w:rsidRPr="004C7A82">
        <w:t xml:space="preserve"> interface) limit decrease</w:t>
      </w:r>
      <w:r>
        <w:t>d</w:t>
      </w:r>
      <w:r w:rsidRPr="004C7A82">
        <w:t xml:space="preserve"> by 750 MW (to 6</w:t>
      </w:r>
      <w:r>
        <w:t>,</w:t>
      </w:r>
      <w:r w:rsidRPr="004C7A82">
        <w:t>625 MW)</w:t>
      </w:r>
    </w:p>
    <w:p w14:paraId="1F96D3BB" w14:textId="77777777" w:rsidR="005B4E95" w:rsidRPr="004C7A82" w:rsidRDefault="005B4E95" w:rsidP="001F01B7">
      <w:pPr>
        <w:pStyle w:val="BodyText"/>
        <w:numPr>
          <w:ilvl w:val="1"/>
          <w:numId w:val="44"/>
        </w:numPr>
        <w:spacing w:line="276" w:lineRule="auto"/>
      </w:pPr>
      <w:r w:rsidRPr="004C7A82">
        <w:t>I to J (</w:t>
      </w:r>
      <w:proofErr w:type="spellStart"/>
      <w:r w:rsidRPr="004C7A82">
        <w:t>Dunwoodie</w:t>
      </w:r>
      <w:proofErr w:type="spellEnd"/>
      <w:r w:rsidRPr="004C7A82">
        <w:t xml:space="preserve"> South interface, and also its grouping) limit increase</w:t>
      </w:r>
      <w:r>
        <w:t>d</w:t>
      </w:r>
      <w:r w:rsidRPr="004C7A82">
        <w:t xml:space="preserve"> by 50 MW (to 4</w:t>
      </w:r>
      <w:r>
        <w:t>,</w:t>
      </w:r>
      <w:r w:rsidRPr="004C7A82">
        <w:t>400 MW)</w:t>
      </w:r>
    </w:p>
    <w:p w14:paraId="78457F47" w14:textId="77777777" w:rsidR="005B4E95" w:rsidRDefault="005B4E95" w:rsidP="005B4E95">
      <w:pPr>
        <w:pStyle w:val="BodyText"/>
        <w:numPr>
          <w:ilvl w:val="0"/>
          <w:numId w:val="13"/>
        </w:numPr>
      </w:pPr>
      <w:r w:rsidRPr="004C7A82">
        <w:t>Con</w:t>
      </w:r>
      <w:r>
        <w:t xml:space="preserve"> </w:t>
      </w:r>
      <w:r w:rsidRPr="004C7A82">
        <w:t xml:space="preserve">Edison’s </w:t>
      </w:r>
      <w:r>
        <w:t xml:space="preserve">proposed Goethals – Fox Hills 138 kV feeder </w:t>
      </w:r>
      <w:r w:rsidRPr="004C7A82">
        <w:t>unbottle</w:t>
      </w:r>
      <w:r>
        <w:t>s</w:t>
      </w:r>
      <w:r w:rsidRPr="004C7A82">
        <w:t xml:space="preserve"> Staten Island </w:t>
      </w:r>
      <w:proofErr w:type="gramStart"/>
      <w:r w:rsidRPr="004C7A82">
        <w:t xml:space="preserve">capacity, </w:t>
      </w:r>
      <w:r>
        <w:t>and</w:t>
      </w:r>
      <w:proofErr w:type="gramEnd"/>
      <w:r>
        <w:t xml:space="preserve"> is </w:t>
      </w:r>
      <w:r w:rsidRPr="004C7A82">
        <w:t xml:space="preserve">reflected in the MARS topology as </w:t>
      </w:r>
      <w:r>
        <w:t xml:space="preserve">an </w:t>
      </w:r>
      <w:r w:rsidRPr="004C7A82">
        <w:t>increase in the corresponding dynamic limits table</w:t>
      </w:r>
      <w:r>
        <w:t>, as well as below.</w:t>
      </w:r>
    </w:p>
    <w:p w14:paraId="2F946B10" w14:textId="77777777" w:rsidR="00715064" w:rsidRDefault="00715064" w:rsidP="005B4E95">
      <w:pPr>
        <w:pStyle w:val="Figure"/>
        <w:jc w:val="left"/>
      </w:pPr>
    </w:p>
    <w:p w14:paraId="63F35FCF" w14:textId="483B8CC6" w:rsidR="005B4E95" w:rsidRPr="00435E49" w:rsidRDefault="0058564B" w:rsidP="005B4E95">
      <w:pPr>
        <w:pStyle w:val="Figure"/>
        <w:jc w:val="left"/>
      </w:pPr>
      <w:r>
        <w:rPr>
          <w:noProof/>
        </w:rPr>
        <w:lastRenderedPageBreak/>
        <w:drawing>
          <wp:anchor distT="0" distB="0" distL="114300" distR="114300" simplePos="0" relativeHeight="251684864" behindDoc="0" locked="0" layoutInCell="1" allowOverlap="1" wp14:anchorId="4A28B379" wp14:editId="6719FC41">
            <wp:simplePos x="0" y="0"/>
            <wp:positionH relativeFrom="column">
              <wp:posOffset>2978670</wp:posOffset>
            </wp:positionH>
            <wp:positionV relativeFrom="paragraph">
              <wp:posOffset>1083137</wp:posOffset>
            </wp:positionV>
            <wp:extent cx="2015490" cy="1289050"/>
            <wp:effectExtent l="0" t="0" r="3810" b="6350"/>
            <wp:wrapSquare wrapText="bothSides"/>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2015490" cy="1289050"/>
                    </a:xfrm>
                    <a:prstGeom prst="rect">
                      <a:avLst/>
                    </a:prstGeom>
                  </pic:spPr>
                </pic:pic>
              </a:graphicData>
            </a:graphic>
            <wp14:sizeRelH relativeFrom="margin">
              <wp14:pctWidth>0</wp14:pctWidth>
            </wp14:sizeRelH>
            <wp14:sizeRelV relativeFrom="margin">
              <wp14:pctHeight>0</wp14:pctHeight>
            </wp14:sizeRelV>
          </wp:anchor>
        </w:drawing>
      </w:r>
      <w:r w:rsidR="005B4E95">
        <w:t xml:space="preserve">Figure </w:t>
      </w:r>
      <w:r w:rsidR="005B4E95" w:rsidRPr="001E5BEA">
        <w:rPr>
          <w:highlight w:val="yellow"/>
        </w:rPr>
        <w:t>xx</w:t>
      </w:r>
      <w:r w:rsidR="005B4E95">
        <w:t>: Staten I</w:t>
      </w:r>
      <w:r>
        <w:t>sland Dynamic Limits Changes</w:t>
      </w:r>
      <w:r w:rsidRPr="00743E8B">
        <w:rPr>
          <w:noProof/>
        </w:rPr>
        <w:drawing>
          <wp:inline distT="0" distB="0" distL="0" distR="0" wp14:anchorId="19B27D55" wp14:editId="0890579B">
            <wp:extent cx="2502330" cy="1517073"/>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27661" cy="1532430"/>
                    </a:xfrm>
                    <a:prstGeom prst="rect">
                      <a:avLst/>
                    </a:prstGeom>
                    <a:noFill/>
                    <a:ln>
                      <a:noFill/>
                    </a:ln>
                  </pic:spPr>
                </pic:pic>
              </a:graphicData>
            </a:graphic>
          </wp:inline>
        </w:drawing>
      </w:r>
      <w:r w:rsidR="005B4E95" w:rsidRPr="00743E8B">
        <w:rPr>
          <w:noProof/>
        </w:rPr>
        <w:drawing>
          <wp:inline distT="0" distB="0" distL="0" distR="0" wp14:anchorId="6311CF09" wp14:editId="1CB8C551">
            <wp:extent cx="2558891" cy="1517015"/>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09291" cy="1546894"/>
                    </a:xfrm>
                    <a:prstGeom prst="rect">
                      <a:avLst/>
                    </a:prstGeom>
                    <a:noFill/>
                    <a:ln>
                      <a:noFill/>
                    </a:ln>
                  </pic:spPr>
                </pic:pic>
              </a:graphicData>
            </a:graphic>
          </wp:inline>
        </w:drawing>
      </w:r>
      <w:r w:rsidR="005B4E95" w:rsidRPr="00743E8B">
        <w:rPr>
          <w:bCs w:val="0"/>
        </w:rPr>
        <w:t xml:space="preserve"> </w:t>
      </w:r>
      <w:r w:rsidR="005B4E95" w:rsidRPr="00743E8B">
        <w:t xml:space="preserve"> </w:t>
      </w:r>
      <w:r w:rsidR="005B4E95">
        <w:br w:type="page"/>
      </w:r>
    </w:p>
    <w:p w14:paraId="0AAF84A9" w14:textId="24FC628D" w:rsidR="005B4E95" w:rsidRPr="0065177D" w:rsidRDefault="005B4E95" w:rsidP="005B4E95">
      <w:pPr>
        <w:pStyle w:val="BodyText"/>
        <w:rPr>
          <w:rStyle w:val="FigureChar"/>
          <w:rFonts w:ascii="Cambria" w:hAnsi="Cambria"/>
          <w:bCs/>
        </w:rPr>
      </w:pPr>
      <w:r w:rsidRPr="0065177D">
        <w:rPr>
          <w:rStyle w:val="FigureChar"/>
          <w:rFonts w:ascii="Cambria" w:hAnsi="Cambria"/>
          <w:bCs/>
        </w:rPr>
        <w:lastRenderedPageBreak/>
        <w:t xml:space="preserve">The updated </w:t>
      </w:r>
      <w:r w:rsidR="001F01B7">
        <w:rPr>
          <w:rStyle w:val="FigureChar"/>
          <w:rFonts w:ascii="Cambria" w:hAnsi="Cambria"/>
          <w:bCs/>
        </w:rPr>
        <w:t xml:space="preserve">CRP </w:t>
      </w:r>
      <w:r w:rsidRPr="0065177D">
        <w:rPr>
          <w:rStyle w:val="FigureChar"/>
          <w:rFonts w:ascii="Cambria" w:hAnsi="Cambria"/>
          <w:bCs/>
        </w:rPr>
        <w:t>MARS topology is below.</w:t>
      </w:r>
    </w:p>
    <w:p w14:paraId="0A80EF8F" w14:textId="77777777" w:rsidR="005B4E95" w:rsidRDefault="005B4E95" w:rsidP="005B4E95">
      <w:pPr>
        <w:pStyle w:val="Figure"/>
        <w:ind w:firstLine="432"/>
      </w:pPr>
      <w:r>
        <w:t>CRP MARS</w:t>
      </w:r>
      <w:r w:rsidRPr="002A031A">
        <w:t xml:space="preserve"> Topology </w:t>
      </w:r>
      <w:r>
        <w:t xml:space="preserve">Study </w:t>
      </w:r>
      <w:r w:rsidRPr="002A031A">
        <w:t>Year</w:t>
      </w:r>
      <w:r>
        <w:t>s</w:t>
      </w:r>
      <w:r w:rsidRPr="002A031A">
        <w:t xml:space="preserve"> 4-</w:t>
      </w:r>
      <w:r>
        <w:t>10</w:t>
      </w:r>
      <w:r w:rsidRPr="002A031A">
        <w:t xml:space="preserve"> (2024 -20</w:t>
      </w:r>
      <w:r>
        <w:t>30</w:t>
      </w:r>
      <w:r w:rsidRPr="002A031A">
        <w:t>)</w:t>
      </w:r>
    </w:p>
    <w:p w14:paraId="17C30049" w14:textId="3B534D40" w:rsidR="001A335D" w:rsidRDefault="005B4E95" w:rsidP="005B4E95">
      <w:pPr>
        <w:pStyle w:val="BodyText"/>
      </w:pPr>
      <w:r>
        <w:object w:dxaOrig="15774" w:dyaOrig="11425" w14:anchorId="2FAED1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8pt;height:405pt" o:ole="">
            <v:imagedata r:id="rId73" o:title=""/>
          </v:shape>
          <o:OLEObject Type="Embed" ProgID="Visio.Drawing.15" ShapeID="_x0000_i1025" DrawAspect="Content" ObjectID="_1692180860" r:id="rId74"/>
        </w:object>
      </w:r>
    </w:p>
    <w:p w14:paraId="4DF50620" w14:textId="4756BC1F" w:rsidR="00274004" w:rsidRDefault="00274004" w:rsidP="005B4E95">
      <w:pPr>
        <w:pStyle w:val="BodyText"/>
      </w:pPr>
      <w:r>
        <w:object w:dxaOrig="15097" w:dyaOrig="9889" w14:anchorId="40DBAA13">
          <v:shape id="_x0000_i1026" type="#_x0000_t75" style="width:502.5pt;height:331.5pt" o:ole="">
            <v:imagedata r:id="rId75" o:title=""/>
          </v:shape>
          <o:OLEObject Type="Embed" ProgID="Visio.Drawing.15" ShapeID="_x0000_i1026" DrawAspect="Content" ObjectID="_1692180861" r:id="rId76"/>
        </w:object>
      </w:r>
    </w:p>
    <w:p w14:paraId="56127FEE" w14:textId="77777777" w:rsidR="00274004" w:rsidRDefault="00274004" w:rsidP="005B4E95">
      <w:pPr>
        <w:pStyle w:val="BodyText"/>
      </w:pPr>
    </w:p>
    <w:p w14:paraId="05C75CFB" w14:textId="2324CE7E" w:rsidR="001F01B7" w:rsidRDefault="001F01B7" w:rsidP="005B4E95">
      <w:pPr>
        <w:pStyle w:val="BodyText"/>
      </w:pPr>
      <w:r>
        <w:t>Additionally, MARS topologies for study year 2021 through 2024 are below:</w:t>
      </w:r>
    </w:p>
    <w:p w14:paraId="0724B80C" w14:textId="77777777" w:rsidR="0058564B" w:rsidRDefault="0058564B" w:rsidP="001F01B7">
      <w:pPr>
        <w:pStyle w:val="Figure"/>
        <w:ind w:firstLine="432"/>
      </w:pPr>
    </w:p>
    <w:p w14:paraId="0CAB3CD2" w14:textId="77777777" w:rsidR="00785274" w:rsidRDefault="00785274">
      <w:pPr>
        <w:rPr>
          <w:rFonts w:ascii="Franklin Gothic Demi" w:eastAsia="Arial Narrow" w:hAnsi="Franklin Gothic Demi"/>
          <w:bCs/>
          <w:szCs w:val="20"/>
          <w:lang w:bidi="ar-SA"/>
        </w:rPr>
      </w:pPr>
      <w:r>
        <w:br w:type="page"/>
      </w:r>
    </w:p>
    <w:p w14:paraId="408BE824" w14:textId="4B5811AF" w:rsidR="001F01B7" w:rsidRDefault="001F01B7" w:rsidP="001F01B7">
      <w:pPr>
        <w:pStyle w:val="Figure"/>
        <w:ind w:firstLine="432"/>
      </w:pPr>
      <w:r>
        <w:lastRenderedPageBreak/>
        <w:t>MARS</w:t>
      </w:r>
      <w:r w:rsidRPr="002A031A">
        <w:t xml:space="preserve"> Topology </w:t>
      </w:r>
      <w:r>
        <w:t xml:space="preserve">Study </w:t>
      </w:r>
      <w:r w:rsidRPr="002A031A">
        <w:t>Year</w:t>
      </w:r>
      <w:r>
        <w:t>s</w:t>
      </w:r>
      <w:r w:rsidRPr="002A031A">
        <w:t xml:space="preserve"> 4-</w:t>
      </w:r>
      <w:r>
        <w:t>10</w:t>
      </w:r>
      <w:r w:rsidRPr="002A031A">
        <w:t xml:space="preserve"> (202</w:t>
      </w:r>
      <w:r>
        <w:t>1</w:t>
      </w:r>
      <w:r w:rsidRPr="002A031A">
        <w:t xml:space="preserve"> -20</w:t>
      </w:r>
      <w:r w:rsidR="00274004">
        <w:t>2</w:t>
      </w:r>
      <w:r>
        <w:t>4</w:t>
      </w:r>
      <w:r w:rsidRPr="002A031A">
        <w:t>)</w:t>
      </w:r>
    </w:p>
    <w:p w14:paraId="637E696E" w14:textId="048753FE" w:rsidR="001A335D" w:rsidRDefault="001F01B7" w:rsidP="00504667">
      <w:pPr>
        <w:pStyle w:val="BodyText"/>
      </w:pPr>
      <w:r>
        <w:object w:dxaOrig="15768" w:dyaOrig="11929" w14:anchorId="6FDAA587">
          <v:shape id="_x0000_i1027" type="#_x0000_t75" style="width:7in;height:381pt" o:ole="">
            <v:imagedata r:id="rId77" o:title=""/>
          </v:shape>
          <o:OLEObject Type="Embed" ProgID="Visio.Drawing.15" ShapeID="_x0000_i1027" DrawAspect="Content" ObjectID="_1692180862" r:id="rId78"/>
        </w:object>
      </w:r>
    </w:p>
    <w:p w14:paraId="56ADFAA2" w14:textId="42905208" w:rsidR="001F01B7" w:rsidRDefault="001F01B7" w:rsidP="00504667">
      <w:pPr>
        <w:pStyle w:val="BodyText"/>
      </w:pPr>
      <w:r>
        <w:object w:dxaOrig="15768" w:dyaOrig="11929" w14:anchorId="092DE7C0">
          <v:shape id="_x0000_i1028" type="#_x0000_t75" style="width:7in;height:381pt" o:ole="">
            <v:imagedata r:id="rId79" o:title=""/>
          </v:shape>
          <o:OLEObject Type="Embed" ProgID="Visio.Drawing.15" ShapeID="_x0000_i1028" DrawAspect="Content" ObjectID="_1692180863" r:id="rId80"/>
        </w:object>
      </w:r>
    </w:p>
    <w:p w14:paraId="35A7CA75" w14:textId="2E1318AE" w:rsidR="001F01B7" w:rsidRDefault="001F01B7" w:rsidP="00504667">
      <w:pPr>
        <w:pStyle w:val="BodyText"/>
      </w:pPr>
      <w:r>
        <w:object w:dxaOrig="15768" w:dyaOrig="11929" w14:anchorId="45FF7621">
          <v:shape id="_x0000_i1029" type="#_x0000_t75" style="width:7in;height:381pt" o:ole="">
            <v:imagedata r:id="rId81" o:title=""/>
          </v:shape>
          <o:OLEObject Type="Embed" ProgID="Visio.Drawing.15" ShapeID="_x0000_i1029" DrawAspect="Content" ObjectID="_1692180864" r:id="rId82"/>
        </w:object>
      </w:r>
    </w:p>
    <w:p w14:paraId="2DA6843C" w14:textId="6B9D405D" w:rsidR="001F01B7" w:rsidRDefault="001F01B7" w:rsidP="00504667">
      <w:pPr>
        <w:pStyle w:val="BodyText"/>
      </w:pPr>
      <w:r>
        <w:object w:dxaOrig="15768" w:dyaOrig="11941" w14:anchorId="194A5C9C">
          <v:shape id="_x0000_i1030" type="#_x0000_t75" style="width:7in;height:381pt" o:ole="">
            <v:imagedata r:id="rId83" o:title=""/>
          </v:shape>
          <o:OLEObject Type="Embed" ProgID="Visio.Drawing.15" ShapeID="_x0000_i1030" DrawAspect="Content" ObjectID="_1692180865" r:id="rId84"/>
        </w:object>
      </w:r>
    </w:p>
    <w:p w14:paraId="0ABB0DC0" w14:textId="4065FE14" w:rsidR="00274004" w:rsidRDefault="00274004" w:rsidP="00504667">
      <w:pPr>
        <w:pStyle w:val="BodyText"/>
      </w:pPr>
      <w:r>
        <w:object w:dxaOrig="14317" w:dyaOrig="10417" w14:anchorId="22B72D53">
          <v:shape id="_x0000_i1031" type="#_x0000_t75" style="width:7in;height:366.75pt" o:ole="">
            <v:imagedata r:id="rId85" o:title=""/>
          </v:shape>
          <o:OLEObject Type="Embed" ProgID="Visio.Drawing.15" ShapeID="_x0000_i1031" DrawAspect="Content" ObjectID="_1692180866" r:id="rId86"/>
        </w:object>
      </w:r>
    </w:p>
    <w:p w14:paraId="23D120E8" w14:textId="3C207D2E" w:rsidR="00274004" w:rsidRDefault="00274004" w:rsidP="00504667">
      <w:pPr>
        <w:pStyle w:val="BodyText"/>
      </w:pPr>
      <w:r>
        <w:object w:dxaOrig="14233" w:dyaOrig="9984" w14:anchorId="7725C0F0">
          <v:shape id="_x0000_i1032" type="#_x0000_t75" style="width:7in;height:354.75pt" o:ole="">
            <v:imagedata r:id="rId87" o:title=""/>
          </v:shape>
          <o:OLEObject Type="Embed" ProgID="Visio.Drawing.15" ShapeID="_x0000_i1032" DrawAspect="Content" ObjectID="_1692180867" r:id="rId88"/>
        </w:object>
      </w:r>
    </w:p>
    <w:p w14:paraId="62EC3037" w14:textId="0F08C6BC" w:rsidR="000772E5" w:rsidRPr="0031764F" w:rsidRDefault="002C035C" w:rsidP="000A6EA8">
      <w:pPr>
        <w:pStyle w:val="Heading2"/>
      </w:pPr>
      <w:bookmarkStart w:id="125" w:name="_Toc81138708"/>
      <w:r w:rsidRPr="0031764F">
        <w:t>CRP Base Case Event Analysis</w:t>
      </w:r>
      <w:bookmarkEnd w:id="125"/>
    </w:p>
    <w:p w14:paraId="53BC5271" w14:textId="6EAC1421" w:rsidR="00C445DA" w:rsidRPr="00F15148" w:rsidRDefault="00C445DA" w:rsidP="00F15148">
      <w:pPr>
        <w:pStyle w:val="BodyText"/>
      </w:pPr>
      <w:r w:rsidRPr="00F15148">
        <w:t>Loss of Load Expectation (LOLE, in days/year) is generally defined as the expected (weighted average) number of days in a given time period (</w:t>
      </w:r>
      <w:r w:rsidRPr="0058564B">
        <w:rPr>
          <w:i/>
        </w:rPr>
        <w:t>e.g.,</w:t>
      </w:r>
      <w:r w:rsidRPr="00F15148">
        <w:t xml:space="preserve"> one study year) when at least one hour from that day, the hourly demand (for each of the seven load bins and per replication) is projected to exceed the zonal resources capacity (event day) in any of the seven load bins.  Within a day, if the zonal demand exceeds the resources in at least </w:t>
      </w:r>
      <w:r w:rsidR="006C747E">
        <w:t>one</w:t>
      </w:r>
      <w:r w:rsidRPr="00F15148">
        <w:t xml:space="preserve"> hour of that day (could be anywhere from </w:t>
      </w:r>
      <w:r w:rsidR="006C747E">
        <w:t>hour 1 to 24</w:t>
      </w:r>
      <w:r w:rsidR="005713E0" w:rsidRPr="00F15148">
        <w:t xml:space="preserve">, consecutive or </w:t>
      </w:r>
      <w:r w:rsidR="0058564B">
        <w:t>not</w:t>
      </w:r>
      <w:r w:rsidRPr="00F15148">
        <w:t xml:space="preserve">), this will be counted as </w:t>
      </w:r>
      <w:r w:rsidRPr="0058564B">
        <w:rPr>
          <w:b/>
        </w:rPr>
        <w:t>one event day</w:t>
      </w:r>
      <w:r w:rsidRPr="00F15148">
        <w:t xml:space="preserve"> for the respective load bin</w:t>
      </w:r>
      <w:r w:rsidR="005713E0" w:rsidRPr="00F15148">
        <w:t xml:space="preserve"> and replication</w:t>
      </w:r>
      <w:r w:rsidRPr="00F15148">
        <w:t xml:space="preserve">. </w:t>
      </w:r>
      <w:r w:rsidR="0058564B">
        <w:t xml:space="preserve"> </w:t>
      </w:r>
      <w:r w:rsidR="006C747E">
        <w:t xml:space="preserve">The NYISO currently simulates </w:t>
      </w:r>
      <w:r w:rsidRPr="00F15148">
        <w:t>2</w:t>
      </w:r>
      <w:r w:rsidR="006C747E">
        <w:t>,</w:t>
      </w:r>
      <w:r w:rsidRPr="00F15148">
        <w:t xml:space="preserve">000 </w:t>
      </w:r>
      <w:r w:rsidR="0042140E" w:rsidRPr="00F15148">
        <w:t>replications per</w:t>
      </w:r>
      <w:r w:rsidRPr="00F15148">
        <w:t xml:space="preserve"> study year and load level (</w:t>
      </w:r>
      <w:r w:rsidR="006C747E">
        <w:t>seven</w:t>
      </w:r>
      <w:r w:rsidRPr="00F15148">
        <w:t xml:space="preserve"> load bins), for a total of 14,000 replications per study year.  Weighted average is based on load bin probability, total bin event days, and total number of replications.</w:t>
      </w:r>
      <w:r w:rsidR="005713E0" w:rsidRPr="00F15148">
        <w:t xml:space="preserve">  NYSRC and NPCC’s LOLE criterion is that the NYCA LOLE not exceed one day in 10 years, or LOLE &lt; 0.1 days/year.</w:t>
      </w:r>
    </w:p>
    <w:p w14:paraId="31721F8D" w14:textId="5A8D1958" w:rsidR="00C445DA" w:rsidRPr="00F15148" w:rsidRDefault="006A6C00" w:rsidP="00F15148">
      <w:pPr>
        <w:pStyle w:val="BodyText"/>
      </w:pPr>
      <w:r w:rsidRPr="00F15148">
        <w:t>For each study year and</w:t>
      </w:r>
      <w:r w:rsidR="00C445DA" w:rsidRPr="00F15148">
        <w:t xml:space="preserve"> </w:t>
      </w:r>
      <w:r w:rsidRPr="00F15148">
        <w:t>i</w:t>
      </w:r>
      <w:r w:rsidR="00C445DA" w:rsidRPr="00F15148">
        <w:t xml:space="preserve">n a single MARS replication, the zonal MW hourly margins (MW surplus or deficit) are calculated for each bin using </w:t>
      </w:r>
      <w:r w:rsidRPr="00F15148">
        <w:t>load forecast uncertainty (</w:t>
      </w:r>
      <w:r w:rsidR="00C445DA" w:rsidRPr="00F15148">
        <w:t>LFU</w:t>
      </w:r>
      <w:r w:rsidRPr="00F15148">
        <w:t>)</w:t>
      </w:r>
      <w:r w:rsidR="00C445DA" w:rsidRPr="00F15148">
        <w:t xml:space="preserve"> applied load, forced outage calculations, hourly shape values (</w:t>
      </w:r>
      <w:r w:rsidR="00C445DA" w:rsidRPr="006C747E">
        <w:rPr>
          <w:i/>
        </w:rPr>
        <w:t>i.e.</w:t>
      </w:r>
      <w:r w:rsidR="006C747E" w:rsidRPr="006C747E">
        <w:rPr>
          <w:i/>
        </w:rPr>
        <w:t>,</w:t>
      </w:r>
      <w:r w:rsidR="00C445DA" w:rsidRPr="00F15148">
        <w:t xml:space="preserve"> wind, solar, </w:t>
      </w:r>
      <w:r w:rsidR="00954DC3">
        <w:t>run-of-river hydro</w:t>
      </w:r>
      <w:r w:rsidR="00C445DA" w:rsidRPr="00F15148">
        <w:t xml:space="preserve">, landfill gas), contracts and interface </w:t>
      </w:r>
      <w:r w:rsidR="00C445DA" w:rsidRPr="00F15148">
        <w:lastRenderedPageBreak/>
        <w:t xml:space="preserve">flows. </w:t>
      </w:r>
      <w:r w:rsidRPr="00F15148">
        <w:t xml:space="preserve"> </w:t>
      </w:r>
      <w:r w:rsidR="00C445DA" w:rsidRPr="00F15148">
        <w:t xml:space="preserve">In instances where there is a deficit in any area, </w:t>
      </w:r>
      <w:r w:rsidRPr="00F15148">
        <w:t>emergency operating procedures (EOPs)</w:t>
      </w:r>
      <w:r w:rsidR="00C445DA" w:rsidRPr="00F15148">
        <w:t xml:space="preserve"> steps are completed until either the deficits are gone, or there are no more EOP steps to call. </w:t>
      </w:r>
      <w:r w:rsidRPr="00F15148">
        <w:t xml:space="preserve"> </w:t>
      </w:r>
      <w:r w:rsidR="00C445DA" w:rsidRPr="00F15148">
        <w:t xml:space="preserve">Once all of this is completed MARS calculates the reliability indices (LOLE, LOLH, LOEE) for the replication. </w:t>
      </w:r>
      <w:r w:rsidRPr="00F15148">
        <w:t xml:space="preserve"> </w:t>
      </w:r>
      <w:r w:rsidR="00C445DA" w:rsidRPr="00F15148">
        <w:t>This occurs concurrently across all load levels simultaneously: MARS lumps them all together in a weighted sum to get a single value for each replication.</w:t>
      </w:r>
    </w:p>
    <w:p w14:paraId="30907B8F" w14:textId="49FFB924" w:rsidR="00692567" w:rsidRDefault="00692567" w:rsidP="00692567">
      <w:pPr>
        <w:pStyle w:val="BodyText"/>
        <w:ind w:firstLine="720"/>
        <w:rPr>
          <w:rFonts w:eastAsiaTheme="minorEastAsia"/>
          <w:color w:val="000000" w:themeColor="text1"/>
          <w:kern w:val="24"/>
        </w:rPr>
      </w:pPr>
      <w:r>
        <w:rPr>
          <w:rFonts w:eastAsiaTheme="minorEastAsia"/>
          <w:color w:val="000000" w:themeColor="text1"/>
          <w:kern w:val="24"/>
        </w:rPr>
        <w:t xml:space="preserve">NYCA </w:t>
      </w:r>
      <w:r w:rsidRPr="002121E5">
        <w:rPr>
          <w:rFonts w:eastAsiaTheme="minorEastAsia"/>
          <w:color w:val="000000" w:themeColor="text1"/>
          <w:kern w:val="24"/>
        </w:rPr>
        <w:t xml:space="preserve">LOLE (days/ year) = </w:t>
      </w:r>
      <m:oMath>
        <m:f>
          <m:fPr>
            <m:ctrlPr>
              <w:rPr>
                <w:rFonts w:ascii="Cambria Math" w:eastAsiaTheme="minorEastAsia" w:hAnsi="Cambria Math"/>
                <w:i/>
                <w:color w:val="000000" w:themeColor="text1"/>
                <w:kern w:val="24"/>
              </w:rPr>
            </m:ctrlPr>
          </m:fPr>
          <m:num>
            <m:r>
              <w:rPr>
                <w:rFonts w:ascii="Cambria Math" w:eastAsiaTheme="minorEastAsia" w:hAnsi="Cambria Math"/>
                <w:color w:val="000000" w:themeColor="text1"/>
                <w:kern w:val="24"/>
              </w:rPr>
              <m:t>1</m:t>
            </m:r>
          </m:num>
          <m:den>
            <m:r>
              <w:rPr>
                <w:rFonts w:ascii="Cambria Math" w:eastAsiaTheme="minorEastAsia" w:hAnsi="Cambria Math"/>
                <w:color w:val="000000" w:themeColor="text1"/>
                <w:kern w:val="24"/>
              </w:rPr>
              <m:t>N</m:t>
            </m:r>
          </m:den>
        </m:f>
        <m:nary>
          <m:naryPr>
            <m:chr m:val="∑"/>
            <m:limLoc m:val="undOvr"/>
            <m:ctrlPr>
              <w:rPr>
                <w:rFonts w:ascii="Cambria Math" w:eastAsiaTheme="minorEastAsia" w:hAnsi="Cambria Math"/>
                <w:i/>
                <w:color w:val="000000" w:themeColor="text1"/>
                <w:kern w:val="24"/>
              </w:rPr>
            </m:ctrlPr>
          </m:naryPr>
          <m:sub>
            <m:r>
              <w:rPr>
                <w:rFonts w:ascii="Cambria Math" w:eastAsiaTheme="minorEastAsia" w:hAnsi="Cambria Math"/>
                <w:color w:val="000000" w:themeColor="text1"/>
                <w:kern w:val="24"/>
              </w:rPr>
              <m:t>i=1</m:t>
            </m:r>
          </m:sub>
          <m:sup>
            <m:r>
              <w:rPr>
                <w:rFonts w:ascii="Cambria Math" w:eastAsiaTheme="minorEastAsia" w:hAnsi="Cambria Math"/>
                <w:color w:val="000000" w:themeColor="text1"/>
                <w:kern w:val="24"/>
              </w:rPr>
              <m:t>7</m:t>
            </m:r>
          </m:sup>
          <m:e>
            <m:sSub>
              <m:sSubPr>
                <m:ctrlPr>
                  <w:rPr>
                    <w:rFonts w:ascii="Cambria Math" w:eastAsiaTheme="minorEastAsia" w:hAnsi="Cambria Math"/>
                    <w:i/>
                    <w:color w:val="000000" w:themeColor="text1"/>
                    <w:kern w:val="24"/>
                  </w:rPr>
                </m:ctrlPr>
              </m:sSubPr>
              <m:e>
                <m:r>
                  <w:rPr>
                    <w:rFonts w:ascii="Cambria Math" w:eastAsiaTheme="minorEastAsia" w:hAnsi="Cambria Math"/>
                    <w:color w:val="000000" w:themeColor="text1"/>
                    <w:kern w:val="24"/>
                  </w:rPr>
                  <m:t>D</m:t>
                </m:r>
              </m:e>
              <m:sub>
                <m:r>
                  <w:rPr>
                    <w:rFonts w:ascii="Cambria Math" w:eastAsiaTheme="minorEastAsia" w:hAnsi="Cambria Math"/>
                    <w:color w:val="000000" w:themeColor="text1"/>
                    <w:kern w:val="24"/>
                  </w:rPr>
                  <m:t>i</m:t>
                </m:r>
              </m:sub>
            </m:sSub>
          </m:e>
        </m:nary>
        <m:sSub>
          <m:sSubPr>
            <m:ctrlPr>
              <w:rPr>
                <w:rFonts w:ascii="Cambria Math" w:eastAsiaTheme="minorEastAsia" w:hAnsi="Cambria Math"/>
                <w:i/>
                <w:color w:val="000000" w:themeColor="text1"/>
                <w:kern w:val="24"/>
              </w:rPr>
            </m:ctrlPr>
          </m:sSubPr>
          <m:e>
            <m:r>
              <w:rPr>
                <w:rFonts w:ascii="Cambria Math" w:eastAsiaTheme="minorEastAsia" w:hAnsi="Cambria Math"/>
                <w:color w:val="000000" w:themeColor="text1"/>
                <w:kern w:val="24"/>
              </w:rPr>
              <m:t>P</m:t>
            </m:r>
          </m:e>
          <m:sub>
            <m:r>
              <w:rPr>
                <w:rFonts w:ascii="Cambria Math" w:eastAsiaTheme="minorEastAsia" w:hAnsi="Cambria Math"/>
                <w:color w:val="000000" w:themeColor="text1"/>
                <w:kern w:val="24"/>
              </w:rPr>
              <m:t>i</m:t>
            </m:r>
          </m:sub>
        </m:sSub>
      </m:oMath>
    </w:p>
    <w:p w14:paraId="6F200123" w14:textId="1BE75828" w:rsidR="00692567" w:rsidRDefault="00692567" w:rsidP="00692567">
      <w:pPr>
        <w:pStyle w:val="NormalWeb"/>
        <w:spacing w:before="0" w:beforeAutospacing="0" w:after="0" w:afterAutospacing="0"/>
        <w:ind w:firstLine="720"/>
        <w:rPr>
          <w:rFonts w:ascii="Cambria" w:eastAsiaTheme="minorEastAsia" w:hAnsi="Cambria"/>
          <w:color w:val="000000" w:themeColor="text1"/>
          <w:kern w:val="24"/>
          <w:sz w:val="22"/>
          <w:szCs w:val="22"/>
        </w:rPr>
      </w:pPr>
      <w:r>
        <w:rPr>
          <w:rFonts w:ascii="Cambria" w:eastAsiaTheme="minorEastAsia" w:hAnsi="Cambria"/>
          <w:color w:val="000000" w:themeColor="text1"/>
          <w:kern w:val="24"/>
          <w:sz w:val="22"/>
          <w:szCs w:val="22"/>
        </w:rPr>
        <w:t xml:space="preserve">NYCA </w:t>
      </w:r>
      <w:r w:rsidRPr="0080476A">
        <w:rPr>
          <w:rFonts w:ascii="Cambria" w:eastAsiaTheme="minorEastAsia" w:hAnsi="Cambria"/>
          <w:color w:val="000000" w:themeColor="text1"/>
          <w:kern w:val="24"/>
          <w:sz w:val="22"/>
          <w:szCs w:val="22"/>
        </w:rPr>
        <w:t>LOLH (hour/ year) =</w:t>
      </w:r>
      <m:oMath>
        <m:f>
          <m:fPr>
            <m:ctrlPr>
              <w:rPr>
                <w:rFonts w:ascii="Cambria Math" w:eastAsiaTheme="minorEastAsia" w:hAnsi="Cambria Math"/>
                <w:i/>
                <w:color w:val="000000" w:themeColor="text1"/>
                <w:kern w:val="24"/>
                <w:sz w:val="22"/>
                <w:szCs w:val="22"/>
              </w:rPr>
            </m:ctrlPr>
          </m:fPr>
          <m:num>
            <m:r>
              <w:rPr>
                <w:rFonts w:ascii="Cambria Math" w:eastAsiaTheme="minorEastAsia" w:hAnsi="Cambria Math"/>
                <w:color w:val="000000" w:themeColor="text1"/>
                <w:kern w:val="24"/>
                <w:sz w:val="22"/>
                <w:szCs w:val="22"/>
              </w:rPr>
              <m:t>1</m:t>
            </m:r>
          </m:num>
          <m:den>
            <m:r>
              <w:rPr>
                <w:rFonts w:ascii="Cambria Math" w:eastAsiaTheme="minorEastAsia" w:hAnsi="Cambria Math"/>
                <w:color w:val="000000" w:themeColor="text1"/>
                <w:kern w:val="24"/>
                <w:sz w:val="22"/>
                <w:szCs w:val="22"/>
              </w:rPr>
              <m:t>N</m:t>
            </m:r>
          </m:den>
        </m:f>
      </m:oMath>
      <w:r w:rsidRPr="0080476A">
        <w:rPr>
          <w:rFonts w:ascii="Cambria" w:eastAsiaTheme="minorEastAsia" w:hAnsi="Cambria"/>
          <w:color w:val="000000" w:themeColor="text1"/>
          <w:kern w:val="24"/>
          <w:sz w:val="22"/>
          <w:szCs w:val="22"/>
        </w:rPr>
        <w:t xml:space="preserve"> </w:t>
      </w:r>
      <m:oMath>
        <m:nary>
          <m:naryPr>
            <m:chr m:val="∑"/>
            <m:limLoc m:val="undOvr"/>
            <m:ctrlPr>
              <w:rPr>
                <w:rFonts w:ascii="Cambria Math" w:eastAsiaTheme="minorEastAsia" w:hAnsi="Cambria Math"/>
                <w:i/>
                <w:color w:val="000000" w:themeColor="text1"/>
                <w:kern w:val="24"/>
                <w:sz w:val="22"/>
                <w:szCs w:val="22"/>
              </w:rPr>
            </m:ctrlPr>
          </m:naryPr>
          <m:sub>
            <m:r>
              <w:rPr>
                <w:rFonts w:ascii="Cambria Math" w:eastAsiaTheme="minorEastAsia" w:hAnsi="Cambria Math"/>
                <w:color w:val="000000" w:themeColor="text1"/>
                <w:kern w:val="24"/>
                <w:sz w:val="22"/>
                <w:szCs w:val="22"/>
              </w:rPr>
              <m:t>i=1</m:t>
            </m:r>
          </m:sub>
          <m:sup>
            <m:r>
              <w:rPr>
                <w:rFonts w:ascii="Cambria Math" w:eastAsiaTheme="minorEastAsia" w:hAnsi="Cambria Math"/>
                <w:color w:val="000000" w:themeColor="text1"/>
                <w:kern w:val="24"/>
                <w:sz w:val="22"/>
                <w:szCs w:val="22"/>
              </w:rPr>
              <m:t>7</m:t>
            </m:r>
          </m:sup>
          <m:e>
            <m:sSub>
              <m:sSubPr>
                <m:ctrlPr>
                  <w:rPr>
                    <w:rFonts w:ascii="Cambria Math" w:eastAsiaTheme="minorEastAsia" w:hAnsi="Cambria Math"/>
                    <w:i/>
                    <w:color w:val="000000" w:themeColor="text1"/>
                    <w:kern w:val="24"/>
                    <w:sz w:val="22"/>
                    <w:szCs w:val="22"/>
                  </w:rPr>
                </m:ctrlPr>
              </m:sSubPr>
              <m:e>
                <m:r>
                  <w:rPr>
                    <w:rFonts w:ascii="Cambria Math" w:eastAsiaTheme="minorEastAsia" w:hAnsi="Cambria Math"/>
                    <w:color w:val="000000" w:themeColor="text1"/>
                    <w:kern w:val="24"/>
                    <w:sz w:val="22"/>
                    <w:szCs w:val="22"/>
                  </w:rPr>
                  <m:t>H</m:t>
                </m:r>
              </m:e>
              <m:sub>
                <m:r>
                  <w:rPr>
                    <w:rFonts w:ascii="Cambria Math" w:eastAsiaTheme="minorEastAsia" w:hAnsi="Cambria Math"/>
                    <w:color w:val="000000" w:themeColor="text1"/>
                    <w:kern w:val="24"/>
                    <w:sz w:val="22"/>
                    <w:szCs w:val="22"/>
                  </w:rPr>
                  <m:t>i</m:t>
                </m:r>
              </m:sub>
            </m:sSub>
          </m:e>
        </m:nary>
        <m:sSub>
          <m:sSubPr>
            <m:ctrlPr>
              <w:rPr>
                <w:rFonts w:ascii="Cambria Math" w:eastAsiaTheme="minorEastAsia" w:hAnsi="Cambria Math"/>
                <w:i/>
                <w:color w:val="000000" w:themeColor="text1"/>
                <w:kern w:val="24"/>
                <w:sz w:val="22"/>
                <w:szCs w:val="22"/>
              </w:rPr>
            </m:ctrlPr>
          </m:sSubPr>
          <m:e>
            <m:r>
              <w:rPr>
                <w:rFonts w:ascii="Cambria Math" w:eastAsiaTheme="minorEastAsia" w:hAnsi="Cambria Math"/>
                <w:color w:val="000000" w:themeColor="text1"/>
                <w:kern w:val="24"/>
                <w:sz w:val="22"/>
                <w:szCs w:val="22"/>
              </w:rPr>
              <m:t>P</m:t>
            </m:r>
          </m:e>
          <m:sub>
            <m:r>
              <w:rPr>
                <w:rFonts w:ascii="Cambria Math" w:eastAsiaTheme="minorEastAsia" w:hAnsi="Cambria Math"/>
                <w:color w:val="000000" w:themeColor="text1"/>
                <w:kern w:val="24"/>
                <w:sz w:val="22"/>
                <w:szCs w:val="22"/>
              </w:rPr>
              <m:t>i</m:t>
            </m:r>
          </m:sub>
        </m:sSub>
      </m:oMath>
    </w:p>
    <w:p w14:paraId="152DB746" w14:textId="64E3A51F" w:rsidR="00692567" w:rsidRDefault="00692567" w:rsidP="00692567">
      <w:pPr>
        <w:pStyle w:val="NormalWeb"/>
        <w:spacing w:before="0" w:beforeAutospacing="0" w:after="0" w:afterAutospacing="0"/>
        <w:ind w:firstLine="720"/>
        <w:rPr>
          <w:rFonts w:ascii="Cambria" w:eastAsiaTheme="minorEastAsia" w:hAnsi="Cambria"/>
          <w:color w:val="000000" w:themeColor="text1"/>
          <w:kern w:val="24"/>
          <w:sz w:val="22"/>
          <w:szCs w:val="22"/>
        </w:rPr>
      </w:pPr>
    </w:p>
    <w:p w14:paraId="1043ACD5" w14:textId="6D00AC32" w:rsidR="00692567" w:rsidRDefault="00692567" w:rsidP="00692567">
      <w:pPr>
        <w:pStyle w:val="NormalWeb"/>
        <w:spacing w:before="0" w:beforeAutospacing="0" w:after="0" w:afterAutospacing="0"/>
        <w:ind w:firstLine="720"/>
        <w:rPr>
          <w:rFonts w:ascii="Cambria" w:eastAsiaTheme="minorEastAsia" w:hAnsi="Cambria"/>
          <w:color w:val="000000" w:themeColor="text1"/>
          <w:kern w:val="24"/>
          <w:sz w:val="22"/>
          <w:szCs w:val="22"/>
        </w:rPr>
      </w:pPr>
      <w:r>
        <w:rPr>
          <w:rFonts w:ascii="Cambria" w:eastAsiaTheme="minorEastAsia" w:hAnsi="Cambria"/>
          <w:color w:val="000000" w:themeColor="text1"/>
          <w:kern w:val="24"/>
          <w:sz w:val="22"/>
          <w:szCs w:val="22"/>
        </w:rPr>
        <w:t xml:space="preserve">NYCA EUE (MWh) = </w:t>
      </w:r>
      <m:oMath>
        <m:f>
          <m:fPr>
            <m:ctrlPr>
              <w:rPr>
                <w:rFonts w:ascii="Cambria Math" w:eastAsiaTheme="minorEastAsia" w:hAnsi="Cambria Math"/>
                <w:i/>
                <w:color w:val="000000" w:themeColor="text1"/>
                <w:kern w:val="24"/>
                <w:sz w:val="22"/>
                <w:szCs w:val="22"/>
              </w:rPr>
            </m:ctrlPr>
          </m:fPr>
          <m:num>
            <m:r>
              <w:rPr>
                <w:rFonts w:ascii="Cambria Math" w:eastAsiaTheme="minorEastAsia" w:hAnsi="Cambria Math"/>
                <w:color w:val="000000" w:themeColor="text1"/>
                <w:kern w:val="24"/>
                <w:sz w:val="22"/>
                <w:szCs w:val="22"/>
              </w:rPr>
              <m:t>1</m:t>
            </m:r>
          </m:num>
          <m:den>
            <m:r>
              <w:rPr>
                <w:rFonts w:ascii="Cambria Math" w:eastAsiaTheme="minorEastAsia" w:hAnsi="Cambria Math"/>
                <w:color w:val="000000" w:themeColor="text1"/>
                <w:kern w:val="24"/>
                <w:sz w:val="22"/>
                <w:szCs w:val="22"/>
              </w:rPr>
              <m:t>N</m:t>
            </m:r>
          </m:den>
        </m:f>
      </m:oMath>
      <w:r w:rsidRPr="0080476A">
        <w:rPr>
          <w:rFonts w:ascii="Cambria" w:eastAsiaTheme="minorEastAsia" w:hAnsi="Cambria"/>
          <w:color w:val="000000" w:themeColor="text1"/>
          <w:kern w:val="24"/>
          <w:sz w:val="22"/>
          <w:szCs w:val="22"/>
        </w:rPr>
        <w:t xml:space="preserve"> </w:t>
      </w:r>
      <m:oMath>
        <m:nary>
          <m:naryPr>
            <m:chr m:val="∑"/>
            <m:limLoc m:val="undOvr"/>
            <m:ctrlPr>
              <w:rPr>
                <w:rFonts w:ascii="Cambria Math" w:eastAsiaTheme="minorEastAsia" w:hAnsi="Cambria Math"/>
                <w:i/>
                <w:color w:val="000000" w:themeColor="text1"/>
                <w:kern w:val="24"/>
                <w:sz w:val="22"/>
                <w:szCs w:val="22"/>
              </w:rPr>
            </m:ctrlPr>
          </m:naryPr>
          <m:sub>
            <m:r>
              <w:rPr>
                <w:rFonts w:ascii="Cambria Math" w:eastAsiaTheme="minorEastAsia" w:hAnsi="Cambria Math"/>
                <w:color w:val="000000" w:themeColor="text1"/>
                <w:kern w:val="24"/>
                <w:sz w:val="22"/>
                <w:szCs w:val="22"/>
              </w:rPr>
              <m:t>i=1</m:t>
            </m:r>
          </m:sub>
          <m:sup>
            <m:r>
              <w:rPr>
                <w:rFonts w:ascii="Cambria Math" w:eastAsiaTheme="minorEastAsia" w:hAnsi="Cambria Math"/>
                <w:color w:val="000000" w:themeColor="text1"/>
                <w:kern w:val="24"/>
                <w:sz w:val="22"/>
                <w:szCs w:val="22"/>
              </w:rPr>
              <m:t>7</m:t>
            </m:r>
          </m:sup>
          <m:e>
            <m:sSub>
              <m:sSubPr>
                <m:ctrlPr>
                  <w:rPr>
                    <w:rFonts w:ascii="Cambria Math" w:eastAsiaTheme="minorEastAsia" w:hAnsi="Cambria Math"/>
                    <w:i/>
                    <w:color w:val="000000" w:themeColor="text1"/>
                    <w:kern w:val="24"/>
                    <w:sz w:val="22"/>
                    <w:szCs w:val="22"/>
                  </w:rPr>
                </m:ctrlPr>
              </m:sSubPr>
              <m:e>
                <m:r>
                  <w:rPr>
                    <w:rFonts w:ascii="Cambria Math" w:eastAsiaTheme="minorEastAsia" w:hAnsi="Cambria Math"/>
                    <w:color w:val="000000" w:themeColor="text1"/>
                    <w:kern w:val="24"/>
                    <w:sz w:val="22"/>
                    <w:szCs w:val="22"/>
                  </w:rPr>
                  <m:t>E</m:t>
                </m:r>
              </m:e>
              <m:sub>
                <m:r>
                  <w:rPr>
                    <w:rFonts w:ascii="Cambria Math" w:eastAsiaTheme="minorEastAsia" w:hAnsi="Cambria Math"/>
                    <w:color w:val="000000" w:themeColor="text1"/>
                    <w:kern w:val="24"/>
                    <w:sz w:val="22"/>
                    <w:szCs w:val="22"/>
                  </w:rPr>
                  <m:t>i</m:t>
                </m:r>
              </m:sub>
            </m:sSub>
          </m:e>
        </m:nary>
        <m:sSub>
          <m:sSubPr>
            <m:ctrlPr>
              <w:rPr>
                <w:rFonts w:ascii="Cambria Math" w:eastAsiaTheme="minorEastAsia" w:hAnsi="Cambria Math"/>
                <w:i/>
                <w:color w:val="000000" w:themeColor="text1"/>
                <w:kern w:val="24"/>
                <w:sz w:val="22"/>
                <w:szCs w:val="22"/>
              </w:rPr>
            </m:ctrlPr>
          </m:sSubPr>
          <m:e>
            <m:r>
              <w:rPr>
                <w:rFonts w:ascii="Cambria Math" w:eastAsiaTheme="minorEastAsia" w:hAnsi="Cambria Math"/>
                <w:color w:val="000000" w:themeColor="text1"/>
                <w:kern w:val="24"/>
                <w:sz w:val="22"/>
                <w:szCs w:val="22"/>
              </w:rPr>
              <m:t>P</m:t>
            </m:r>
          </m:e>
          <m:sub>
            <m:r>
              <w:rPr>
                <w:rFonts w:ascii="Cambria Math" w:eastAsiaTheme="minorEastAsia" w:hAnsi="Cambria Math"/>
                <w:color w:val="000000" w:themeColor="text1"/>
                <w:kern w:val="24"/>
                <w:sz w:val="22"/>
                <w:szCs w:val="22"/>
              </w:rPr>
              <m:t>i</m:t>
            </m:r>
          </m:sub>
        </m:sSub>
      </m:oMath>
    </w:p>
    <w:p w14:paraId="4DDAFC2A" w14:textId="11B6AF6E" w:rsidR="00692567" w:rsidRDefault="00692567" w:rsidP="00692567">
      <w:pPr>
        <w:pStyle w:val="NormalWeb"/>
        <w:spacing w:before="0" w:beforeAutospacing="0" w:after="0" w:afterAutospacing="0"/>
        <w:ind w:firstLine="720"/>
        <w:rPr>
          <w:rFonts w:ascii="Cambria" w:eastAsiaTheme="minorEastAsia" w:hAnsi="Cambria"/>
          <w:color w:val="000000" w:themeColor="text1"/>
          <w:kern w:val="24"/>
          <w:sz w:val="22"/>
          <w:szCs w:val="22"/>
        </w:rPr>
      </w:pPr>
    </w:p>
    <w:p w14:paraId="148AECA3" w14:textId="14E83D23" w:rsidR="00692567" w:rsidRPr="0080476A" w:rsidRDefault="00692567" w:rsidP="00692567">
      <w:pPr>
        <w:pStyle w:val="NormalWeb"/>
        <w:spacing w:before="0" w:beforeAutospacing="0" w:after="0" w:afterAutospacing="0"/>
        <w:ind w:firstLine="720"/>
        <w:rPr>
          <w:rFonts w:ascii="Cambria" w:eastAsiaTheme="minorEastAsia" w:hAnsi="Cambria"/>
          <w:color w:val="000000" w:themeColor="text1"/>
          <w:kern w:val="24"/>
          <w:sz w:val="22"/>
          <w:szCs w:val="22"/>
        </w:rPr>
      </w:pPr>
      <w:r w:rsidRPr="0080476A">
        <w:rPr>
          <w:rFonts w:ascii="Cambria" w:eastAsiaTheme="minorEastAsia" w:hAnsi="Cambria"/>
          <w:color w:val="000000" w:themeColor="text1"/>
          <w:kern w:val="24"/>
          <w:sz w:val="22"/>
          <w:szCs w:val="22"/>
        </w:rPr>
        <w:t xml:space="preserve">where,  </w:t>
      </w:r>
      <m:oMath>
        <m:sSub>
          <m:sSubPr>
            <m:ctrlPr>
              <w:rPr>
                <w:rFonts w:ascii="Cambria Math" w:eastAsiaTheme="minorEastAsia" w:hAnsi="Cambria Math"/>
                <w:b/>
                <w:i/>
                <w:color w:val="000000" w:themeColor="text1"/>
                <w:kern w:val="24"/>
                <w:sz w:val="22"/>
                <w:szCs w:val="22"/>
              </w:rPr>
            </m:ctrlPr>
          </m:sSubPr>
          <m:e>
            <m:r>
              <m:rPr>
                <m:sty m:val="bi"/>
              </m:rPr>
              <w:rPr>
                <w:rFonts w:ascii="Cambria Math" w:eastAsiaTheme="minorEastAsia" w:hAnsi="Cambria Math"/>
                <w:color w:val="000000" w:themeColor="text1"/>
                <w:kern w:val="24"/>
                <w:sz w:val="22"/>
                <w:szCs w:val="22"/>
              </w:rPr>
              <m:t>D</m:t>
            </m:r>
          </m:e>
          <m:sub>
            <m:r>
              <m:rPr>
                <m:sty m:val="bi"/>
              </m:rPr>
              <w:rPr>
                <w:rFonts w:ascii="Cambria Math" w:eastAsiaTheme="minorEastAsia" w:hAnsi="Cambria Math"/>
                <w:color w:val="000000" w:themeColor="text1"/>
                <w:kern w:val="24"/>
                <w:sz w:val="22"/>
                <w:szCs w:val="22"/>
              </w:rPr>
              <m:t>i</m:t>
            </m:r>
          </m:sub>
        </m:sSub>
      </m:oMath>
      <w:r w:rsidRPr="0080476A">
        <w:rPr>
          <w:rFonts w:ascii="Cambria" w:eastAsiaTheme="minorEastAsia" w:hAnsi="Cambria"/>
          <w:color w:val="000000" w:themeColor="text1"/>
          <w:kern w:val="24"/>
          <w:sz w:val="22"/>
          <w:szCs w:val="22"/>
        </w:rPr>
        <w:t xml:space="preserve"> is the </w:t>
      </w:r>
      <w:r w:rsidRPr="00412C2D">
        <w:rPr>
          <w:rFonts w:ascii="Cambria" w:eastAsiaTheme="minorEastAsia" w:hAnsi="Cambria"/>
          <w:b/>
          <w:color w:val="000000" w:themeColor="text1"/>
          <w:kern w:val="24"/>
          <w:sz w:val="22"/>
          <w:szCs w:val="22"/>
        </w:rPr>
        <w:t>event days</w:t>
      </w:r>
      <w:r w:rsidRPr="0080476A">
        <w:rPr>
          <w:rFonts w:ascii="Cambria" w:eastAsiaTheme="minorEastAsia" w:hAnsi="Cambria"/>
          <w:color w:val="000000" w:themeColor="text1"/>
          <w:kern w:val="24"/>
          <w:sz w:val="22"/>
          <w:szCs w:val="22"/>
        </w:rPr>
        <w:t xml:space="preserve"> for bin</w:t>
      </w:r>
      <w:r w:rsidR="00AC20FB">
        <w:rPr>
          <w:rFonts w:ascii="Cambria" w:eastAsiaTheme="minorEastAsia" w:hAnsi="Cambria"/>
          <w:color w:val="000000" w:themeColor="text1"/>
          <w:kern w:val="24"/>
          <w:sz w:val="22"/>
          <w:szCs w:val="22"/>
        </w:rPr>
        <w:t xml:space="preserve"> </w:t>
      </w:r>
      <w:proofErr w:type="spellStart"/>
      <w:r w:rsidR="00AC20FB">
        <w:rPr>
          <w:rFonts w:ascii="Cambria" w:eastAsiaTheme="minorEastAsia" w:hAnsi="Cambria"/>
          <w:color w:val="000000" w:themeColor="text1"/>
          <w:kern w:val="24"/>
          <w:sz w:val="22"/>
          <w:szCs w:val="22"/>
        </w:rPr>
        <w:t>i</w:t>
      </w:r>
      <w:proofErr w:type="spellEnd"/>
      <w:r>
        <w:rPr>
          <w:rFonts w:ascii="Cambria" w:eastAsiaTheme="minorEastAsia" w:hAnsi="Cambria"/>
          <w:color w:val="000000" w:themeColor="text1"/>
          <w:kern w:val="24"/>
          <w:sz w:val="22"/>
          <w:szCs w:val="22"/>
        </w:rPr>
        <w:t xml:space="preserve"> for the study year</w:t>
      </w:r>
    </w:p>
    <w:p w14:paraId="30A4E77B" w14:textId="3F1528A7" w:rsidR="00692567" w:rsidRDefault="00692567" w:rsidP="00692567">
      <w:pPr>
        <w:pStyle w:val="NormalWeb"/>
        <w:spacing w:before="0" w:beforeAutospacing="0" w:after="0" w:afterAutospacing="0"/>
        <w:ind w:firstLine="720"/>
        <w:rPr>
          <w:rFonts w:ascii="Cambria" w:eastAsiaTheme="minorEastAsia" w:hAnsi="Cambria"/>
          <w:color w:val="000000" w:themeColor="text1"/>
          <w:kern w:val="24"/>
          <w:sz w:val="22"/>
          <w:szCs w:val="22"/>
        </w:rPr>
      </w:pPr>
      <w:r w:rsidRPr="0080476A">
        <w:rPr>
          <w:rFonts w:ascii="Cambria" w:eastAsiaTheme="minorEastAsia" w:hAnsi="Cambria"/>
          <w:color w:val="000000" w:themeColor="text1"/>
          <w:kern w:val="24"/>
          <w:sz w:val="22"/>
          <w:szCs w:val="22"/>
        </w:rPr>
        <w:tab/>
      </w:r>
      <w:r w:rsidRPr="00692567">
        <w:rPr>
          <w:rFonts w:ascii="Cambria" w:eastAsiaTheme="minorEastAsia" w:hAnsi="Cambria"/>
          <w:color w:val="000000" w:themeColor="text1"/>
          <w:kern w:val="24"/>
          <w:sz w:val="22"/>
          <w:szCs w:val="22"/>
        </w:rPr>
        <w:t xml:space="preserve"> </w:t>
      </w:r>
      <m:oMath>
        <m:sSub>
          <m:sSubPr>
            <m:ctrlPr>
              <w:rPr>
                <w:rFonts w:ascii="Cambria Math" w:eastAsiaTheme="minorEastAsia" w:hAnsi="Cambria Math"/>
                <w:b/>
                <w:color w:val="000000" w:themeColor="text1"/>
                <w:kern w:val="24"/>
                <w:sz w:val="22"/>
                <w:szCs w:val="22"/>
              </w:rPr>
            </m:ctrlPr>
          </m:sSubPr>
          <m:e>
            <m:r>
              <m:rPr>
                <m:sty m:val="b"/>
              </m:rPr>
              <w:rPr>
                <w:rFonts w:ascii="Cambria Math" w:eastAsiaTheme="minorEastAsia" w:hAnsi="Cambria Math"/>
                <w:color w:val="000000" w:themeColor="text1"/>
                <w:kern w:val="24"/>
                <w:sz w:val="22"/>
                <w:szCs w:val="22"/>
              </w:rPr>
              <m:t>H</m:t>
            </m:r>
          </m:e>
          <m:sub>
            <m:r>
              <m:rPr>
                <m:sty m:val="b"/>
              </m:rPr>
              <w:rPr>
                <w:rFonts w:ascii="Cambria Math" w:eastAsiaTheme="minorEastAsia" w:hAnsi="Cambria Math"/>
                <w:color w:val="000000" w:themeColor="text1"/>
                <w:kern w:val="24"/>
                <w:sz w:val="22"/>
                <w:szCs w:val="22"/>
              </w:rPr>
              <m:t>i</m:t>
            </m:r>
          </m:sub>
        </m:sSub>
      </m:oMath>
      <w:r w:rsidRPr="00692567">
        <w:rPr>
          <w:rFonts w:ascii="Cambria" w:eastAsiaTheme="minorEastAsia" w:hAnsi="Cambria"/>
          <w:b/>
          <w:color w:val="000000" w:themeColor="text1"/>
          <w:kern w:val="24"/>
          <w:sz w:val="22"/>
          <w:szCs w:val="22"/>
        </w:rPr>
        <w:t xml:space="preserve"> is </w:t>
      </w:r>
      <w:r w:rsidRPr="0080476A">
        <w:rPr>
          <w:rFonts w:ascii="Cambria" w:eastAsiaTheme="minorEastAsia" w:hAnsi="Cambria"/>
          <w:color w:val="000000" w:themeColor="text1"/>
          <w:kern w:val="24"/>
          <w:sz w:val="22"/>
          <w:szCs w:val="22"/>
        </w:rPr>
        <w:t xml:space="preserve">the </w:t>
      </w:r>
      <w:r w:rsidRPr="00692567">
        <w:rPr>
          <w:rFonts w:ascii="Cambria" w:eastAsiaTheme="minorEastAsia" w:hAnsi="Cambria"/>
          <w:b/>
          <w:color w:val="000000" w:themeColor="text1"/>
          <w:kern w:val="24"/>
          <w:sz w:val="22"/>
          <w:szCs w:val="22"/>
        </w:rPr>
        <w:t xml:space="preserve">event hours </w:t>
      </w:r>
      <w:r w:rsidRPr="0080476A">
        <w:rPr>
          <w:rFonts w:ascii="Cambria" w:eastAsiaTheme="minorEastAsia" w:hAnsi="Cambria"/>
          <w:color w:val="000000" w:themeColor="text1"/>
          <w:kern w:val="24"/>
          <w:sz w:val="22"/>
          <w:szCs w:val="22"/>
        </w:rPr>
        <w:t xml:space="preserve">for bin </w:t>
      </w:r>
      <w:proofErr w:type="spellStart"/>
      <w:proofErr w:type="gramStart"/>
      <w:r w:rsidRPr="0080476A">
        <w:rPr>
          <w:rFonts w:ascii="Cambria" w:eastAsiaTheme="minorEastAsia" w:hAnsi="Cambria"/>
          <w:color w:val="000000" w:themeColor="text1"/>
          <w:kern w:val="24"/>
          <w:sz w:val="22"/>
          <w:szCs w:val="22"/>
        </w:rPr>
        <w:t>i</w:t>
      </w:r>
      <w:proofErr w:type="spellEnd"/>
      <w:proofErr w:type="gramEnd"/>
    </w:p>
    <w:p w14:paraId="4151315A" w14:textId="112E76B6" w:rsidR="00692567" w:rsidRPr="0080476A" w:rsidRDefault="00692567" w:rsidP="00692567">
      <w:pPr>
        <w:pStyle w:val="NormalWeb"/>
        <w:spacing w:before="0" w:beforeAutospacing="0" w:after="0" w:afterAutospacing="0"/>
        <w:ind w:left="720" w:firstLine="720"/>
        <w:rPr>
          <w:rFonts w:ascii="Cambria" w:eastAsiaTheme="minorEastAsia" w:hAnsi="Cambria"/>
          <w:color w:val="000000" w:themeColor="text1"/>
          <w:kern w:val="24"/>
          <w:sz w:val="22"/>
          <w:szCs w:val="22"/>
        </w:rPr>
      </w:pPr>
      <w:r>
        <w:rPr>
          <w:rFonts w:ascii="Cambria" w:eastAsiaTheme="minorEastAsia" w:hAnsi="Cambria"/>
          <w:b/>
          <w:color w:val="000000" w:themeColor="text1"/>
          <w:kern w:val="24"/>
          <w:sz w:val="22"/>
          <w:szCs w:val="22"/>
        </w:rPr>
        <w:t xml:space="preserve"> </w:t>
      </w:r>
      <w:proofErr w:type="spellStart"/>
      <w:r w:rsidRPr="00446495">
        <w:rPr>
          <w:rFonts w:ascii="Cambria" w:eastAsiaTheme="minorEastAsia" w:hAnsi="Cambria"/>
          <w:b/>
          <w:color w:val="000000" w:themeColor="text1"/>
          <w:kern w:val="24"/>
          <w:sz w:val="22"/>
          <w:szCs w:val="22"/>
        </w:rPr>
        <w:t>Ei</w:t>
      </w:r>
      <w:proofErr w:type="spellEnd"/>
      <w:r>
        <w:rPr>
          <w:rFonts w:ascii="Cambria" w:eastAsiaTheme="minorEastAsia" w:hAnsi="Cambria"/>
          <w:color w:val="000000" w:themeColor="text1"/>
          <w:kern w:val="24"/>
          <w:sz w:val="22"/>
          <w:szCs w:val="22"/>
        </w:rPr>
        <w:t xml:space="preserve"> is the MW deficit for bin </w:t>
      </w:r>
      <w:proofErr w:type="spellStart"/>
      <w:r>
        <w:rPr>
          <w:rFonts w:ascii="Cambria" w:eastAsiaTheme="minorEastAsia" w:hAnsi="Cambria"/>
          <w:color w:val="000000" w:themeColor="text1"/>
          <w:kern w:val="24"/>
          <w:sz w:val="22"/>
          <w:szCs w:val="22"/>
        </w:rPr>
        <w:t>i</w:t>
      </w:r>
      <w:proofErr w:type="spellEnd"/>
    </w:p>
    <w:p w14:paraId="62DF111A" w14:textId="58070AE4" w:rsidR="00692567" w:rsidRPr="0080476A" w:rsidRDefault="0008271B" w:rsidP="00692567">
      <w:pPr>
        <w:pStyle w:val="NormalWeb"/>
        <w:spacing w:before="0" w:beforeAutospacing="0" w:after="0" w:afterAutospacing="0"/>
        <w:ind w:left="1500"/>
        <w:rPr>
          <w:rFonts w:ascii="Cambria" w:eastAsiaTheme="minorEastAsia" w:hAnsi="Cambria"/>
          <w:color w:val="000000" w:themeColor="text1"/>
          <w:kern w:val="24"/>
          <w:sz w:val="22"/>
          <w:szCs w:val="22"/>
        </w:rPr>
      </w:pPr>
      <m:oMath>
        <m:sSub>
          <m:sSubPr>
            <m:ctrlPr>
              <w:rPr>
                <w:rFonts w:ascii="Cambria Math" w:eastAsiaTheme="minorEastAsia" w:hAnsi="Cambria Math"/>
                <w:b/>
                <w:color w:val="000000" w:themeColor="text1"/>
                <w:kern w:val="24"/>
                <w:sz w:val="22"/>
                <w:szCs w:val="22"/>
              </w:rPr>
            </m:ctrlPr>
          </m:sSubPr>
          <m:e>
            <m:r>
              <m:rPr>
                <m:sty m:val="b"/>
              </m:rPr>
              <w:rPr>
                <w:rFonts w:ascii="Cambria Math" w:eastAsiaTheme="minorEastAsia" w:hAnsi="Cambria Math"/>
                <w:color w:val="000000" w:themeColor="text1"/>
                <w:kern w:val="24"/>
                <w:sz w:val="22"/>
                <w:szCs w:val="22"/>
              </w:rPr>
              <m:t>P</m:t>
            </m:r>
          </m:e>
          <m:sub>
            <m:r>
              <m:rPr>
                <m:sty m:val="b"/>
              </m:rPr>
              <w:rPr>
                <w:rFonts w:ascii="Cambria Math" w:eastAsiaTheme="minorEastAsia" w:hAnsi="Cambria Math"/>
                <w:color w:val="000000" w:themeColor="text1"/>
                <w:kern w:val="24"/>
                <w:sz w:val="22"/>
                <w:szCs w:val="22"/>
              </w:rPr>
              <m:t>i</m:t>
            </m:r>
          </m:sub>
        </m:sSub>
        <m:r>
          <w:rPr>
            <w:rFonts w:ascii="Cambria Math" w:eastAsiaTheme="minorEastAsia" w:hAnsi="Cambria Math"/>
            <w:color w:val="000000" w:themeColor="text1"/>
            <w:kern w:val="24"/>
            <w:sz w:val="22"/>
            <w:szCs w:val="22"/>
          </w:rPr>
          <m:t xml:space="preserve"> </m:t>
        </m:r>
      </m:oMath>
      <w:r w:rsidR="00692567" w:rsidRPr="0080476A">
        <w:rPr>
          <w:rFonts w:ascii="Cambria" w:eastAsiaTheme="minorEastAsia" w:hAnsi="Cambria"/>
          <w:color w:val="000000" w:themeColor="text1"/>
          <w:kern w:val="24"/>
          <w:sz w:val="22"/>
          <w:szCs w:val="22"/>
        </w:rPr>
        <w:t xml:space="preserve">is the </w:t>
      </w:r>
      <w:r w:rsidR="00692567" w:rsidRPr="00412C2D">
        <w:rPr>
          <w:rFonts w:ascii="Cambria" w:eastAsiaTheme="minorEastAsia" w:hAnsi="Cambria"/>
          <w:b/>
          <w:color w:val="000000" w:themeColor="text1"/>
          <w:kern w:val="24"/>
          <w:sz w:val="22"/>
          <w:szCs w:val="22"/>
        </w:rPr>
        <w:t xml:space="preserve">probability of occurring </w:t>
      </w:r>
      <w:r w:rsidR="00692567">
        <w:rPr>
          <w:rFonts w:ascii="Cambria" w:eastAsiaTheme="minorEastAsia" w:hAnsi="Cambria"/>
          <w:b/>
          <w:color w:val="000000" w:themeColor="text1"/>
          <w:kern w:val="24"/>
          <w:sz w:val="22"/>
          <w:szCs w:val="22"/>
        </w:rPr>
        <w:t xml:space="preserve">of </w:t>
      </w:r>
      <w:r w:rsidR="00692567" w:rsidRPr="00412C2D">
        <w:rPr>
          <w:rFonts w:ascii="Cambria" w:eastAsiaTheme="minorEastAsia" w:hAnsi="Cambria"/>
          <w:b/>
          <w:color w:val="000000" w:themeColor="text1"/>
          <w:kern w:val="24"/>
          <w:sz w:val="22"/>
          <w:szCs w:val="22"/>
        </w:rPr>
        <w:t xml:space="preserve">bin </w:t>
      </w:r>
      <w:proofErr w:type="spellStart"/>
      <w:r w:rsidR="00692567" w:rsidRPr="00412C2D">
        <w:rPr>
          <w:rFonts w:ascii="Cambria" w:eastAsiaTheme="minorEastAsia" w:hAnsi="Cambria"/>
          <w:b/>
          <w:color w:val="000000" w:themeColor="text1"/>
          <w:kern w:val="24"/>
          <w:sz w:val="22"/>
          <w:szCs w:val="22"/>
        </w:rPr>
        <w:t>i</w:t>
      </w:r>
      <w:proofErr w:type="spellEnd"/>
      <w:r w:rsidR="00692567" w:rsidRPr="0080476A">
        <w:rPr>
          <w:rFonts w:ascii="Cambria" w:eastAsiaTheme="minorEastAsia" w:hAnsi="Cambria"/>
          <w:color w:val="000000" w:themeColor="text1"/>
          <w:kern w:val="24"/>
          <w:sz w:val="22"/>
          <w:szCs w:val="22"/>
        </w:rPr>
        <w:t xml:space="preserve"> which is</w:t>
      </w:r>
      <w:r w:rsidR="00692567">
        <w:rPr>
          <w:rFonts w:ascii="Cambria" w:eastAsiaTheme="minorEastAsia" w:hAnsi="Cambria"/>
          <w:color w:val="000000" w:themeColor="text1"/>
          <w:kern w:val="24"/>
          <w:sz w:val="22"/>
          <w:szCs w:val="22"/>
        </w:rPr>
        <w:t xml:space="preserve"> the LFU probability </w:t>
      </w:r>
      <w:proofErr w:type="gramStart"/>
      <w:r w:rsidR="00692567">
        <w:rPr>
          <w:rFonts w:ascii="Cambria" w:eastAsiaTheme="minorEastAsia" w:hAnsi="Cambria"/>
          <w:color w:val="000000" w:themeColor="text1"/>
          <w:kern w:val="24"/>
          <w:sz w:val="22"/>
          <w:szCs w:val="22"/>
        </w:rPr>
        <w:t>dat</w:t>
      </w:r>
      <w:r w:rsidR="00AC20FB">
        <w:rPr>
          <w:rFonts w:ascii="Cambria" w:eastAsiaTheme="minorEastAsia" w:hAnsi="Cambria"/>
          <w:color w:val="000000" w:themeColor="text1"/>
          <w:kern w:val="24"/>
          <w:sz w:val="22"/>
          <w:szCs w:val="22"/>
        </w:rPr>
        <w:t>a</w:t>
      </w:r>
      <w:proofErr w:type="gramEnd"/>
    </w:p>
    <w:p w14:paraId="229FF042" w14:textId="740878EB" w:rsidR="00692567" w:rsidRPr="0080476A" w:rsidRDefault="00692567" w:rsidP="00692567">
      <w:pPr>
        <w:pStyle w:val="NormalWeb"/>
        <w:spacing w:before="0" w:beforeAutospacing="0" w:after="0" w:afterAutospacing="0"/>
        <w:ind w:left="1500"/>
        <w:rPr>
          <w:rFonts w:ascii="Cambria" w:eastAsiaTheme="minorEastAsia" w:hAnsi="Cambria"/>
          <w:color w:val="000000" w:themeColor="text1"/>
          <w:kern w:val="24"/>
          <w:sz w:val="22"/>
          <w:szCs w:val="22"/>
        </w:rPr>
      </w:pPr>
      <w:r w:rsidRPr="00692567">
        <w:rPr>
          <w:rFonts w:ascii="Cambria" w:eastAsiaTheme="minorEastAsia" w:hAnsi="Cambria"/>
          <w:b/>
          <w:color w:val="000000" w:themeColor="text1"/>
          <w:kern w:val="24"/>
          <w:sz w:val="22"/>
          <w:szCs w:val="22"/>
        </w:rPr>
        <w:t>N</w:t>
      </w:r>
      <w:r w:rsidRPr="0080476A">
        <w:rPr>
          <w:rFonts w:ascii="Cambria" w:eastAsiaTheme="minorEastAsia" w:hAnsi="Cambria"/>
          <w:color w:val="000000" w:themeColor="text1"/>
          <w:kern w:val="24"/>
          <w:sz w:val="22"/>
          <w:szCs w:val="22"/>
        </w:rPr>
        <w:t xml:space="preserve"> is the total number of </w:t>
      </w:r>
      <w:r w:rsidRPr="00181923">
        <w:rPr>
          <w:rFonts w:ascii="Cambria" w:eastAsiaTheme="minorEastAsia" w:hAnsi="Cambria"/>
          <w:b/>
          <w:color w:val="000000" w:themeColor="text1"/>
          <w:kern w:val="24"/>
          <w:sz w:val="22"/>
          <w:szCs w:val="22"/>
        </w:rPr>
        <w:t>replications</w:t>
      </w:r>
      <w:r>
        <w:rPr>
          <w:rFonts w:ascii="Cambria" w:eastAsiaTheme="minorEastAsia" w:hAnsi="Cambria"/>
          <w:color w:val="000000" w:themeColor="text1"/>
          <w:kern w:val="24"/>
          <w:sz w:val="22"/>
          <w:szCs w:val="22"/>
        </w:rPr>
        <w:t xml:space="preserve"> </w:t>
      </w:r>
      <w:proofErr w:type="gramStart"/>
      <w:r>
        <w:rPr>
          <w:rFonts w:ascii="Cambria" w:eastAsiaTheme="minorEastAsia" w:hAnsi="Cambria"/>
          <w:color w:val="000000" w:themeColor="text1"/>
          <w:kern w:val="24"/>
          <w:sz w:val="22"/>
          <w:szCs w:val="22"/>
        </w:rPr>
        <w:t>e.g.</w:t>
      </w:r>
      <w:proofErr w:type="gramEnd"/>
      <w:r w:rsidRPr="0080476A">
        <w:rPr>
          <w:rFonts w:ascii="Cambria" w:eastAsiaTheme="minorEastAsia" w:hAnsi="Cambria"/>
          <w:color w:val="000000" w:themeColor="text1"/>
          <w:kern w:val="24"/>
          <w:sz w:val="22"/>
          <w:szCs w:val="22"/>
        </w:rPr>
        <w:t xml:space="preserve"> </w:t>
      </w:r>
      <w:r>
        <w:rPr>
          <w:rFonts w:ascii="Cambria" w:eastAsiaTheme="minorEastAsia" w:hAnsi="Cambria"/>
          <w:color w:val="000000" w:themeColor="text1"/>
          <w:kern w:val="24"/>
          <w:sz w:val="22"/>
          <w:szCs w:val="22"/>
        </w:rPr>
        <w:t>2000</w:t>
      </w:r>
    </w:p>
    <w:p w14:paraId="2874C1B0" w14:textId="77777777" w:rsidR="00692567" w:rsidRPr="0080476A" w:rsidRDefault="00692567" w:rsidP="00692567">
      <w:pPr>
        <w:pStyle w:val="NormalWeb"/>
        <w:spacing w:before="0" w:beforeAutospacing="0" w:after="0" w:afterAutospacing="0"/>
        <w:ind w:firstLine="720"/>
        <w:rPr>
          <w:rFonts w:ascii="Cambria" w:eastAsiaTheme="minorEastAsia" w:hAnsi="Cambria"/>
          <w:color w:val="000000" w:themeColor="text1"/>
          <w:kern w:val="24"/>
          <w:sz w:val="22"/>
          <w:szCs w:val="22"/>
        </w:rPr>
      </w:pPr>
    </w:p>
    <w:p w14:paraId="6A01A626" w14:textId="49BF6DF4" w:rsidR="00675215" w:rsidRPr="00692567" w:rsidRDefault="00C445DA" w:rsidP="00C445DA">
      <w:pPr>
        <w:pStyle w:val="BodyText"/>
      </w:pPr>
      <w:r w:rsidRPr="00692567">
        <w:t xml:space="preserve">The below figures provide additional insight into how the </w:t>
      </w:r>
      <w:r w:rsidR="006A6C00" w:rsidRPr="00692567">
        <w:t xml:space="preserve">LOLE bin and month distribution for the CRP </w:t>
      </w:r>
      <w:r w:rsidR="00AC20FB">
        <w:t>B</w:t>
      </w:r>
      <w:r w:rsidR="006A6C00" w:rsidRPr="00692567">
        <w:t xml:space="preserve">ase Case, study year 2030. </w:t>
      </w:r>
      <w:r w:rsidR="00AC20FB">
        <w:t xml:space="preserve"> </w:t>
      </w:r>
      <w:r w:rsidR="005713E0" w:rsidRPr="00692567">
        <w:t xml:space="preserve">Additional details on load forecast uncertainty (LFU) and MARS load bins </w:t>
      </w:r>
      <w:proofErr w:type="gramStart"/>
      <w:r w:rsidR="005713E0" w:rsidRPr="00692567">
        <w:t>is</w:t>
      </w:r>
      <w:proofErr w:type="gramEnd"/>
      <w:r w:rsidR="005713E0" w:rsidRPr="00692567">
        <w:t xml:space="preserve"> under the April 13, 2020 Load Forecast Task Force presentation [</w:t>
      </w:r>
      <w:hyperlink r:id="rId89" w:history="1">
        <w:r w:rsidR="005713E0" w:rsidRPr="00692567">
          <w:rPr>
            <w:rStyle w:val="Hyperlink"/>
          </w:rPr>
          <w:t>link</w:t>
        </w:r>
      </w:hyperlink>
      <w:r w:rsidR="005713E0" w:rsidRPr="00692567">
        <w:t>]</w:t>
      </w:r>
    </w:p>
    <w:p w14:paraId="7E353401" w14:textId="7F9D231A" w:rsidR="00C445DA" w:rsidRPr="00692567" w:rsidRDefault="00AC20FB" w:rsidP="00AC20FB">
      <w:pPr>
        <w:pStyle w:val="BodyText"/>
        <w:ind w:firstLine="0"/>
      </w:pPr>
      <w:r>
        <w:t>Key observation: t</w:t>
      </w:r>
      <w:r w:rsidR="006A6C00" w:rsidRPr="00692567">
        <w:t xml:space="preserve">he MARS events </w:t>
      </w:r>
      <w:r w:rsidR="008B2952">
        <w:t xml:space="preserve">for the CRP Base Case study year 2030 </w:t>
      </w:r>
      <w:r w:rsidR="006A6C00" w:rsidRPr="00692567">
        <w:t xml:space="preserve">are </w:t>
      </w:r>
      <w:r w:rsidR="00675215" w:rsidRPr="00692567">
        <w:t>distributed</w:t>
      </w:r>
      <w:r>
        <w:t xml:space="preserve"> i</w:t>
      </w:r>
      <w:r w:rsidR="00675215" w:rsidRPr="00692567">
        <w:t xml:space="preserve">n June, July, </w:t>
      </w:r>
      <w:r w:rsidRPr="00692567">
        <w:t>and August</w:t>
      </w:r>
      <w:r>
        <w:t>,</w:t>
      </w:r>
      <w:r w:rsidR="005713E0" w:rsidRPr="00692567">
        <w:t xml:space="preserve"> in the afternoon hours</w:t>
      </w:r>
      <w:r>
        <w:t>, and i</w:t>
      </w:r>
      <w:r w:rsidR="00675215" w:rsidRPr="00692567">
        <w:t>n load bins 1 and 2</w:t>
      </w:r>
      <w:r>
        <w:t>.</w:t>
      </w:r>
    </w:p>
    <w:p w14:paraId="6D4D28B6" w14:textId="77777777" w:rsidR="00675215" w:rsidRPr="00692567" w:rsidRDefault="00675215" w:rsidP="005713E0">
      <w:pPr>
        <w:pStyle w:val="BodyText"/>
        <w:ind w:left="792" w:firstLine="0"/>
      </w:pPr>
    </w:p>
    <w:p w14:paraId="2A8EEE5E" w14:textId="40EE4DCD" w:rsidR="00E06FF3" w:rsidRDefault="00E06FF3">
      <w:pPr>
        <w:rPr>
          <w:rFonts w:ascii="Segoe UI" w:eastAsia="Arial Narrow" w:hAnsi="Segoe UI" w:cs="Segoe UI"/>
          <w:b/>
          <w:bCs/>
          <w:color w:val="000000"/>
          <w:szCs w:val="20"/>
          <w:lang w:bidi="ar-SA"/>
        </w:rPr>
      </w:pPr>
      <w:r>
        <w:rPr>
          <w:rFonts w:ascii="Segoe UI" w:hAnsi="Segoe UI" w:cs="Segoe UI"/>
          <w:b/>
          <w:color w:val="000000"/>
          <w:szCs w:val="20"/>
        </w:rPr>
        <w:br w:type="page"/>
      </w:r>
    </w:p>
    <w:p w14:paraId="0B4F48BF" w14:textId="2A4CC24C" w:rsidR="000A6EA8" w:rsidRDefault="006A6C00" w:rsidP="000A6EA8">
      <w:pPr>
        <w:pStyle w:val="BodyText"/>
        <w:rPr>
          <w:rFonts w:ascii="Segoe UI" w:hAnsi="Segoe UI" w:cs="Segoe UI"/>
          <w:color w:val="000000"/>
          <w:sz w:val="20"/>
          <w:szCs w:val="20"/>
        </w:rPr>
      </w:pPr>
      <w:r w:rsidRPr="00692567">
        <w:rPr>
          <w:rFonts w:ascii="Segoe UI" w:hAnsi="Segoe UI" w:cs="Segoe UI"/>
          <w:b/>
          <w:color w:val="000000"/>
          <w:sz w:val="20"/>
          <w:szCs w:val="20"/>
        </w:rPr>
        <w:lastRenderedPageBreak/>
        <w:t>Figure xx:</w:t>
      </w:r>
      <w:r w:rsidRPr="00692567">
        <w:rPr>
          <w:rFonts w:ascii="Segoe UI" w:hAnsi="Segoe UI" w:cs="Segoe UI"/>
          <w:color w:val="000000"/>
          <w:sz w:val="20"/>
          <w:szCs w:val="20"/>
        </w:rPr>
        <w:t xml:space="preserve"> CRP Base Case, Study Year 2030, Bin and Month LOLE Distributions</w:t>
      </w:r>
      <w:r>
        <w:rPr>
          <w:rFonts w:ascii="Segoe UI" w:hAnsi="Segoe UI" w:cs="Segoe UI"/>
          <w:color w:val="000000"/>
          <w:sz w:val="20"/>
          <w:szCs w:val="20"/>
        </w:rPr>
        <w:t xml:space="preserve"> </w:t>
      </w:r>
    </w:p>
    <w:p w14:paraId="57DE40AB" w14:textId="71FF5E9A" w:rsidR="000A6EA8" w:rsidRDefault="000A6EA8" w:rsidP="000A6EA8">
      <w:pPr>
        <w:pStyle w:val="BodyText"/>
      </w:pPr>
      <w:r>
        <w:rPr>
          <w:noProof/>
        </w:rPr>
        <w:drawing>
          <wp:inline distT="0" distB="0" distL="0" distR="0" wp14:anchorId="7D90471F" wp14:editId="0B24C49C">
            <wp:extent cx="4246735" cy="3401291"/>
            <wp:effectExtent l="0" t="0" r="1905" b="889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0"/>
                    <a:stretch>
                      <a:fillRect/>
                    </a:stretch>
                  </pic:blipFill>
                  <pic:spPr>
                    <a:xfrm>
                      <a:off x="0" y="0"/>
                      <a:ext cx="4258169" cy="3410449"/>
                    </a:xfrm>
                    <a:prstGeom prst="rect">
                      <a:avLst/>
                    </a:prstGeom>
                  </pic:spPr>
                </pic:pic>
              </a:graphicData>
            </a:graphic>
          </wp:inline>
        </w:drawing>
      </w:r>
    </w:p>
    <w:p w14:paraId="6F39AA19" w14:textId="2C6D8728" w:rsidR="006A6C00" w:rsidRDefault="006A6C00" w:rsidP="006A6C00">
      <w:pPr>
        <w:pStyle w:val="BodyText"/>
        <w:rPr>
          <w:rFonts w:ascii="Segoe UI" w:hAnsi="Segoe UI" w:cs="Segoe UI"/>
          <w:color w:val="000000"/>
          <w:sz w:val="20"/>
          <w:szCs w:val="20"/>
        </w:rPr>
      </w:pPr>
      <w:r w:rsidRPr="0031764F">
        <w:rPr>
          <w:rFonts w:ascii="Segoe UI" w:hAnsi="Segoe UI" w:cs="Segoe UI"/>
          <w:b/>
          <w:color w:val="000000"/>
          <w:sz w:val="20"/>
          <w:szCs w:val="20"/>
        </w:rPr>
        <w:t>Figure xx:</w:t>
      </w:r>
      <w:r w:rsidRPr="0031764F">
        <w:rPr>
          <w:rFonts w:ascii="Segoe UI" w:hAnsi="Segoe UI" w:cs="Segoe UI"/>
          <w:color w:val="000000"/>
          <w:sz w:val="20"/>
          <w:szCs w:val="20"/>
        </w:rPr>
        <w:t xml:space="preserve"> CRP Base Case, Study Year 2030, Event Summary</w:t>
      </w:r>
      <w:r>
        <w:rPr>
          <w:rFonts w:ascii="Segoe UI" w:hAnsi="Segoe UI" w:cs="Segoe UI"/>
          <w:color w:val="000000"/>
          <w:sz w:val="20"/>
          <w:szCs w:val="20"/>
        </w:rPr>
        <w:t xml:space="preserve"> </w:t>
      </w:r>
    </w:p>
    <w:p w14:paraId="5DD21654" w14:textId="1DC4A8E8" w:rsidR="00E06FF3" w:rsidRDefault="00EE00DF" w:rsidP="00715064">
      <w:pPr>
        <w:pStyle w:val="BodyText"/>
        <w:jc w:val="left"/>
        <w:rPr>
          <w:rFonts w:ascii="Segoe UI" w:hAnsi="Segoe UI" w:cs="Segoe UI"/>
          <w:b/>
          <w:bCs w:val="0"/>
          <w:color w:val="000000"/>
          <w:szCs w:val="20"/>
          <w:highlight w:val="cyan"/>
        </w:rPr>
      </w:pPr>
      <w:r>
        <w:rPr>
          <w:noProof/>
        </w:rPr>
        <w:drawing>
          <wp:inline distT="0" distB="0" distL="0" distR="0" wp14:anchorId="3C4518B3" wp14:editId="296669E9">
            <wp:extent cx="4246245" cy="3534324"/>
            <wp:effectExtent l="0" t="0" r="1905" b="9525"/>
            <wp:docPr id="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2464" r="8138"/>
                    <a:stretch/>
                  </pic:blipFill>
                  <pic:spPr bwMode="auto">
                    <a:xfrm>
                      <a:off x="0" y="0"/>
                      <a:ext cx="4255189" cy="3541768"/>
                    </a:xfrm>
                    <a:prstGeom prst="rect">
                      <a:avLst/>
                    </a:prstGeom>
                    <a:noFill/>
                  </pic:spPr>
                </pic:pic>
              </a:graphicData>
            </a:graphic>
          </wp:inline>
        </w:drawing>
      </w:r>
      <w:r w:rsidR="00E06FF3">
        <w:rPr>
          <w:rFonts w:ascii="Segoe UI" w:hAnsi="Segoe UI" w:cs="Segoe UI"/>
          <w:b/>
          <w:color w:val="000000"/>
          <w:szCs w:val="20"/>
          <w:highlight w:val="cyan"/>
        </w:rPr>
        <w:br w:type="page"/>
      </w:r>
    </w:p>
    <w:p w14:paraId="4CE35401" w14:textId="18F3D8D5" w:rsidR="00933FB9" w:rsidRDefault="00933FB9" w:rsidP="00933FB9">
      <w:pPr>
        <w:pStyle w:val="BodyText"/>
        <w:rPr>
          <w:rFonts w:ascii="Segoe UI" w:hAnsi="Segoe UI" w:cs="Segoe UI"/>
          <w:color w:val="000000"/>
          <w:sz w:val="20"/>
          <w:szCs w:val="20"/>
        </w:rPr>
      </w:pPr>
      <w:r w:rsidRPr="0031764F">
        <w:rPr>
          <w:rFonts w:ascii="Segoe UI" w:hAnsi="Segoe UI" w:cs="Segoe UI"/>
          <w:b/>
          <w:color w:val="000000"/>
          <w:sz w:val="20"/>
          <w:szCs w:val="20"/>
        </w:rPr>
        <w:lastRenderedPageBreak/>
        <w:t>Figure xx:</w:t>
      </w:r>
      <w:r w:rsidRPr="0031764F">
        <w:rPr>
          <w:rFonts w:ascii="Segoe UI" w:hAnsi="Segoe UI" w:cs="Segoe UI"/>
          <w:color w:val="000000"/>
          <w:sz w:val="20"/>
          <w:szCs w:val="20"/>
        </w:rPr>
        <w:t xml:space="preserve"> CRP Base Case, Study Year 2030, LFU-Adjusted Load Shapes vs Load Events</w:t>
      </w:r>
      <w:r>
        <w:rPr>
          <w:rFonts w:ascii="Segoe UI" w:hAnsi="Segoe UI" w:cs="Segoe UI"/>
          <w:color w:val="000000"/>
          <w:sz w:val="20"/>
          <w:szCs w:val="20"/>
        </w:rPr>
        <w:t xml:space="preserve"> </w:t>
      </w:r>
    </w:p>
    <w:p w14:paraId="0E4C4529" w14:textId="3B4FFB09" w:rsidR="00933FB9" w:rsidRDefault="00933FB9" w:rsidP="0058564B">
      <w:pPr>
        <w:pStyle w:val="BodyText"/>
        <w:jc w:val="left"/>
      </w:pPr>
      <w:r>
        <w:rPr>
          <w:noProof/>
        </w:rPr>
        <w:drawing>
          <wp:inline distT="0" distB="0" distL="0" distR="0" wp14:anchorId="065E5AC5" wp14:editId="34CC1944">
            <wp:extent cx="6400800" cy="3056255"/>
            <wp:effectExtent l="0" t="0" r="0" b="0"/>
            <wp:docPr id="3" name="Picture 3">
              <a:extLst xmlns:a="http://schemas.openxmlformats.org/drawingml/2006/main">
                <a:ext uri="{FF2B5EF4-FFF2-40B4-BE49-F238E27FC236}">
                  <a16:creationId xmlns:a16="http://schemas.microsoft.com/office/drawing/2014/main" id="{DF9E51A1-41B6-4B59-A68A-8AB516940D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F9E51A1-41B6-4B59-A68A-8AB516940DA2}"/>
                        </a:ext>
                      </a:extLst>
                    </pic:cNvPr>
                    <pic:cNvPicPr>
                      <a:picLocks noChangeAspect="1"/>
                    </pic:cNvPicPr>
                  </pic:nvPicPr>
                  <pic:blipFill>
                    <a:blip r:embed="rId92"/>
                    <a:stretch>
                      <a:fillRect/>
                    </a:stretch>
                  </pic:blipFill>
                  <pic:spPr>
                    <a:xfrm>
                      <a:off x="0" y="0"/>
                      <a:ext cx="6400800" cy="3056255"/>
                    </a:xfrm>
                    <a:prstGeom prst="rect">
                      <a:avLst/>
                    </a:prstGeom>
                  </pic:spPr>
                </pic:pic>
              </a:graphicData>
            </a:graphic>
          </wp:inline>
        </w:drawing>
      </w:r>
    </w:p>
    <w:p w14:paraId="2A8B38AB" w14:textId="77777777" w:rsidR="0058564B" w:rsidRDefault="0058564B">
      <w:pPr>
        <w:rPr>
          <w:rFonts w:ascii="Cambria" w:eastAsia="Arial Narrow" w:hAnsi="Cambria"/>
          <w:bCs/>
          <w:sz w:val="22"/>
          <w:lang w:bidi="ar-SA"/>
        </w:rPr>
      </w:pPr>
      <w:r>
        <w:br w:type="page"/>
      </w:r>
    </w:p>
    <w:p w14:paraId="4F718C4E" w14:textId="77214982" w:rsidR="00675215" w:rsidRDefault="00944AD5" w:rsidP="00944AD5">
      <w:pPr>
        <w:pStyle w:val="Heading2"/>
      </w:pPr>
      <w:bookmarkStart w:id="126" w:name="_Toc81138709"/>
      <w:r w:rsidRPr="009D2756">
        <w:lastRenderedPageBreak/>
        <w:t>Resource Adequacy Assumptions Matrix</w:t>
      </w:r>
      <w:bookmarkEnd w:id="126"/>
    </w:p>
    <w:p w14:paraId="530E084C" w14:textId="42C0130A" w:rsidR="00944AD5" w:rsidRDefault="00944AD5" w:rsidP="00944AD5"/>
    <w:tbl>
      <w:tblPr>
        <w:tblW w:w="5466" w:type="pct"/>
        <w:tblInd w:w="-118" w:type="dxa"/>
        <w:tblLayout w:type="fixed"/>
        <w:tblLook w:val="04A0" w:firstRow="1" w:lastRow="0" w:firstColumn="1" w:lastColumn="0" w:noHBand="0" w:noVBand="1"/>
      </w:tblPr>
      <w:tblGrid>
        <w:gridCol w:w="666"/>
        <w:gridCol w:w="1962"/>
        <w:gridCol w:w="3060"/>
        <w:gridCol w:w="2611"/>
        <w:gridCol w:w="2699"/>
      </w:tblGrid>
      <w:tr w:rsidR="00944AD5" w:rsidRPr="00EE00DF" w14:paraId="48DA0529" w14:textId="77777777" w:rsidTr="00EE00DF">
        <w:trPr>
          <w:trHeight w:val="610"/>
          <w:tblHeader/>
        </w:trPr>
        <w:tc>
          <w:tcPr>
            <w:tcW w:w="303" w:type="pct"/>
            <w:tcBorders>
              <w:top w:val="single" w:sz="8" w:space="0" w:color="000000"/>
              <w:left w:val="single" w:sz="8" w:space="0" w:color="000000"/>
              <w:bottom w:val="single" w:sz="8" w:space="0" w:color="000000"/>
              <w:right w:val="single" w:sz="4" w:space="0" w:color="000000"/>
            </w:tcBorders>
            <w:shd w:val="clear" w:color="auto" w:fill="DBE5F1" w:themeFill="accent1" w:themeFillTint="33"/>
            <w:hideMark/>
          </w:tcPr>
          <w:p w14:paraId="52887534" w14:textId="77777777" w:rsidR="00944AD5" w:rsidRPr="00EE00DF" w:rsidRDefault="00944AD5" w:rsidP="00944AD5">
            <w:pPr>
              <w:spacing w:after="0"/>
              <w:ind w:left="0" w:firstLine="0"/>
              <w:jc w:val="center"/>
              <w:rPr>
                <w:rFonts w:asciiTheme="majorHAnsi" w:hAnsiTheme="majorHAnsi" w:cs="Arial"/>
                <w:b/>
                <w:bCs/>
                <w:sz w:val="18"/>
                <w:szCs w:val="18"/>
                <w:lang w:bidi="ar-SA"/>
              </w:rPr>
            </w:pPr>
            <w:r w:rsidRPr="00EE00DF">
              <w:rPr>
                <w:rFonts w:asciiTheme="majorHAnsi" w:hAnsiTheme="majorHAnsi" w:cs="Arial"/>
                <w:b/>
                <w:bCs/>
                <w:sz w:val="18"/>
                <w:szCs w:val="18"/>
                <w:lang w:bidi="ar-SA"/>
              </w:rPr>
              <w:t>#</w:t>
            </w:r>
            <w:r w:rsidRPr="00EE00DF">
              <w:rPr>
                <w:rFonts w:asciiTheme="majorHAnsi" w:hAnsiTheme="majorHAnsi" w:cs="Arial"/>
                <w:sz w:val="18"/>
                <w:szCs w:val="18"/>
                <w:lang w:bidi="ar-SA"/>
              </w:rPr>
              <w:t xml:space="preserve"> </w:t>
            </w:r>
          </w:p>
        </w:tc>
        <w:tc>
          <w:tcPr>
            <w:tcW w:w="892" w:type="pct"/>
            <w:tcBorders>
              <w:top w:val="single" w:sz="8" w:space="0" w:color="000000"/>
              <w:left w:val="nil"/>
              <w:bottom w:val="single" w:sz="8" w:space="0" w:color="000000"/>
              <w:right w:val="single" w:sz="4" w:space="0" w:color="000000"/>
            </w:tcBorders>
            <w:shd w:val="clear" w:color="auto" w:fill="DBE5F1" w:themeFill="accent1" w:themeFillTint="33"/>
            <w:hideMark/>
          </w:tcPr>
          <w:p w14:paraId="580525F4" w14:textId="77777777" w:rsidR="00944AD5" w:rsidRPr="00EE00DF" w:rsidRDefault="00944AD5" w:rsidP="00944AD5">
            <w:pPr>
              <w:spacing w:after="0"/>
              <w:ind w:left="0" w:firstLine="0"/>
              <w:rPr>
                <w:rFonts w:asciiTheme="majorHAnsi" w:hAnsiTheme="majorHAnsi" w:cs="Arial"/>
                <w:b/>
                <w:bCs/>
                <w:sz w:val="18"/>
                <w:szCs w:val="18"/>
                <w:lang w:bidi="ar-SA"/>
              </w:rPr>
            </w:pPr>
            <w:r w:rsidRPr="00EE00DF">
              <w:rPr>
                <w:rFonts w:asciiTheme="majorHAnsi" w:hAnsiTheme="majorHAnsi" w:cs="Arial"/>
                <w:b/>
                <w:bCs/>
                <w:sz w:val="18"/>
                <w:szCs w:val="18"/>
                <w:lang w:bidi="ar-SA"/>
              </w:rPr>
              <w:t>Parameter</w:t>
            </w:r>
            <w:r w:rsidRPr="00EE00DF">
              <w:rPr>
                <w:rFonts w:asciiTheme="majorHAnsi" w:hAnsiTheme="majorHAnsi" w:cs="Arial"/>
                <w:sz w:val="18"/>
                <w:szCs w:val="18"/>
                <w:lang w:bidi="ar-SA"/>
              </w:rPr>
              <w:t xml:space="preserve"> </w:t>
            </w:r>
          </w:p>
        </w:tc>
        <w:tc>
          <w:tcPr>
            <w:tcW w:w="1391" w:type="pct"/>
            <w:tcBorders>
              <w:top w:val="single" w:sz="8" w:space="0" w:color="000000"/>
              <w:left w:val="nil"/>
              <w:bottom w:val="single" w:sz="8" w:space="0" w:color="000000"/>
              <w:right w:val="single" w:sz="4" w:space="0" w:color="000000"/>
            </w:tcBorders>
            <w:shd w:val="clear" w:color="auto" w:fill="DBE5F1" w:themeFill="accent1" w:themeFillTint="33"/>
            <w:hideMark/>
          </w:tcPr>
          <w:p w14:paraId="588DE837" w14:textId="77777777" w:rsidR="00944AD5" w:rsidRPr="00EE00DF" w:rsidRDefault="00944AD5" w:rsidP="00944AD5">
            <w:pPr>
              <w:spacing w:after="0"/>
              <w:ind w:left="0" w:firstLine="0"/>
              <w:jc w:val="center"/>
              <w:rPr>
                <w:rFonts w:asciiTheme="majorHAnsi" w:hAnsiTheme="majorHAnsi" w:cs="Arial"/>
                <w:b/>
                <w:bCs/>
                <w:sz w:val="18"/>
                <w:szCs w:val="18"/>
                <w:lang w:bidi="ar-SA"/>
              </w:rPr>
            </w:pPr>
            <w:r w:rsidRPr="00EE00DF">
              <w:rPr>
                <w:rFonts w:asciiTheme="majorHAnsi" w:hAnsiTheme="majorHAnsi" w:cs="Arial"/>
                <w:b/>
                <w:bCs/>
                <w:sz w:val="18"/>
                <w:szCs w:val="18"/>
                <w:lang w:bidi="ar-SA"/>
              </w:rPr>
              <w:t xml:space="preserve">2018 RNA/CRP </w:t>
            </w:r>
          </w:p>
          <w:p w14:paraId="5712795E" w14:textId="77777777" w:rsidR="00944AD5" w:rsidRPr="00EE00DF" w:rsidRDefault="00944AD5" w:rsidP="00944AD5">
            <w:pPr>
              <w:spacing w:after="0"/>
              <w:ind w:left="0" w:firstLine="0"/>
              <w:jc w:val="center"/>
              <w:rPr>
                <w:rFonts w:asciiTheme="majorHAnsi" w:hAnsiTheme="majorHAnsi" w:cs="Arial"/>
                <w:b/>
                <w:bCs/>
                <w:sz w:val="18"/>
                <w:szCs w:val="18"/>
                <w:lang w:bidi="ar-SA"/>
              </w:rPr>
            </w:pPr>
            <w:r w:rsidRPr="00EE00DF">
              <w:rPr>
                <w:rFonts w:asciiTheme="majorHAnsi" w:hAnsiTheme="majorHAnsi" w:cs="Arial"/>
                <w:b/>
                <w:bCs/>
                <w:sz w:val="18"/>
                <w:szCs w:val="18"/>
                <w:lang w:bidi="ar-SA"/>
              </w:rPr>
              <w:t>(2018 GB)</w:t>
            </w:r>
          </w:p>
          <w:p w14:paraId="7AC700DC" w14:textId="77777777" w:rsidR="00944AD5" w:rsidRPr="00EE00DF" w:rsidRDefault="00944AD5" w:rsidP="00944AD5">
            <w:pPr>
              <w:spacing w:after="0"/>
              <w:ind w:left="0" w:firstLine="0"/>
              <w:jc w:val="center"/>
              <w:rPr>
                <w:rFonts w:asciiTheme="majorHAnsi" w:hAnsiTheme="majorHAnsi" w:cs="Arial"/>
                <w:b/>
                <w:bCs/>
                <w:sz w:val="18"/>
                <w:szCs w:val="18"/>
                <w:lang w:bidi="ar-SA"/>
              </w:rPr>
            </w:pPr>
            <w:r w:rsidRPr="00EE00DF">
              <w:rPr>
                <w:rFonts w:asciiTheme="majorHAnsi" w:hAnsiTheme="majorHAnsi" w:cs="Arial"/>
                <w:sz w:val="18"/>
                <w:szCs w:val="18"/>
                <w:lang w:bidi="ar-SA"/>
              </w:rPr>
              <w:t>Study Period: 2019 -2028</w:t>
            </w:r>
          </w:p>
        </w:tc>
        <w:tc>
          <w:tcPr>
            <w:tcW w:w="1187" w:type="pct"/>
            <w:tcBorders>
              <w:top w:val="single" w:sz="8" w:space="0" w:color="000000"/>
              <w:left w:val="nil"/>
              <w:bottom w:val="single" w:sz="8" w:space="0" w:color="000000"/>
              <w:right w:val="single" w:sz="8" w:space="0" w:color="000000"/>
            </w:tcBorders>
            <w:shd w:val="clear" w:color="auto" w:fill="DBE5F1" w:themeFill="accent1" w:themeFillTint="33"/>
          </w:tcPr>
          <w:p w14:paraId="3F78DF79" w14:textId="77777777" w:rsidR="00944AD5" w:rsidRPr="00EE00DF" w:rsidRDefault="00944AD5" w:rsidP="00944AD5">
            <w:pPr>
              <w:spacing w:after="0"/>
              <w:ind w:left="0" w:firstLine="0"/>
              <w:jc w:val="center"/>
              <w:rPr>
                <w:rFonts w:asciiTheme="majorHAnsi" w:hAnsiTheme="majorHAnsi" w:cs="Arial"/>
                <w:b/>
                <w:bCs/>
                <w:sz w:val="18"/>
                <w:szCs w:val="18"/>
                <w:lang w:bidi="ar-SA"/>
              </w:rPr>
            </w:pPr>
            <w:r w:rsidRPr="00EE00DF">
              <w:rPr>
                <w:rFonts w:asciiTheme="majorHAnsi" w:hAnsiTheme="majorHAnsi" w:cs="Arial"/>
                <w:b/>
                <w:bCs/>
                <w:sz w:val="18"/>
                <w:szCs w:val="18"/>
                <w:lang w:bidi="ar-SA"/>
              </w:rPr>
              <w:t xml:space="preserve">2020 RNA </w:t>
            </w:r>
          </w:p>
          <w:p w14:paraId="1B21FFFF" w14:textId="77777777" w:rsidR="00944AD5" w:rsidRPr="00EE00DF" w:rsidRDefault="00944AD5" w:rsidP="00944AD5">
            <w:pPr>
              <w:spacing w:after="0"/>
              <w:ind w:left="0" w:firstLine="0"/>
              <w:jc w:val="center"/>
              <w:rPr>
                <w:rFonts w:asciiTheme="majorHAnsi" w:hAnsiTheme="majorHAnsi" w:cs="Arial"/>
                <w:b/>
                <w:bCs/>
                <w:sz w:val="18"/>
                <w:szCs w:val="18"/>
                <w:lang w:bidi="ar-SA"/>
              </w:rPr>
            </w:pPr>
            <w:r w:rsidRPr="00EE00DF">
              <w:rPr>
                <w:rFonts w:asciiTheme="majorHAnsi" w:hAnsiTheme="majorHAnsi" w:cs="Arial"/>
                <w:b/>
                <w:bCs/>
                <w:sz w:val="18"/>
                <w:szCs w:val="18"/>
                <w:lang w:bidi="ar-SA"/>
              </w:rPr>
              <w:t>(2020 GB)</w:t>
            </w:r>
          </w:p>
          <w:p w14:paraId="0266A7B7"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Study Period: 2024(y4) -2030 (y10)</w:t>
            </w:r>
          </w:p>
        </w:tc>
        <w:tc>
          <w:tcPr>
            <w:tcW w:w="1228" w:type="pct"/>
            <w:tcBorders>
              <w:top w:val="single" w:sz="8" w:space="0" w:color="000000"/>
              <w:left w:val="nil"/>
              <w:bottom w:val="single" w:sz="8" w:space="0" w:color="000000"/>
              <w:right w:val="single" w:sz="8" w:space="0" w:color="000000"/>
            </w:tcBorders>
            <w:shd w:val="clear" w:color="auto" w:fill="DBE5F1" w:themeFill="accent1" w:themeFillTint="33"/>
          </w:tcPr>
          <w:p w14:paraId="373CD54C" w14:textId="77777777" w:rsidR="00944AD5" w:rsidRPr="00EE00DF" w:rsidRDefault="00944AD5" w:rsidP="00944AD5">
            <w:pPr>
              <w:spacing w:after="0"/>
              <w:ind w:left="0" w:firstLine="0"/>
              <w:jc w:val="center"/>
              <w:rPr>
                <w:rFonts w:asciiTheme="majorHAnsi" w:hAnsiTheme="majorHAnsi" w:cs="Arial"/>
                <w:b/>
                <w:bCs/>
                <w:color w:val="0070C0"/>
                <w:sz w:val="18"/>
                <w:szCs w:val="18"/>
                <w:lang w:bidi="ar-SA"/>
              </w:rPr>
            </w:pPr>
            <w:r w:rsidRPr="00EE00DF">
              <w:rPr>
                <w:rFonts w:asciiTheme="majorHAnsi" w:hAnsiTheme="majorHAnsi" w:cs="Arial"/>
                <w:b/>
                <w:bCs/>
                <w:color w:val="0070C0"/>
                <w:sz w:val="18"/>
                <w:szCs w:val="18"/>
                <w:lang w:bidi="ar-SA"/>
              </w:rPr>
              <w:t>2021 CRP</w:t>
            </w:r>
          </w:p>
          <w:p w14:paraId="33CF98D5" w14:textId="77777777" w:rsidR="00944AD5" w:rsidRPr="00EE00DF" w:rsidRDefault="00944AD5" w:rsidP="00944AD5">
            <w:pPr>
              <w:spacing w:after="0"/>
              <w:ind w:left="0" w:firstLine="0"/>
              <w:jc w:val="center"/>
              <w:rPr>
                <w:rFonts w:asciiTheme="majorHAnsi" w:hAnsiTheme="majorHAnsi" w:cs="Arial"/>
                <w:b/>
                <w:bCs/>
                <w:sz w:val="18"/>
                <w:szCs w:val="18"/>
                <w:lang w:bidi="ar-SA"/>
              </w:rPr>
            </w:pPr>
          </w:p>
          <w:p w14:paraId="3E26F427" w14:textId="77777777" w:rsidR="00944AD5" w:rsidRPr="00EE00DF" w:rsidRDefault="00944AD5" w:rsidP="00944AD5">
            <w:pPr>
              <w:spacing w:after="0"/>
              <w:ind w:left="0" w:firstLine="0"/>
              <w:rPr>
                <w:rFonts w:asciiTheme="majorHAnsi" w:hAnsiTheme="majorHAnsi" w:cs="Arial"/>
                <w:b/>
                <w:bCs/>
                <w:sz w:val="18"/>
                <w:szCs w:val="18"/>
                <w:lang w:bidi="ar-SA"/>
              </w:rPr>
            </w:pPr>
            <w:r w:rsidRPr="00EE00DF">
              <w:rPr>
                <w:rFonts w:asciiTheme="majorHAnsi" w:hAnsiTheme="majorHAnsi" w:cs="Arial"/>
                <w:b/>
                <w:bCs/>
                <w:sz w:val="18"/>
                <w:szCs w:val="18"/>
                <w:lang w:bidi="ar-SA"/>
              </w:rPr>
              <w:t xml:space="preserve">2020 GB with </w:t>
            </w:r>
            <w:hyperlink r:id="rId93" w:history="1">
              <w:r w:rsidRPr="00EE00DF">
                <w:rPr>
                  <w:rFonts w:asciiTheme="majorHAnsi" w:hAnsiTheme="majorHAnsi" w:cs="Arial"/>
                  <w:b/>
                  <w:bCs/>
                  <w:color w:val="0563C1"/>
                  <w:sz w:val="18"/>
                  <w:szCs w:val="18"/>
                  <w:u w:val="single"/>
                  <w:lang w:bidi="ar-SA"/>
                </w:rPr>
                <w:t>updates</w:t>
              </w:r>
            </w:hyperlink>
            <w:r w:rsidRPr="00EE00DF">
              <w:rPr>
                <w:rFonts w:asciiTheme="majorHAnsi" w:hAnsiTheme="majorHAnsi" w:cs="Arial"/>
                <w:b/>
                <w:bCs/>
                <w:sz w:val="18"/>
                <w:szCs w:val="18"/>
                <w:lang w:bidi="ar-SA"/>
              </w:rPr>
              <w:t>:</w:t>
            </w:r>
          </w:p>
          <w:p w14:paraId="77714EA9" w14:textId="77777777" w:rsidR="00944AD5" w:rsidRPr="00EE00DF" w:rsidRDefault="00944AD5" w:rsidP="00944AD5">
            <w:pPr>
              <w:spacing w:after="0"/>
              <w:ind w:left="0" w:firstLine="0"/>
              <w:jc w:val="center"/>
              <w:rPr>
                <w:rFonts w:asciiTheme="majorHAnsi" w:hAnsiTheme="majorHAnsi" w:cs="Arial"/>
                <w:color w:val="0070C0"/>
                <w:sz w:val="18"/>
                <w:szCs w:val="18"/>
                <w:lang w:bidi="ar-SA"/>
              </w:rPr>
            </w:pPr>
          </w:p>
          <w:p w14:paraId="50E3A912" w14:textId="77777777" w:rsidR="00944AD5" w:rsidRPr="00EE00DF" w:rsidRDefault="00944AD5" w:rsidP="00944AD5">
            <w:pPr>
              <w:spacing w:after="0"/>
              <w:ind w:left="0" w:firstLine="0"/>
              <w:jc w:val="center"/>
              <w:rPr>
                <w:rFonts w:asciiTheme="majorHAnsi" w:hAnsiTheme="majorHAnsi" w:cs="Arial"/>
                <w:bCs/>
                <w:sz w:val="18"/>
                <w:szCs w:val="18"/>
                <w:lang w:bidi="ar-SA"/>
              </w:rPr>
            </w:pPr>
            <w:r w:rsidRPr="00EE00DF">
              <w:rPr>
                <w:rFonts w:asciiTheme="majorHAnsi" w:hAnsiTheme="majorHAnsi" w:cs="Arial"/>
                <w:sz w:val="18"/>
                <w:szCs w:val="18"/>
                <w:lang w:bidi="ar-SA"/>
              </w:rPr>
              <w:t>Study Period: 2024(y4) -2030 (y10)</w:t>
            </w:r>
          </w:p>
        </w:tc>
      </w:tr>
      <w:tr w:rsidR="00944AD5" w:rsidRPr="00EE00DF" w14:paraId="250D1100" w14:textId="77777777" w:rsidTr="00EE00DF">
        <w:trPr>
          <w:trHeight w:val="376"/>
        </w:trPr>
        <w:tc>
          <w:tcPr>
            <w:tcW w:w="1194" w:type="pct"/>
            <w:gridSpan w:val="2"/>
            <w:tcBorders>
              <w:top w:val="single" w:sz="8" w:space="0" w:color="000000"/>
              <w:left w:val="single" w:sz="8" w:space="0" w:color="000000"/>
              <w:bottom w:val="single" w:sz="8" w:space="0" w:color="000000"/>
              <w:right w:val="nil"/>
            </w:tcBorders>
            <w:shd w:val="clear" w:color="auto" w:fill="F2F2F2" w:themeFill="background1" w:themeFillShade="F2"/>
            <w:noWrap/>
            <w:hideMark/>
          </w:tcPr>
          <w:p w14:paraId="6F04C5C4" w14:textId="77777777" w:rsidR="00944AD5" w:rsidRPr="00EE00DF" w:rsidRDefault="00944AD5" w:rsidP="00944AD5">
            <w:pPr>
              <w:spacing w:after="0"/>
              <w:ind w:left="0" w:firstLine="0"/>
              <w:rPr>
                <w:rFonts w:asciiTheme="majorHAnsi" w:hAnsiTheme="majorHAnsi" w:cs="Arial"/>
                <w:b/>
                <w:bCs/>
                <w:sz w:val="18"/>
                <w:szCs w:val="18"/>
                <w:lang w:bidi="ar-SA"/>
              </w:rPr>
            </w:pPr>
            <w:r w:rsidRPr="00EE00DF">
              <w:rPr>
                <w:rFonts w:asciiTheme="majorHAnsi" w:hAnsiTheme="majorHAnsi" w:cs="Arial"/>
                <w:b/>
                <w:bCs/>
                <w:sz w:val="18"/>
                <w:szCs w:val="18"/>
                <w:lang w:bidi="ar-SA"/>
              </w:rPr>
              <w:t>Load Parameters</w:t>
            </w:r>
          </w:p>
        </w:tc>
        <w:tc>
          <w:tcPr>
            <w:tcW w:w="1391" w:type="pct"/>
            <w:tcBorders>
              <w:top w:val="nil"/>
              <w:left w:val="nil"/>
              <w:bottom w:val="single" w:sz="8" w:space="0" w:color="000000"/>
              <w:right w:val="nil"/>
            </w:tcBorders>
            <w:shd w:val="clear" w:color="auto" w:fill="F2F2F2" w:themeFill="background1" w:themeFillShade="F2"/>
            <w:noWrap/>
            <w:hideMark/>
          </w:tcPr>
          <w:p w14:paraId="2523E22C"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 </w:t>
            </w:r>
          </w:p>
        </w:tc>
        <w:tc>
          <w:tcPr>
            <w:tcW w:w="1187" w:type="pct"/>
            <w:tcBorders>
              <w:top w:val="nil"/>
              <w:left w:val="nil"/>
              <w:bottom w:val="single" w:sz="4" w:space="0" w:color="000000"/>
              <w:right w:val="single" w:sz="8" w:space="0" w:color="000000"/>
            </w:tcBorders>
            <w:shd w:val="clear" w:color="auto" w:fill="F2F2F2" w:themeFill="background1" w:themeFillShade="F2"/>
          </w:tcPr>
          <w:p w14:paraId="6CA87019" w14:textId="77777777" w:rsidR="00944AD5" w:rsidRPr="00EE00DF" w:rsidRDefault="00944AD5" w:rsidP="00944AD5">
            <w:pPr>
              <w:spacing w:after="0"/>
              <w:ind w:left="0" w:firstLine="0"/>
              <w:jc w:val="center"/>
              <w:rPr>
                <w:rFonts w:asciiTheme="majorHAnsi" w:hAnsiTheme="majorHAnsi" w:cs="Arial"/>
                <w:sz w:val="18"/>
                <w:szCs w:val="18"/>
                <w:lang w:bidi="ar-SA"/>
              </w:rPr>
            </w:pPr>
          </w:p>
        </w:tc>
        <w:tc>
          <w:tcPr>
            <w:tcW w:w="1228" w:type="pct"/>
            <w:tcBorders>
              <w:top w:val="nil"/>
              <w:left w:val="nil"/>
              <w:bottom w:val="single" w:sz="4" w:space="0" w:color="000000"/>
              <w:right w:val="single" w:sz="8" w:space="0" w:color="000000"/>
            </w:tcBorders>
            <w:shd w:val="clear" w:color="auto" w:fill="F2F2F2" w:themeFill="background1" w:themeFillShade="F2"/>
          </w:tcPr>
          <w:p w14:paraId="14E15F2D" w14:textId="77777777" w:rsidR="00944AD5" w:rsidRPr="00EE00DF" w:rsidRDefault="00944AD5" w:rsidP="00944AD5">
            <w:pPr>
              <w:spacing w:after="0"/>
              <w:ind w:left="0" w:firstLine="0"/>
              <w:jc w:val="center"/>
              <w:rPr>
                <w:rFonts w:asciiTheme="majorHAnsi" w:hAnsiTheme="majorHAnsi" w:cs="Arial"/>
                <w:sz w:val="18"/>
                <w:szCs w:val="18"/>
                <w:lang w:bidi="ar-SA"/>
              </w:rPr>
            </w:pPr>
          </w:p>
        </w:tc>
      </w:tr>
      <w:tr w:rsidR="00944AD5" w:rsidRPr="00EE00DF" w14:paraId="12B00C08" w14:textId="77777777" w:rsidTr="00EE00DF">
        <w:trPr>
          <w:trHeight w:val="3220"/>
        </w:trPr>
        <w:tc>
          <w:tcPr>
            <w:tcW w:w="303" w:type="pct"/>
            <w:tcBorders>
              <w:top w:val="nil"/>
              <w:left w:val="single" w:sz="8" w:space="0" w:color="000000"/>
              <w:bottom w:val="single" w:sz="4" w:space="0" w:color="000000"/>
              <w:right w:val="single" w:sz="4" w:space="0" w:color="000000"/>
            </w:tcBorders>
            <w:shd w:val="clear" w:color="auto" w:fill="auto"/>
            <w:hideMark/>
          </w:tcPr>
          <w:p w14:paraId="0151E3B4"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1</w:t>
            </w:r>
          </w:p>
        </w:tc>
        <w:tc>
          <w:tcPr>
            <w:tcW w:w="892" w:type="pct"/>
            <w:tcBorders>
              <w:top w:val="nil"/>
              <w:left w:val="nil"/>
              <w:bottom w:val="single" w:sz="4" w:space="0" w:color="000000"/>
              <w:right w:val="single" w:sz="4" w:space="0" w:color="000000"/>
            </w:tcBorders>
            <w:shd w:val="clear" w:color="auto" w:fill="auto"/>
            <w:hideMark/>
          </w:tcPr>
          <w:p w14:paraId="3D99146E"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b/>
                <w:sz w:val="18"/>
                <w:szCs w:val="18"/>
                <w:lang w:bidi="ar-SA"/>
              </w:rPr>
              <w:t>Peak</w:t>
            </w:r>
            <w:r w:rsidRPr="00EE00DF">
              <w:rPr>
                <w:rFonts w:asciiTheme="majorHAnsi" w:hAnsiTheme="majorHAnsi" w:cs="Arial"/>
                <w:sz w:val="18"/>
                <w:szCs w:val="18"/>
                <w:lang w:bidi="ar-SA"/>
              </w:rPr>
              <w:t xml:space="preserve"> Load Forecast </w:t>
            </w:r>
          </w:p>
        </w:tc>
        <w:tc>
          <w:tcPr>
            <w:tcW w:w="1391" w:type="pct"/>
            <w:tcBorders>
              <w:top w:val="nil"/>
              <w:left w:val="nil"/>
              <w:bottom w:val="single" w:sz="4" w:space="0" w:color="000000"/>
              <w:right w:val="single" w:sz="8" w:space="0" w:color="000000"/>
            </w:tcBorders>
            <w:shd w:val="clear" w:color="auto" w:fill="auto"/>
            <w:hideMark/>
          </w:tcPr>
          <w:p w14:paraId="34B1A7F7" w14:textId="77777777" w:rsidR="00944AD5" w:rsidRPr="00EE00DF" w:rsidRDefault="00944AD5" w:rsidP="00944AD5">
            <w:pPr>
              <w:spacing w:after="0"/>
              <w:ind w:left="0" w:firstLine="0"/>
              <w:rPr>
                <w:rFonts w:asciiTheme="majorHAnsi" w:hAnsiTheme="majorHAnsi" w:cs="Arial"/>
                <w:color w:val="E46D0A"/>
                <w:sz w:val="18"/>
                <w:szCs w:val="18"/>
                <w:lang w:bidi="ar-SA"/>
              </w:rPr>
            </w:pPr>
            <w:r w:rsidRPr="00EE00DF">
              <w:rPr>
                <w:rFonts w:asciiTheme="majorHAnsi" w:hAnsiTheme="majorHAnsi" w:cs="Arial"/>
                <w:sz w:val="18"/>
                <w:szCs w:val="18"/>
                <w:lang w:bidi="ar-SA"/>
              </w:rPr>
              <w:t>Adjusted 2018 Gold Book NYCA baseline peak load forecast.</w:t>
            </w:r>
            <w:r w:rsidRPr="00EE00DF">
              <w:rPr>
                <w:rFonts w:asciiTheme="majorHAnsi" w:hAnsiTheme="majorHAnsi" w:cs="Arial"/>
                <w:sz w:val="18"/>
                <w:szCs w:val="18"/>
                <w:lang w:bidi="ar-SA"/>
              </w:rPr>
              <w:br/>
            </w:r>
            <w:r w:rsidRPr="00EE00DF">
              <w:rPr>
                <w:rFonts w:asciiTheme="majorHAnsi" w:hAnsiTheme="majorHAnsi" w:cs="Arial"/>
                <w:sz w:val="18"/>
                <w:szCs w:val="18"/>
                <w:lang w:bidi="ar-SA"/>
              </w:rPr>
              <w:br/>
              <w:t>The GB 2018 baseline peak load forecast includes the impact (reduction) of behind-the-meter (</w:t>
            </w:r>
            <w:proofErr w:type="spellStart"/>
            <w:r w:rsidRPr="00EE00DF">
              <w:rPr>
                <w:rFonts w:asciiTheme="majorHAnsi" w:hAnsiTheme="majorHAnsi" w:cs="Arial"/>
                <w:sz w:val="18"/>
                <w:szCs w:val="18"/>
                <w:lang w:bidi="ar-SA"/>
              </w:rPr>
              <w:t>BtM</w:t>
            </w:r>
            <w:proofErr w:type="spellEnd"/>
            <w:r w:rsidRPr="00EE00DF">
              <w:rPr>
                <w:rFonts w:asciiTheme="majorHAnsi" w:hAnsiTheme="majorHAnsi" w:cs="Arial"/>
                <w:sz w:val="18"/>
                <w:szCs w:val="18"/>
                <w:lang w:bidi="ar-SA"/>
              </w:rPr>
              <w:t xml:space="preserve">) solar at the time of NYCA peak. For the Resource Adequacy load model, the deducted </w:t>
            </w:r>
            <w:proofErr w:type="spellStart"/>
            <w:r w:rsidRPr="00EE00DF">
              <w:rPr>
                <w:rFonts w:asciiTheme="majorHAnsi" w:hAnsiTheme="majorHAnsi" w:cs="Arial"/>
                <w:sz w:val="18"/>
                <w:szCs w:val="18"/>
                <w:lang w:bidi="ar-SA"/>
              </w:rPr>
              <w:t>BtM</w:t>
            </w:r>
            <w:proofErr w:type="spellEnd"/>
            <w:r w:rsidRPr="00EE00DF">
              <w:rPr>
                <w:rFonts w:asciiTheme="majorHAnsi" w:hAnsiTheme="majorHAnsi" w:cs="Arial"/>
                <w:sz w:val="18"/>
                <w:szCs w:val="18"/>
                <w:lang w:bidi="ar-SA"/>
              </w:rPr>
              <w:t xml:space="preserve"> solar MW was added back to the NYCA zonal loads, which then allows for a discrete modeling of the </w:t>
            </w:r>
            <w:proofErr w:type="spellStart"/>
            <w:r w:rsidRPr="00EE00DF">
              <w:rPr>
                <w:rFonts w:asciiTheme="majorHAnsi" w:hAnsiTheme="majorHAnsi" w:cs="Arial"/>
                <w:sz w:val="18"/>
                <w:szCs w:val="18"/>
                <w:lang w:bidi="ar-SA"/>
              </w:rPr>
              <w:t>BtM</w:t>
            </w:r>
            <w:proofErr w:type="spellEnd"/>
            <w:r w:rsidRPr="00EE00DF">
              <w:rPr>
                <w:rFonts w:asciiTheme="majorHAnsi" w:hAnsiTheme="majorHAnsi" w:cs="Arial"/>
                <w:sz w:val="18"/>
                <w:szCs w:val="18"/>
                <w:lang w:bidi="ar-SA"/>
              </w:rPr>
              <w:t xml:space="preserve"> solar resources. </w:t>
            </w:r>
          </w:p>
        </w:tc>
        <w:tc>
          <w:tcPr>
            <w:tcW w:w="1187" w:type="pct"/>
            <w:tcBorders>
              <w:top w:val="single" w:sz="8" w:space="0" w:color="000000"/>
              <w:left w:val="single" w:sz="4" w:space="0" w:color="000000"/>
              <w:bottom w:val="single" w:sz="4" w:space="0" w:color="000000"/>
              <w:right w:val="single" w:sz="8" w:space="0" w:color="000000"/>
            </w:tcBorders>
          </w:tcPr>
          <w:p w14:paraId="1E85722B"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single" w:sz="8" w:space="0" w:color="000000"/>
              <w:left w:val="single" w:sz="4" w:space="0" w:color="000000"/>
              <w:bottom w:val="single" w:sz="4" w:space="0" w:color="000000"/>
              <w:right w:val="single" w:sz="8" w:space="0" w:color="000000"/>
            </w:tcBorders>
          </w:tcPr>
          <w:p w14:paraId="0079A162"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p w14:paraId="5530E433" w14:textId="77777777" w:rsidR="00944AD5" w:rsidRPr="00EE00DF" w:rsidRDefault="00944AD5" w:rsidP="00944AD5">
            <w:pPr>
              <w:spacing w:after="0"/>
              <w:ind w:left="0" w:firstLine="0"/>
              <w:rPr>
                <w:rFonts w:asciiTheme="majorHAnsi" w:hAnsiTheme="majorHAnsi" w:cs="Arial"/>
                <w:sz w:val="18"/>
                <w:szCs w:val="18"/>
                <w:lang w:bidi="ar-SA"/>
              </w:rPr>
            </w:pPr>
          </w:p>
          <w:p w14:paraId="4FAF49D3"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b/>
                <w:color w:val="0070C0"/>
                <w:sz w:val="18"/>
                <w:szCs w:val="18"/>
                <w:lang w:bidi="ar-SA"/>
              </w:rPr>
              <w:t>Updated</w:t>
            </w:r>
            <w:r w:rsidRPr="00EE00DF">
              <w:rPr>
                <w:rFonts w:asciiTheme="majorHAnsi" w:hAnsiTheme="majorHAnsi" w:cs="Arial"/>
                <w:color w:val="0070C0"/>
                <w:sz w:val="18"/>
                <w:szCs w:val="18"/>
                <w:lang w:bidi="ar-SA"/>
              </w:rPr>
              <w:t xml:space="preserve"> long term energy and peak forecasts: Nov 19, </w:t>
            </w:r>
            <w:proofErr w:type="gramStart"/>
            <w:r w:rsidRPr="00EE00DF">
              <w:rPr>
                <w:rFonts w:asciiTheme="majorHAnsi" w:hAnsiTheme="majorHAnsi" w:cs="Arial"/>
                <w:color w:val="0070C0"/>
                <w:sz w:val="18"/>
                <w:szCs w:val="18"/>
                <w:lang w:bidi="ar-SA"/>
              </w:rPr>
              <w:t>2020</w:t>
            </w:r>
            <w:proofErr w:type="gramEnd"/>
            <w:r w:rsidRPr="00EE00DF">
              <w:rPr>
                <w:rFonts w:asciiTheme="majorHAnsi" w:hAnsiTheme="majorHAnsi" w:cs="Arial"/>
                <w:color w:val="0070C0"/>
                <w:sz w:val="18"/>
                <w:szCs w:val="18"/>
                <w:lang w:bidi="ar-SA"/>
              </w:rPr>
              <w:t xml:space="preserve"> ESPWG/LFTF/TPAS/ICAP </w:t>
            </w:r>
            <w:hyperlink r:id="rId94" w:history="1">
              <w:r w:rsidRPr="00EE00DF">
                <w:rPr>
                  <w:rFonts w:asciiTheme="majorHAnsi" w:hAnsiTheme="majorHAnsi" w:cs="Arial"/>
                  <w:color w:val="0563C1"/>
                  <w:sz w:val="18"/>
                  <w:szCs w:val="18"/>
                  <w:u w:val="single"/>
                  <w:lang w:bidi="ar-SA"/>
                </w:rPr>
                <w:t>presentation</w:t>
              </w:r>
            </w:hyperlink>
          </w:p>
        </w:tc>
      </w:tr>
      <w:tr w:rsidR="00944AD5" w:rsidRPr="00EE00DF" w14:paraId="5D36383F" w14:textId="77777777" w:rsidTr="00EE00DF">
        <w:trPr>
          <w:trHeight w:val="2825"/>
        </w:trPr>
        <w:tc>
          <w:tcPr>
            <w:tcW w:w="303" w:type="pct"/>
            <w:tcBorders>
              <w:top w:val="nil"/>
              <w:left w:val="single" w:sz="8" w:space="0" w:color="000000"/>
              <w:bottom w:val="single" w:sz="4" w:space="0" w:color="000000"/>
              <w:right w:val="single" w:sz="4" w:space="0" w:color="000000"/>
            </w:tcBorders>
            <w:shd w:val="clear" w:color="auto" w:fill="auto"/>
            <w:hideMark/>
          </w:tcPr>
          <w:p w14:paraId="06CA435C"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2</w:t>
            </w:r>
          </w:p>
        </w:tc>
        <w:tc>
          <w:tcPr>
            <w:tcW w:w="892" w:type="pct"/>
            <w:tcBorders>
              <w:top w:val="nil"/>
              <w:left w:val="nil"/>
              <w:bottom w:val="single" w:sz="4" w:space="0" w:color="000000"/>
              <w:right w:val="single" w:sz="4" w:space="0" w:color="000000"/>
            </w:tcBorders>
            <w:shd w:val="clear" w:color="auto" w:fill="auto"/>
            <w:hideMark/>
          </w:tcPr>
          <w:p w14:paraId="1886D998"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Load </w:t>
            </w:r>
            <w:r w:rsidRPr="00EE00DF">
              <w:rPr>
                <w:rFonts w:asciiTheme="majorHAnsi" w:hAnsiTheme="majorHAnsi" w:cs="Arial"/>
                <w:b/>
                <w:sz w:val="18"/>
                <w:szCs w:val="18"/>
                <w:lang w:bidi="ar-SA"/>
              </w:rPr>
              <w:t>Shapes</w:t>
            </w:r>
            <w:r w:rsidRPr="00EE00DF">
              <w:rPr>
                <w:rFonts w:asciiTheme="majorHAnsi" w:hAnsiTheme="majorHAnsi" w:cs="Arial"/>
                <w:sz w:val="18"/>
                <w:szCs w:val="18"/>
                <w:lang w:bidi="ar-SA"/>
              </w:rPr>
              <w:br/>
            </w:r>
            <w:r w:rsidRPr="00EE00DF">
              <w:rPr>
                <w:rFonts w:asciiTheme="majorHAnsi" w:hAnsiTheme="majorHAnsi" w:cs="Arial"/>
                <w:sz w:val="18"/>
                <w:szCs w:val="18"/>
                <w:lang w:bidi="ar-SA"/>
              </w:rPr>
              <w:br/>
              <w:t xml:space="preserve"> (Multiple Load Shapes)</w:t>
            </w:r>
          </w:p>
        </w:tc>
        <w:tc>
          <w:tcPr>
            <w:tcW w:w="1391" w:type="pct"/>
            <w:tcBorders>
              <w:top w:val="nil"/>
              <w:left w:val="nil"/>
              <w:bottom w:val="single" w:sz="4" w:space="0" w:color="000000"/>
              <w:right w:val="single" w:sz="8" w:space="0" w:color="000000"/>
            </w:tcBorders>
            <w:shd w:val="clear" w:color="auto" w:fill="auto"/>
            <w:hideMark/>
          </w:tcPr>
          <w:p w14:paraId="08566667"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Used Multiple Load Shape MARS Feature</w:t>
            </w:r>
            <w:r w:rsidRPr="00EE00DF">
              <w:rPr>
                <w:rFonts w:asciiTheme="majorHAnsi" w:hAnsiTheme="majorHAnsi" w:cs="Arial"/>
                <w:sz w:val="18"/>
                <w:szCs w:val="18"/>
                <w:lang w:bidi="ar-SA"/>
              </w:rPr>
              <w:br/>
            </w:r>
            <w:r w:rsidRPr="00EE00DF">
              <w:rPr>
                <w:rFonts w:asciiTheme="majorHAnsi" w:hAnsiTheme="majorHAnsi" w:cs="Arial"/>
                <w:sz w:val="18"/>
                <w:szCs w:val="18"/>
                <w:lang w:bidi="ar-SA"/>
              </w:rPr>
              <w:br/>
            </w:r>
            <w:proofErr w:type="gramStart"/>
            <w:r w:rsidRPr="00EE00DF">
              <w:rPr>
                <w:rFonts w:asciiTheme="majorHAnsi" w:hAnsiTheme="majorHAnsi" w:cs="Arial"/>
                <w:sz w:val="18"/>
                <w:szCs w:val="18"/>
                <w:lang w:bidi="ar-SA"/>
              </w:rPr>
              <w:t>8,760 hour</w:t>
            </w:r>
            <w:proofErr w:type="gramEnd"/>
            <w:r w:rsidRPr="00EE00DF">
              <w:rPr>
                <w:rFonts w:asciiTheme="majorHAnsi" w:hAnsiTheme="majorHAnsi" w:cs="Arial"/>
                <w:sz w:val="18"/>
                <w:szCs w:val="18"/>
                <w:lang w:bidi="ar-SA"/>
              </w:rPr>
              <w:t xml:space="preserve"> historical load shapes were used as base shapes for LFU bins:</w:t>
            </w:r>
            <w:r w:rsidRPr="00EE00DF">
              <w:rPr>
                <w:rFonts w:asciiTheme="majorHAnsi" w:hAnsiTheme="majorHAnsi" w:cs="Arial"/>
                <w:sz w:val="18"/>
                <w:szCs w:val="18"/>
                <w:lang w:bidi="ar-SA"/>
              </w:rPr>
              <w:br/>
              <w:t xml:space="preserve">Bin 1:  2006 </w:t>
            </w:r>
            <w:r w:rsidRPr="00EE00DF">
              <w:rPr>
                <w:rFonts w:asciiTheme="majorHAnsi" w:hAnsiTheme="majorHAnsi" w:cs="Arial"/>
                <w:sz w:val="18"/>
                <w:szCs w:val="18"/>
                <w:lang w:bidi="ar-SA"/>
              </w:rPr>
              <w:br/>
              <w:t>Bin 2:  2002</w:t>
            </w:r>
            <w:r w:rsidRPr="00EE00DF">
              <w:rPr>
                <w:rFonts w:asciiTheme="majorHAnsi" w:hAnsiTheme="majorHAnsi" w:cs="Arial"/>
                <w:sz w:val="18"/>
                <w:szCs w:val="18"/>
                <w:lang w:bidi="ar-SA"/>
              </w:rPr>
              <w:br/>
              <w:t>Bins 3-7:  2007</w:t>
            </w:r>
          </w:p>
          <w:p w14:paraId="75A32A26" w14:textId="77777777" w:rsidR="00944AD5" w:rsidRPr="00EE00DF" w:rsidRDefault="00944AD5" w:rsidP="00944AD5">
            <w:pPr>
              <w:spacing w:after="0"/>
              <w:ind w:left="0" w:firstLine="0"/>
              <w:rPr>
                <w:rFonts w:asciiTheme="majorHAnsi" w:hAnsiTheme="majorHAnsi" w:cs="Arial"/>
                <w:sz w:val="18"/>
                <w:szCs w:val="18"/>
                <w:lang w:bidi="ar-SA"/>
              </w:rPr>
            </w:pPr>
          </w:p>
          <w:p w14:paraId="0F94DE81" w14:textId="77777777" w:rsidR="00944AD5" w:rsidRPr="00EE00DF" w:rsidRDefault="00944AD5" w:rsidP="00944AD5">
            <w:pPr>
              <w:spacing w:after="0"/>
              <w:ind w:left="0" w:firstLine="0"/>
              <w:rPr>
                <w:rFonts w:asciiTheme="majorHAnsi" w:hAnsiTheme="majorHAnsi" w:cs="Arial"/>
                <w:bCs/>
                <w:sz w:val="18"/>
                <w:szCs w:val="18"/>
                <w:lang w:bidi="ar-SA"/>
              </w:rPr>
            </w:pPr>
            <w:r w:rsidRPr="00EE00DF">
              <w:rPr>
                <w:rFonts w:asciiTheme="majorHAnsi" w:hAnsiTheme="majorHAnsi" w:cs="Arial"/>
                <w:bCs/>
                <w:sz w:val="18"/>
                <w:szCs w:val="18"/>
                <w:lang w:bidi="ar-SA"/>
              </w:rPr>
              <w:t>Peak adjustments on a seasonal basis.</w:t>
            </w:r>
          </w:p>
          <w:p w14:paraId="5D28C783" w14:textId="77777777" w:rsidR="00944AD5" w:rsidRPr="00EE00DF" w:rsidRDefault="00944AD5" w:rsidP="00944AD5">
            <w:pPr>
              <w:spacing w:after="0"/>
              <w:ind w:left="0" w:firstLine="0"/>
              <w:rPr>
                <w:rFonts w:asciiTheme="majorHAnsi" w:hAnsiTheme="majorHAnsi" w:cs="Arial"/>
                <w:bCs/>
                <w:sz w:val="18"/>
                <w:szCs w:val="18"/>
                <w:lang w:bidi="ar-SA"/>
              </w:rPr>
            </w:pPr>
          </w:p>
          <w:p w14:paraId="007AE5D4"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bCs/>
                <w:sz w:val="18"/>
                <w:szCs w:val="18"/>
                <w:lang w:bidi="ar-SA"/>
              </w:rPr>
              <w:t xml:space="preserve">For the </w:t>
            </w:r>
            <w:proofErr w:type="spellStart"/>
            <w:r w:rsidRPr="00EE00DF">
              <w:rPr>
                <w:rFonts w:asciiTheme="majorHAnsi" w:hAnsiTheme="majorHAnsi" w:cs="Arial"/>
                <w:bCs/>
                <w:sz w:val="18"/>
                <w:szCs w:val="18"/>
                <w:lang w:bidi="ar-SA"/>
              </w:rPr>
              <w:t>BtM</w:t>
            </w:r>
            <w:proofErr w:type="spellEnd"/>
            <w:r w:rsidRPr="00EE00DF">
              <w:rPr>
                <w:rFonts w:asciiTheme="majorHAnsi" w:hAnsiTheme="majorHAnsi" w:cs="Arial"/>
                <w:bCs/>
                <w:sz w:val="18"/>
                <w:szCs w:val="18"/>
                <w:lang w:bidi="ar-SA"/>
              </w:rPr>
              <w:t xml:space="preserve"> Solar adjustment, t</w:t>
            </w:r>
            <w:r w:rsidRPr="00EE00DF">
              <w:rPr>
                <w:rFonts w:asciiTheme="majorHAnsi" w:hAnsiTheme="majorHAnsi" w:cs="Arial"/>
                <w:sz w:val="18"/>
                <w:szCs w:val="18"/>
                <w:lang w:bidi="ar-SA"/>
              </w:rPr>
              <w:t xml:space="preserve">he </w:t>
            </w:r>
            <w:proofErr w:type="spellStart"/>
            <w:r w:rsidRPr="00EE00DF">
              <w:rPr>
                <w:rFonts w:asciiTheme="majorHAnsi" w:hAnsiTheme="majorHAnsi" w:cs="Arial"/>
                <w:sz w:val="18"/>
                <w:szCs w:val="18"/>
                <w:lang w:bidi="ar-SA"/>
              </w:rPr>
              <w:t>BtM</w:t>
            </w:r>
            <w:proofErr w:type="spellEnd"/>
            <w:r w:rsidRPr="00EE00DF">
              <w:rPr>
                <w:rFonts w:asciiTheme="majorHAnsi" w:hAnsiTheme="majorHAnsi" w:cs="Arial"/>
                <w:sz w:val="18"/>
                <w:szCs w:val="18"/>
                <w:lang w:bidi="ar-SA"/>
              </w:rPr>
              <w:t xml:space="preserve"> shape is added back to account for the impact of the </w:t>
            </w:r>
            <w:proofErr w:type="spellStart"/>
            <w:r w:rsidRPr="00EE00DF">
              <w:rPr>
                <w:rFonts w:asciiTheme="majorHAnsi" w:hAnsiTheme="majorHAnsi" w:cs="Arial"/>
                <w:sz w:val="18"/>
                <w:szCs w:val="18"/>
                <w:lang w:bidi="ar-SA"/>
              </w:rPr>
              <w:t>BtM</w:t>
            </w:r>
            <w:proofErr w:type="spellEnd"/>
            <w:r w:rsidRPr="00EE00DF">
              <w:rPr>
                <w:rFonts w:asciiTheme="majorHAnsi" w:hAnsiTheme="majorHAnsi" w:cs="Arial"/>
                <w:sz w:val="18"/>
                <w:szCs w:val="18"/>
                <w:lang w:bidi="ar-SA"/>
              </w:rPr>
              <w:t xml:space="preserve"> generation on both on</w:t>
            </w:r>
            <w:r w:rsidRPr="00EE00DF">
              <w:rPr>
                <w:rFonts w:asciiTheme="majorHAnsi" w:hAnsiTheme="majorHAnsi" w:cs="Arial"/>
                <w:sz w:val="18"/>
                <w:szCs w:val="18"/>
                <w:lang w:bidi="ar-SA"/>
              </w:rPr>
              <w:noBreakHyphen/>
              <w:t>peak and off</w:t>
            </w:r>
            <w:r w:rsidRPr="00EE00DF">
              <w:rPr>
                <w:rFonts w:asciiTheme="majorHAnsi" w:hAnsiTheme="majorHAnsi" w:cs="Arial"/>
                <w:sz w:val="18"/>
                <w:szCs w:val="18"/>
                <w:lang w:bidi="ar-SA"/>
              </w:rPr>
              <w:noBreakHyphen/>
              <w:t>peak hours.</w:t>
            </w:r>
          </w:p>
          <w:p w14:paraId="05CFA573" w14:textId="77777777" w:rsidR="00944AD5" w:rsidRPr="00EE00DF" w:rsidRDefault="00944AD5" w:rsidP="00944AD5">
            <w:pPr>
              <w:spacing w:after="0"/>
              <w:ind w:left="0" w:firstLine="0"/>
              <w:rPr>
                <w:rFonts w:asciiTheme="majorHAnsi" w:hAnsiTheme="majorHAnsi" w:cs="Arial"/>
                <w:sz w:val="18"/>
                <w:szCs w:val="18"/>
                <w:lang w:bidi="ar-SA"/>
              </w:rPr>
            </w:pPr>
          </w:p>
        </w:tc>
        <w:tc>
          <w:tcPr>
            <w:tcW w:w="1187" w:type="pct"/>
            <w:tcBorders>
              <w:top w:val="nil"/>
              <w:left w:val="single" w:sz="4" w:space="0" w:color="000000"/>
              <w:bottom w:val="single" w:sz="4" w:space="0" w:color="000000"/>
              <w:right w:val="single" w:sz="8" w:space="0" w:color="000000"/>
            </w:tcBorders>
          </w:tcPr>
          <w:p w14:paraId="0A0ADF6F"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nil"/>
              <w:left w:val="single" w:sz="4" w:space="0" w:color="000000"/>
              <w:bottom w:val="single" w:sz="4" w:space="0" w:color="000000"/>
              <w:right w:val="single" w:sz="8" w:space="0" w:color="000000"/>
            </w:tcBorders>
          </w:tcPr>
          <w:p w14:paraId="5E2A5C34"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1A201E47"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 </w:t>
            </w:r>
          </w:p>
        </w:tc>
      </w:tr>
      <w:tr w:rsidR="00944AD5" w:rsidRPr="00EE00DF" w14:paraId="73D9099D" w14:textId="77777777" w:rsidTr="00EE00DF">
        <w:trPr>
          <w:trHeight w:val="782"/>
        </w:trPr>
        <w:tc>
          <w:tcPr>
            <w:tcW w:w="303" w:type="pct"/>
            <w:tcBorders>
              <w:top w:val="nil"/>
              <w:left w:val="single" w:sz="8" w:space="0" w:color="000000"/>
              <w:bottom w:val="single" w:sz="4" w:space="0" w:color="000000"/>
              <w:right w:val="single" w:sz="4" w:space="0" w:color="000000"/>
            </w:tcBorders>
            <w:shd w:val="clear" w:color="auto" w:fill="auto"/>
            <w:hideMark/>
          </w:tcPr>
          <w:p w14:paraId="0418BA68"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3</w:t>
            </w:r>
          </w:p>
        </w:tc>
        <w:tc>
          <w:tcPr>
            <w:tcW w:w="892" w:type="pct"/>
            <w:tcBorders>
              <w:top w:val="nil"/>
              <w:left w:val="nil"/>
              <w:bottom w:val="single" w:sz="4" w:space="0" w:color="000000"/>
              <w:right w:val="single" w:sz="4" w:space="0" w:color="000000"/>
            </w:tcBorders>
            <w:shd w:val="clear" w:color="auto" w:fill="auto"/>
            <w:hideMark/>
          </w:tcPr>
          <w:p w14:paraId="43B3E260"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Load Forecast Uncertainty (</w:t>
            </w:r>
            <w:r w:rsidRPr="00EE00DF">
              <w:rPr>
                <w:rFonts w:asciiTheme="majorHAnsi" w:hAnsiTheme="majorHAnsi" w:cs="Arial"/>
                <w:b/>
                <w:sz w:val="18"/>
                <w:szCs w:val="18"/>
                <w:lang w:bidi="ar-SA"/>
              </w:rPr>
              <w:t>LFU</w:t>
            </w:r>
            <w:r w:rsidRPr="00EE00DF">
              <w:rPr>
                <w:rFonts w:asciiTheme="majorHAnsi" w:hAnsiTheme="majorHAnsi" w:cs="Arial"/>
                <w:sz w:val="18"/>
                <w:szCs w:val="18"/>
                <w:lang w:bidi="ar-SA"/>
              </w:rPr>
              <w:t>)</w:t>
            </w:r>
          </w:p>
        </w:tc>
        <w:tc>
          <w:tcPr>
            <w:tcW w:w="1391" w:type="pct"/>
            <w:tcBorders>
              <w:top w:val="nil"/>
              <w:left w:val="nil"/>
              <w:bottom w:val="single" w:sz="4" w:space="0" w:color="000000"/>
              <w:right w:val="single" w:sz="8" w:space="0" w:color="000000"/>
            </w:tcBorders>
            <w:shd w:val="clear" w:color="auto" w:fill="auto"/>
            <w:hideMark/>
          </w:tcPr>
          <w:p w14:paraId="6700585C" w14:textId="77777777" w:rsidR="00944AD5" w:rsidRPr="00EE00DF" w:rsidRDefault="00944AD5" w:rsidP="00944AD5">
            <w:pPr>
              <w:spacing w:after="0"/>
              <w:ind w:left="0" w:firstLine="0"/>
              <w:rPr>
                <w:rFonts w:asciiTheme="majorHAnsi" w:hAnsiTheme="majorHAnsi" w:cs="Arial"/>
                <w:color w:val="548DD4" w:themeColor="text2" w:themeTint="99"/>
                <w:sz w:val="18"/>
                <w:szCs w:val="18"/>
                <w:lang w:bidi="ar-SA"/>
              </w:rPr>
            </w:pPr>
            <w:r w:rsidRPr="00EE00DF">
              <w:rPr>
                <w:rFonts w:asciiTheme="majorHAnsi" w:hAnsiTheme="majorHAnsi" w:cs="Arial"/>
                <w:sz w:val="18"/>
                <w:szCs w:val="18"/>
                <w:lang w:bidi="ar-SA"/>
              </w:rPr>
              <w:t>Used updated summer LFU values for the 11 NYCA zones.</w:t>
            </w:r>
          </w:p>
          <w:p w14:paraId="134AB94F" w14:textId="77777777" w:rsidR="00944AD5" w:rsidRPr="00EE00DF" w:rsidRDefault="00944AD5" w:rsidP="00944AD5">
            <w:pPr>
              <w:spacing w:after="0"/>
              <w:ind w:left="0" w:firstLine="0"/>
              <w:rPr>
                <w:rFonts w:asciiTheme="majorHAnsi" w:hAnsiTheme="majorHAnsi" w:cs="Arial"/>
                <w:sz w:val="18"/>
                <w:szCs w:val="18"/>
                <w:lang w:bidi="ar-SA"/>
              </w:rPr>
            </w:pPr>
          </w:p>
        </w:tc>
        <w:tc>
          <w:tcPr>
            <w:tcW w:w="1187" w:type="pct"/>
            <w:tcBorders>
              <w:top w:val="nil"/>
              <w:left w:val="single" w:sz="4" w:space="0" w:color="000000"/>
              <w:bottom w:val="single" w:sz="4" w:space="0" w:color="000000"/>
              <w:right w:val="single" w:sz="8" w:space="0" w:color="000000"/>
            </w:tcBorders>
          </w:tcPr>
          <w:p w14:paraId="34B3D727"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Updated via Load Forecast Task Force (LFTF) process</w:t>
            </w:r>
          </w:p>
          <w:p w14:paraId="7251C9A2" w14:textId="77777777" w:rsidR="00944AD5" w:rsidRPr="00EE00DF" w:rsidRDefault="00944AD5" w:rsidP="00944AD5">
            <w:pPr>
              <w:spacing w:after="0"/>
              <w:ind w:left="0" w:firstLine="0"/>
              <w:rPr>
                <w:rFonts w:asciiTheme="majorHAnsi" w:hAnsiTheme="majorHAnsi" w:cs="Arial"/>
                <w:sz w:val="18"/>
                <w:szCs w:val="18"/>
                <w:lang w:bidi="ar-SA"/>
              </w:rPr>
            </w:pPr>
          </w:p>
          <w:p w14:paraId="46B13D38" w14:textId="77777777" w:rsidR="00944AD5" w:rsidRPr="00EE00DF" w:rsidRDefault="00944AD5" w:rsidP="00944AD5">
            <w:pPr>
              <w:spacing w:after="0"/>
              <w:ind w:left="0" w:firstLine="0"/>
              <w:rPr>
                <w:rFonts w:asciiTheme="majorHAnsi" w:hAnsiTheme="majorHAnsi" w:cs="Arial"/>
                <w:color w:val="365F91" w:themeColor="accent1" w:themeShade="BF"/>
                <w:sz w:val="18"/>
                <w:szCs w:val="18"/>
                <w:lang w:bidi="ar-SA"/>
              </w:rPr>
            </w:pPr>
            <w:r w:rsidRPr="00EE00DF">
              <w:rPr>
                <w:rFonts w:asciiTheme="majorHAnsi" w:hAnsiTheme="majorHAnsi" w:cs="Arial"/>
                <w:sz w:val="18"/>
                <w:szCs w:val="18"/>
                <w:lang w:bidi="ar-SA"/>
              </w:rPr>
              <w:t>Reference: April 13</w:t>
            </w:r>
            <w:proofErr w:type="gramStart"/>
            <w:r w:rsidRPr="00EE00DF">
              <w:rPr>
                <w:rFonts w:asciiTheme="majorHAnsi" w:hAnsiTheme="majorHAnsi" w:cs="Arial"/>
                <w:sz w:val="18"/>
                <w:szCs w:val="18"/>
                <w:lang w:bidi="ar-SA"/>
              </w:rPr>
              <w:t xml:space="preserve"> 2020</w:t>
            </w:r>
            <w:proofErr w:type="gramEnd"/>
            <w:r w:rsidRPr="00EE00DF">
              <w:rPr>
                <w:rFonts w:asciiTheme="majorHAnsi" w:hAnsiTheme="majorHAnsi" w:cs="Arial"/>
                <w:sz w:val="18"/>
                <w:szCs w:val="18"/>
                <w:lang w:bidi="ar-SA"/>
              </w:rPr>
              <w:t xml:space="preserve"> LFTF presentation: </w:t>
            </w:r>
            <w:hyperlink r:id="rId95" w:history="1">
              <w:r w:rsidRPr="00EE00DF">
                <w:rPr>
                  <w:rFonts w:asciiTheme="majorHAnsi" w:hAnsiTheme="majorHAnsi" w:cs="Arial"/>
                  <w:color w:val="0563C1"/>
                  <w:sz w:val="18"/>
                  <w:szCs w:val="18"/>
                  <w:u w:val="single"/>
                  <w:lang w:bidi="ar-SA"/>
                </w:rPr>
                <w:t>https://www.nyiso.com/documents/20142/11883362/LFU_Summary.pdf</w:t>
              </w:r>
            </w:hyperlink>
          </w:p>
        </w:tc>
        <w:tc>
          <w:tcPr>
            <w:tcW w:w="1228" w:type="pct"/>
            <w:tcBorders>
              <w:top w:val="nil"/>
              <w:left w:val="single" w:sz="4" w:space="0" w:color="000000"/>
              <w:bottom w:val="single" w:sz="4" w:space="0" w:color="000000"/>
              <w:right w:val="single" w:sz="8" w:space="0" w:color="000000"/>
            </w:tcBorders>
          </w:tcPr>
          <w:p w14:paraId="18866071"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762E9362" w14:textId="77777777" w:rsidR="00944AD5" w:rsidRPr="00EE00DF" w:rsidRDefault="00944AD5" w:rsidP="00944AD5">
            <w:pPr>
              <w:spacing w:after="0"/>
              <w:ind w:left="0" w:firstLine="0"/>
              <w:rPr>
                <w:rFonts w:asciiTheme="majorHAnsi" w:hAnsiTheme="majorHAnsi" w:cs="Arial"/>
                <w:color w:val="365F91" w:themeColor="accent1" w:themeShade="BF"/>
                <w:sz w:val="18"/>
                <w:szCs w:val="18"/>
                <w:lang w:bidi="ar-SA"/>
              </w:rPr>
            </w:pPr>
          </w:p>
        </w:tc>
      </w:tr>
      <w:tr w:rsidR="00944AD5" w:rsidRPr="00EE00DF" w14:paraId="1BB881C2" w14:textId="77777777" w:rsidTr="00EE00DF">
        <w:trPr>
          <w:trHeight w:val="341"/>
        </w:trPr>
        <w:tc>
          <w:tcPr>
            <w:tcW w:w="1194" w:type="pct"/>
            <w:gridSpan w:val="2"/>
            <w:tcBorders>
              <w:top w:val="single" w:sz="4" w:space="0" w:color="auto"/>
              <w:left w:val="single" w:sz="4" w:space="0" w:color="auto"/>
              <w:bottom w:val="single" w:sz="4" w:space="0" w:color="auto"/>
            </w:tcBorders>
            <w:shd w:val="clear" w:color="auto" w:fill="F2F2F2" w:themeFill="background1" w:themeFillShade="F2"/>
          </w:tcPr>
          <w:p w14:paraId="6852C558" w14:textId="77777777" w:rsidR="00944AD5" w:rsidRPr="00EE00DF" w:rsidRDefault="00944AD5" w:rsidP="00944AD5">
            <w:pPr>
              <w:spacing w:after="0"/>
              <w:ind w:left="0" w:firstLine="0"/>
              <w:rPr>
                <w:rFonts w:asciiTheme="majorHAnsi" w:hAnsiTheme="majorHAnsi" w:cs="Arial"/>
                <w:b/>
                <w:bCs/>
                <w:sz w:val="18"/>
                <w:szCs w:val="18"/>
                <w:lang w:bidi="ar-SA"/>
              </w:rPr>
            </w:pPr>
            <w:r w:rsidRPr="00EE00DF">
              <w:rPr>
                <w:rFonts w:asciiTheme="majorHAnsi" w:hAnsiTheme="majorHAnsi" w:cs="Arial"/>
                <w:b/>
                <w:bCs/>
                <w:sz w:val="18"/>
                <w:szCs w:val="18"/>
                <w:lang w:bidi="ar-SA"/>
              </w:rPr>
              <w:t>Generation Parameters</w:t>
            </w:r>
          </w:p>
        </w:tc>
        <w:tc>
          <w:tcPr>
            <w:tcW w:w="1391" w:type="pct"/>
            <w:tcBorders>
              <w:top w:val="single" w:sz="4" w:space="0" w:color="auto"/>
              <w:bottom w:val="single" w:sz="4" w:space="0" w:color="auto"/>
            </w:tcBorders>
            <w:shd w:val="clear" w:color="auto" w:fill="F2F2F2" w:themeFill="background1" w:themeFillShade="F2"/>
          </w:tcPr>
          <w:p w14:paraId="4A699DCE" w14:textId="77777777" w:rsidR="00944AD5" w:rsidRPr="00EE00DF" w:rsidRDefault="00944AD5" w:rsidP="00944AD5">
            <w:pPr>
              <w:spacing w:after="0"/>
              <w:ind w:left="0" w:firstLine="0"/>
              <w:rPr>
                <w:rFonts w:asciiTheme="majorHAnsi" w:hAnsiTheme="majorHAnsi" w:cs="Arial"/>
                <w:sz w:val="18"/>
                <w:szCs w:val="18"/>
                <w:lang w:bidi="ar-SA"/>
              </w:rPr>
            </w:pPr>
          </w:p>
        </w:tc>
        <w:tc>
          <w:tcPr>
            <w:tcW w:w="1187" w:type="pct"/>
            <w:tcBorders>
              <w:top w:val="single" w:sz="4" w:space="0" w:color="auto"/>
              <w:bottom w:val="single" w:sz="4" w:space="0" w:color="auto"/>
              <w:right w:val="single" w:sz="4" w:space="0" w:color="auto"/>
            </w:tcBorders>
            <w:shd w:val="clear" w:color="auto" w:fill="F2F2F2" w:themeFill="background1" w:themeFillShade="F2"/>
          </w:tcPr>
          <w:p w14:paraId="50D7C3B3" w14:textId="77777777" w:rsidR="00944AD5" w:rsidRPr="00EE00DF" w:rsidRDefault="00944AD5" w:rsidP="00944AD5">
            <w:pPr>
              <w:spacing w:after="0"/>
              <w:ind w:left="0" w:firstLine="0"/>
              <w:rPr>
                <w:rFonts w:asciiTheme="majorHAnsi" w:hAnsiTheme="majorHAnsi" w:cs="Arial"/>
                <w:sz w:val="18"/>
                <w:szCs w:val="18"/>
                <w:lang w:bidi="ar-SA"/>
              </w:rPr>
            </w:pPr>
          </w:p>
        </w:tc>
        <w:tc>
          <w:tcPr>
            <w:tcW w:w="1228" w:type="pct"/>
            <w:tcBorders>
              <w:top w:val="single" w:sz="4" w:space="0" w:color="auto"/>
              <w:bottom w:val="single" w:sz="4" w:space="0" w:color="auto"/>
              <w:right w:val="single" w:sz="4" w:space="0" w:color="auto"/>
            </w:tcBorders>
            <w:shd w:val="clear" w:color="auto" w:fill="F2F2F2" w:themeFill="background1" w:themeFillShade="F2"/>
          </w:tcPr>
          <w:p w14:paraId="007B7808"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02FCCD47" w14:textId="77777777" w:rsidTr="00EE00DF">
        <w:trPr>
          <w:trHeight w:val="1106"/>
        </w:trPr>
        <w:tc>
          <w:tcPr>
            <w:tcW w:w="303" w:type="pct"/>
            <w:tcBorders>
              <w:top w:val="single" w:sz="4" w:space="0" w:color="auto"/>
              <w:left w:val="single" w:sz="8" w:space="0" w:color="000000"/>
              <w:bottom w:val="single" w:sz="4" w:space="0" w:color="000000"/>
              <w:right w:val="single" w:sz="4" w:space="0" w:color="000000"/>
            </w:tcBorders>
            <w:shd w:val="clear" w:color="auto" w:fill="auto"/>
            <w:hideMark/>
          </w:tcPr>
          <w:p w14:paraId="1056A175"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1</w:t>
            </w:r>
          </w:p>
        </w:tc>
        <w:tc>
          <w:tcPr>
            <w:tcW w:w="892" w:type="pct"/>
            <w:tcBorders>
              <w:top w:val="single" w:sz="4" w:space="0" w:color="auto"/>
              <w:left w:val="nil"/>
              <w:bottom w:val="single" w:sz="4" w:space="0" w:color="000000"/>
              <w:right w:val="single" w:sz="4" w:space="0" w:color="000000"/>
            </w:tcBorders>
            <w:shd w:val="clear" w:color="auto" w:fill="auto"/>
            <w:hideMark/>
          </w:tcPr>
          <w:p w14:paraId="667CCA66"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b/>
                <w:bCs/>
                <w:sz w:val="18"/>
                <w:szCs w:val="18"/>
                <w:lang w:bidi="ar-SA"/>
              </w:rPr>
              <w:t>Existing</w:t>
            </w:r>
            <w:r w:rsidRPr="00EE00DF">
              <w:rPr>
                <w:rFonts w:asciiTheme="majorHAnsi" w:hAnsiTheme="majorHAnsi" w:cs="Arial"/>
                <w:sz w:val="18"/>
                <w:szCs w:val="18"/>
                <w:lang w:bidi="ar-SA"/>
              </w:rPr>
              <w:t xml:space="preserve"> Generating Unit Capacities</w:t>
            </w:r>
          </w:p>
        </w:tc>
        <w:tc>
          <w:tcPr>
            <w:tcW w:w="1391" w:type="pct"/>
            <w:tcBorders>
              <w:top w:val="single" w:sz="4" w:space="0" w:color="auto"/>
              <w:left w:val="nil"/>
              <w:bottom w:val="single" w:sz="4" w:space="0" w:color="000000"/>
              <w:right w:val="single" w:sz="8" w:space="0" w:color="000000"/>
            </w:tcBorders>
            <w:shd w:val="clear" w:color="auto" w:fill="auto"/>
            <w:hideMark/>
          </w:tcPr>
          <w:p w14:paraId="5C6D98C9"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2018 Gold Book values.  </w:t>
            </w:r>
          </w:p>
          <w:p w14:paraId="738B4490"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Use summer min (DMNC vs. CRIS). </w:t>
            </w:r>
            <w:r w:rsidRPr="00EE00DF">
              <w:rPr>
                <w:rFonts w:asciiTheme="majorHAnsi" w:hAnsiTheme="majorHAnsi" w:cs="Arial"/>
                <w:sz w:val="18"/>
                <w:szCs w:val="18"/>
                <w:lang w:bidi="ar-SA"/>
              </w:rPr>
              <w:br/>
              <w:t>Use winter min (DMNC vs. CRIS).</w:t>
            </w:r>
            <w:r w:rsidRPr="00EE00DF">
              <w:rPr>
                <w:rFonts w:asciiTheme="majorHAnsi" w:hAnsiTheme="majorHAnsi" w:cs="Arial"/>
                <w:b/>
                <w:sz w:val="18"/>
                <w:szCs w:val="18"/>
                <w:lang w:bidi="ar-SA"/>
              </w:rPr>
              <w:br/>
            </w:r>
            <w:r w:rsidRPr="00EE00DF">
              <w:rPr>
                <w:rFonts w:asciiTheme="majorHAnsi" w:hAnsiTheme="majorHAnsi" w:cs="Arial"/>
                <w:sz w:val="18"/>
                <w:szCs w:val="18"/>
                <w:lang w:bidi="ar-SA"/>
              </w:rPr>
              <w:t>Adjusted for RNA inclusion rules.</w:t>
            </w:r>
          </w:p>
          <w:p w14:paraId="40D23795" w14:textId="77777777" w:rsidR="00944AD5" w:rsidRPr="00EE00DF" w:rsidRDefault="00944AD5" w:rsidP="00944AD5">
            <w:pPr>
              <w:spacing w:after="0"/>
              <w:ind w:left="0" w:firstLine="0"/>
              <w:rPr>
                <w:rFonts w:asciiTheme="majorHAnsi" w:hAnsiTheme="majorHAnsi" w:cs="Arial"/>
                <w:sz w:val="18"/>
                <w:szCs w:val="18"/>
                <w:lang w:bidi="ar-SA"/>
              </w:rPr>
            </w:pPr>
          </w:p>
        </w:tc>
        <w:tc>
          <w:tcPr>
            <w:tcW w:w="1187" w:type="pct"/>
            <w:tcBorders>
              <w:top w:val="single" w:sz="4" w:space="0" w:color="auto"/>
              <w:left w:val="single" w:sz="4" w:space="0" w:color="000000"/>
              <w:bottom w:val="single" w:sz="4" w:space="0" w:color="000000"/>
              <w:right w:val="single" w:sz="8" w:space="0" w:color="000000"/>
            </w:tcBorders>
          </w:tcPr>
          <w:p w14:paraId="5BAB1EED"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single" w:sz="4" w:space="0" w:color="auto"/>
              <w:left w:val="single" w:sz="4" w:space="0" w:color="000000"/>
              <w:bottom w:val="single" w:sz="4" w:space="0" w:color="000000"/>
              <w:right w:val="single" w:sz="8" w:space="0" w:color="000000"/>
            </w:tcBorders>
          </w:tcPr>
          <w:p w14:paraId="4ECE5518"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5CA3623E"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76FC3003" w14:textId="77777777" w:rsidTr="00EE00DF">
        <w:trPr>
          <w:trHeight w:val="1052"/>
        </w:trPr>
        <w:tc>
          <w:tcPr>
            <w:tcW w:w="303" w:type="pct"/>
            <w:tcBorders>
              <w:top w:val="nil"/>
              <w:left w:val="single" w:sz="8" w:space="0" w:color="000000"/>
              <w:bottom w:val="single" w:sz="4" w:space="0" w:color="000000"/>
              <w:right w:val="single" w:sz="4" w:space="0" w:color="000000"/>
            </w:tcBorders>
            <w:shd w:val="clear" w:color="auto" w:fill="auto"/>
            <w:hideMark/>
          </w:tcPr>
          <w:p w14:paraId="375BCDB9"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lastRenderedPageBreak/>
              <w:t>2</w:t>
            </w:r>
          </w:p>
        </w:tc>
        <w:tc>
          <w:tcPr>
            <w:tcW w:w="892" w:type="pct"/>
            <w:tcBorders>
              <w:top w:val="nil"/>
              <w:left w:val="nil"/>
              <w:bottom w:val="single" w:sz="4" w:space="0" w:color="000000"/>
              <w:right w:val="single" w:sz="4" w:space="0" w:color="000000"/>
            </w:tcBorders>
            <w:shd w:val="clear" w:color="auto" w:fill="auto"/>
            <w:hideMark/>
          </w:tcPr>
          <w:p w14:paraId="57EFFD23"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b/>
                <w:bCs/>
                <w:sz w:val="18"/>
                <w:szCs w:val="18"/>
                <w:lang w:bidi="ar-SA"/>
              </w:rPr>
              <w:t>Proposed New Units Inclusion</w:t>
            </w:r>
            <w:r w:rsidRPr="00EE00DF">
              <w:rPr>
                <w:rFonts w:asciiTheme="majorHAnsi" w:hAnsiTheme="majorHAnsi" w:cs="Arial"/>
                <w:sz w:val="18"/>
                <w:szCs w:val="18"/>
                <w:lang w:bidi="ar-SA"/>
              </w:rPr>
              <w:t xml:space="preserve"> Determination</w:t>
            </w:r>
          </w:p>
        </w:tc>
        <w:tc>
          <w:tcPr>
            <w:tcW w:w="1391" w:type="pct"/>
            <w:tcBorders>
              <w:top w:val="nil"/>
              <w:left w:val="nil"/>
              <w:bottom w:val="single" w:sz="4" w:space="0" w:color="000000"/>
              <w:right w:val="single" w:sz="8" w:space="0" w:color="000000"/>
            </w:tcBorders>
            <w:shd w:val="clear" w:color="auto" w:fill="auto"/>
            <w:hideMark/>
          </w:tcPr>
          <w:p w14:paraId="2CCF0AC6" w14:textId="77777777" w:rsidR="00944AD5" w:rsidRPr="00EE00DF" w:rsidRDefault="00944AD5" w:rsidP="00944AD5">
            <w:pPr>
              <w:spacing w:after="0"/>
              <w:ind w:left="0" w:firstLine="0"/>
              <w:rPr>
                <w:rFonts w:asciiTheme="majorHAnsi" w:hAnsiTheme="majorHAnsi" w:cs="Arial"/>
                <w:color w:val="333399"/>
                <w:sz w:val="18"/>
                <w:szCs w:val="18"/>
                <w:lang w:bidi="ar-SA"/>
              </w:rPr>
            </w:pPr>
            <w:r w:rsidRPr="00EE00DF">
              <w:rPr>
                <w:rFonts w:asciiTheme="majorHAnsi" w:hAnsiTheme="majorHAnsi" w:cs="Arial"/>
                <w:sz w:val="18"/>
                <w:szCs w:val="18"/>
                <w:lang w:bidi="ar-SA"/>
              </w:rPr>
              <w:t>GB2018 with Inclusion Rules Applied</w:t>
            </w:r>
          </w:p>
        </w:tc>
        <w:tc>
          <w:tcPr>
            <w:tcW w:w="1187" w:type="pct"/>
            <w:tcBorders>
              <w:top w:val="nil"/>
              <w:left w:val="single" w:sz="4" w:space="0" w:color="000000"/>
              <w:bottom w:val="single" w:sz="4" w:space="0" w:color="000000"/>
              <w:right w:val="single" w:sz="8" w:space="0" w:color="000000"/>
            </w:tcBorders>
          </w:tcPr>
          <w:p w14:paraId="1DDD065A"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nil"/>
              <w:left w:val="single" w:sz="4" w:space="0" w:color="000000"/>
              <w:bottom w:val="single" w:sz="4" w:space="0" w:color="000000"/>
              <w:right w:val="single" w:sz="8" w:space="0" w:color="000000"/>
            </w:tcBorders>
          </w:tcPr>
          <w:p w14:paraId="43497BEB"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7523BC50"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6C2B4C1C" w14:textId="77777777" w:rsidTr="00EE00DF">
        <w:trPr>
          <w:trHeight w:val="908"/>
        </w:trPr>
        <w:tc>
          <w:tcPr>
            <w:tcW w:w="303" w:type="pct"/>
            <w:tcBorders>
              <w:top w:val="single" w:sz="4" w:space="0" w:color="000000"/>
              <w:left w:val="single" w:sz="8" w:space="0" w:color="000000"/>
              <w:bottom w:val="single" w:sz="4" w:space="0" w:color="000000"/>
              <w:right w:val="single" w:sz="4" w:space="0" w:color="000000"/>
            </w:tcBorders>
            <w:shd w:val="clear" w:color="auto" w:fill="auto"/>
            <w:hideMark/>
          </w:tcPr>
          <w:p w14:paraId="43CAD31C"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3</w:t>
            </w:r>
          </w:p>
        </w:tc>
        <w:tc>
          <w:tcPr>
            <w:tcW w:w="892" w:type="pct"/>
            <w:tcBorders>
              <w:top w:val="single" w:sz="4" w:space="0" w:color="000000"/>
              <w:left w:val="nil"/>
              <w:bottom w:val="single" w:sz="4" w:space="0" w:color="000000"/>
              <w:right w:val="single" w:sz="4" w:space="0" w:color="000000"/>
            </w:tcBorders>
            <w:shd w:val="clear" w:color="auto" w:fill="auto"/>
            <w:hideMark/>
          </w:tcPr>
          <w:p w14:paraId="5711A1ED"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Retirement, Mothballed Units, IIFO</w:t>
            </w:r>
          </w:p>
        </w:tc>
        <w:tc>
          <w:tcPr>
            <w:tcW w:w="1391" w:type="pct"/>
            <w:tcBorders>
              <w:top w:val="single" w:sz="4" w:space="0" w:color="000000"/>
              <w:left w:val="nil"/>
              <w:bottom w:val="single" w:sz="4" w:space="0" w:color="000000"/>
              <w:right w:val="single" w:sz="8" w:space="0" w:color="000000"/>
            </w:tcBorders>
            <w:shd w:val="clear" w:color="auto" w:fill="auto"/>
            <w:hideMark/>
          </w:tcPr>
          <w:p w14:paraId="5A7DE93F"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GB2018 with Inclusion Rules Applied</w:t>
            </w:r>
            <w:r w:rsidRPr="00EE00DF">
              <w:rPr>
                <w:rFonts w:asciiTheme="majorHAnsi" w:hAnsiTheme="majorHAnsi" w:cs="Arial"/>
                <w:sz w:val="18"/>
                <w:szCs w:val="18"/>
                <w:lang w:bidi="ar-SA"/>
              </w:rPr>
              <w:br/>
            </w:r>
          </w:p>
        </w:tc>
        <w:tc>
          <w:tcPr>
            <w:tcW w:w="1187" w:type="pct"/>
            <w:tcBorders>
              <w:top w:val="single" w:sz="4" w:space="0" w:color="000000"/>
              <w:left w:val="nil"/>
              <w:bottom w:val="single" w:sz="4" w:space="0" w:color="000000"/>
              <w:right w:val="single" w:sz="8" w:space="0" w:color="000000"/>
            </w:tcBorders>
          </w:tcPr>
          <w:p w14:paraId="2B6A0229"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single" w:sz="4" w:space="0" w:color="000000"/>
              <w:left w:val="nil"/>
              <w:bottom w:val="single" w:sz="4" w:space="0" w:color="000000"/>
              <w:right w:val="single" w:sz="8" w:space="0" w:color="000000"/>
            </w:tcBorders>
          </w:tcPr>
          <w:p w14:paraId="1CE1A46E"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176DD905"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287F928B" w14:textId="77777777" w:rsidTr="00EE00DF">
        <w:trPr>
          <w:trHeight w:val="2040"/>
        </w:trPr>
        <w:tc>
          <w:tcPr>
            <w:tcW w:w="303" w:type="pct"/>
            <w:tcBorders>
              <w:top w:val="nil"/>
              <w:left w:val="single" w:sz="8" w:space="0" w:color="000000"/>
              <w:bottom w:val="single" w:sz="4" w:space="0" w:color="000000"/>
              <w:right w:val="single" w:sz="4" w:space="0" w:color="000000"/>
            </w:tcBorders>
            <w:shd w:val="clear" w:color="auto" w:fill="auto"/>
            <w:hideMark/>
          </w:tcPr>
          <w:p w14:paraId="5413D052"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4</w:t>
            </w:r>
          </w:p>
        </w:tc>
        <w:tc>
          <w:tcPr>
            <w:tcW w:w="892" w:type="pct"/>
            <w:tcBorders>
              <w:top w:val="nil"/>
              <w:left w:val="nil"/>
              <w:bottom w:val="single" w:sz="4" w:space="0" w:color="000000"/>
              <w:right w:val="single" w:sz="4" w:space="0" w:color="000000"/>
            </w:tcBorders>
            <w:shd w:val="clear" w:color="auto" w:fill="auto"/>
            <w:hideMark/>
          </w:tcPr>
          <w:p w14:paraId="172BC743"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Forced and Partial Outage Rates</w:t>
            </w:r>
          </w:p>
        </w:tc>
        <w:tc>
          <w:tcPr>
            <w:tcW w:w="1391" w:type="pct"/>
            <w:tcBorders>
              <w:top w:val="nil"/>
              <w:left w:val="nil"/>
              <w:bottom w:val="single" w:sz="4" w:space="0" w:color="000000"/>
              <w:right w:val="single" w:sz="8" w:space="0" w:color="000000"/>
            </w:tcBorders>
            <w:shd w:val="clear" w:color="auto" w:fill="auto"/>
            <w:hideMark/>
          </w:tcPr>
          <w:p w14:paraId="05881748"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Five-year (2013-2017) GADS data for each unit represented. Those units with less than five years – use representative data.</w:t>
            </w:r>
            <w:r w:rsidRPr="00EE00DF">
              <w:rPr>
                <w:rFonts w:asciiTheme="majorHAnsi" w:hAnsiTheme="majorHAnsi" w:cs="Arial"/>
                <w:sz w:val="18"/>
                <w:szCs w:val="18"/>
                <w:lang w:bidi="ar-SA"/>
              </w:rPr>
              <w:br/>
            </w:r>
            <w:r w:rsidRPr="00EE00DF">
              <w:rPr>
                <w:rFonts w:asciiTheme="majorHAnsi" w:hAnsiTheme="majorHAnsi" w:cs="Arial"/>
                <w:sz w:val="18"/>
                <w:szCs w:val="18"/>
                <w:lang w:bidi="ar-SA"/>
              </w:rPr>
              <w:br/>
              <w:t xml:space="preserve"> Transition Rates representing the Equivalent Forced Outage Rates (</w:t>
            </w:r>
            <w:proofErr w:type="spellStart"/>
            <w:r w:rsidRPr="00EE00DF">
              <w:rPr>
                <w:rFonts w:asciiTheme="majorHAnsi" w:hAnsiTheme="majorHAnsi" w:cs="Arial"/>
                <w:sz w:val="18"/>
                <w:szCs w:val="18"/>
                <w:lang w:bidi="ar-SA"/>
              </w:rPr>
              <w:t>EFORd</w:t>
            </w:r>
            <w:proofErr w:type="spellEnd"/>
            <w:r w:rsidRPr="00EE00DF">
              <w:rPr>
                <w:rFonts w:asciiTheme="majorHAnsi" w:hAnsiTheme="majorHAnsi" w:cs="Arial"/>
                <w:sz w:val="18"/>
                <w:szCs w:val="18"/>
                <w:lang w:bidi="ar-SA"/>
              </w:rPr>
              <w:t xml:space="preserve">) during demand periods over the most recent five-year period </w:t>
            </w:r>
          </w:p>
          <w:p w14:paraId="50F1D2A3" w14:textId="77777777" w:rsidR="00944AD5" w:rsidRPr="00EE00DF" w:rsidRDefault="00944AD5" w:rsidP="00944AD5">
            <w:pPr>
              <w:spacing w:after="0"/>
              <w:ind w:left="0" w:firstLine="0"/>
              <w:rPr>
                <w:rFonts w:asciiTheme="majorHAnsi" w:hAnsiTheme="majorHAnsi" w:cs="Arial"/>
                <w:sz w:val="18"/>
                <w:szCs w:val="18"/>
                <w:lang w:bidi="ar-SA"/>
              </w:rPr>
            </w:pPr>
          </w:p>
          <w:p w14:paraId="682A9ADE"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For new units or units that are in service for less than three years, NERC 5-year class average </w:t>
            </w:r>
            <w:proofErr w:type="spellStart"/>
            <w:r w:rsidRPr="00EE00DF">
              <w:rPr>
                <w:rFonts w:asciiTheme="majorHAnsi" w:hAnsiTheme="majorHAnsi" w:cs="Arial"/>
                <w:sz w:val="18"/>
                <w:szCs w:val="18"/>
                <w:lang w:bidi="ar-SA"/>
              </w:rPr>
              <w:t>EFORd</w:t>
            </w:r>
            <w:proofErr w:type="spellEnd"/>
            <w:r w:rsidRPr="00EE00DF">
              <w:rPr>
                <w:rFonts w:asciiTheme="majorHAnsi" w:hAnsiTheme="majorHAnsi" w:cs="Arial"/>
                <w:sz w:val="18"/>
                <w:szCs w:val="18"/>
                <w:lang w:bidi="ar-SA"/>
              </w:rPr>
              <w:t xml:space="preserve"> data are used.</w:t>
            </w:r>
          </w:p>
        </w:tc>
        <w:tc>
          <w:tcPr>
            <w:tcW w:w="1187" w:type="pct"/>
            <w:tcBorders>
              <w:top w:val="nil"/>
              <w:left w:val="single" w:sz="4" w:space="0" w:color="000000"/>
              <w:bottom w:val="single" w:sz="4" w:space="0" w:color="000000"/>
              <w:right w:val="single" w:sz="8" w:space="0" w:color="000000"/>
            </w:tcBorders>
          </w:tcPr>
          <w:p w14:paraId="458426D1"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nil"/>
              <w:left w:val="single" w:sz="4" w:space="0" w:color="000000"/>
              <w:bottom w:val="single" w:sz="4" w:space="0" w:color="000000"/>
              <w:right w:val="single" w:sz="8" w:space="0" w:color="000000"/>
            </w:tcBorders>
          </w:tcPr>
          <w:p w14:paraId="79D1F68A"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06EC0B71"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4D87BD9A" w14:textId="77777777" w:rsidTr="00EE00DF">
        <w:trPr>
          <w:trHeight w:val="692"/>
        </w:trPr>
        <w:tc>
          <w:tcPr>
            <w:tcW w:w="303" w:type="pct"/>
            <w:tcBorders>
              <w:top w:val="nil"/>
              <w:left w:val="single" w:sz="8" w:space="0" w:color="000000"/>
              <w:bottom w:val="single" w:sz="4" w:space="0" w:color="000000"/>
              <w:right w:val="single" w:sz="4" w:space="0" w:color="000000"/>
            </w:tcBorders>
            <w:shd w:val="clear" w:color="auto" w:fill="auto"/>
            <w:hideMark/>
          </w:tcPr>
          <w:p w14:paraId="4125A395"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5</w:t>
            </w:r>
          </w:p>
        </w:tc>
        <w:tc>
          <w:tcPr>
            <w:tcW w:w="892" w:type="pct"/>
            <w:tcBorders>
              <w:top w:val="nil"/>
              <w:left w:val="nil"/>
              <w:bottom w:val="single" w:sz="4" w:space="0" w:color="000000"/>
              <w:right w:val="single" w:sz="4" w:space="0" w:color="000000"/>
            </w:tcBorders>
            <w:shd w:val="clear" w:color="auto" w:fill="auto"/>
            <w:hideMark/>
          </w:tcPr>
          <w:p w14:paraId="5C0150BC"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Planned Outages</w:t>
            </w:r>
          </w:p>
        </w:tc>
        <w:tc>
          <w:tcPr>
            <w:tcW w:w="1391" w:type="pct"/>
            <w:tcBorders>
              <w:top w:val="nil"/>
              <w:left w:val="nil"/>
              <w:bottom w:val="single" w:sz="4" w:space="0" w:color="000000"/>
              <w:right w:val="single" w:sz="8" w:space="0" w:color="000000"/>
            </w:tcBorders>
            <w:shd w:val="clear" w:color="auto" w:fill="auto"/>
            <w:hideMark/>
          </w:tcPr>
          <w:p w14:paraId="398332AF"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Based on schedules received by the NYISO and adjusted for history</w:t>
            </w:r>
          </w:p>
        </w:tc>
        <w:tc>
          <w:tcPr>
            <w:tcW w:w="1187" w:type="pct"/>
            <w:tcBorders>
              <w:top w:val="nil"/>
              <w:left w:val="single" w:sz="4" w:space="0" w:color="000000"/>
              <w:bottom w:val="single" w:sz="4" w:space="0" w:color="000000"/>
              <w:right w:val="single" w:sz="8" w:space="0" w:color="000000"/>
            </w:tcBorders>
          </w:tcPr>
          <w:p w14:paraId="793C3D1C"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nil"/>
              <w:left w:val="single" w:sz="4" w:space="0" w:color="000000"/>
              <w:bottom w:val="single" w:sz="4" w:space="0" w:color="000000"/>
              <w:right w:val="single" w:sz="8" w:space="0" w:color="000000"/>
            </w:tcBorders>
          </w:tcPr>
          <w:p w14:paraId="17015DB3"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2A745FB0"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72103489" w14:textId="77777777" w:rsidTr="00EE00DF">
        <w:trPr>
          <w:trHeight w:val="710"/>
        </w:trPr>
        <w:tc>
          <w:tcPr>
            <w:tcW w:w="303" w:type="pct"/>
            <w:tcBorders>
              <w:top w:val="nil"/>
              <w:left w:val="single" w:sz="8" w:space="0" w:color="000000"/>
              <w:bottom w:val="single" w:sz="4" w:space="0" w:color="000000"/>
              <w:right w:val="single" w:sz="4" w:space="0" w:color="000000"/>
            </w:tcBorders>
            <w:shd w:val="clear" w:color="auto" w:fill="auto"/>
            <w:hideMark/>
          </w:tcPr>
          <w:p w14:paraId="6B818E8A"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6</w:t>
            </w:r>
          </w:p>
        </w:tc>
        <w:tc>
          <w:tcPr>
            <w:tcW w:w="892" w:type="pct"/>
            <w:tcBorders>
              <w:top w:val="nil"/>
              <w:left w:val="nil"/>
              <w:bottom w:val="single" w:sz="4" w:space="0" w:color="000000"/>
              <w:right w:val="single" w:sz="4" w:space="0" w:color="000000"/>
            </w:tcBorders>
            <w:shd w:val="clear" w:color="auto" w:fill="auto"/>
            <w:hideMark/>
          </w:tcPr>
          <w:p w14:paraId="64463CEA"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Summer Maintenance</w:t>
            </w:r>
          </w:p>
        </w:tc>
        <w:tc>
          <w:tcPr>
            <w:tcW w:w="1391" w:type="pct"/>
            <w:tcBorders>
              <w:top w:val="nil"/>
              <w:left w:val="nil"/>
              <w:bottom w:val="single" w:sz="4" w:space="0" w:color="000000"/>
              <w:right w:val="single" w:sz="8" w:space="0" w:color="000000"/>
            </w:tcBorders>
            <w:shd w:val="clear" w:color="auto" w:fill="auto"/>
            <w:hideMark/>
          </w:tcPr>
          <w:p w14:paraId="759BD5B7" w14:textId="77777777" w:rsidR="00944AD5" w:rsidRPr="00EE00DF" w:rsidRDefault="00944AD5" w:rsidP="00944AD5">
            <w:pPr>
              <w:spacing w:after="240"/>
              <w:ind w:left="0" w:firstLine="0"/>
              <w:rPr>
                <w:rFonts w:asciiTheme="majorHAnsi" w:hAnsiTheme="majorHAnsi" w:cs="Arial"/>
                <w:sz w:val="18"/>
                <w:szCs w:val="18"/>
                <w:lang w:bidi="ar-SA"/>
              </w:rPr>
            </w:pPr>
            <w:r w:rsidRPr="00EE00DF">
              <w:rPr>
                <w:rFonts w:asciiTheme="majorHAnsi" w:hAnsiTheme="majorHAnsi" w:cs="Arial"/>
                <w:sz w:val="18"/>
                <w:szCs w:val="18"/>
                <w:lang w:bidi="ar-SA"/>
              </w:rPr>
              <w:t>Nominal 50 MW (25 in J and 25 in K)</w:t>
            </w:r>
          </w:p>
        </w:tc>
        <w:tc>
          <w:tcPr>
            <w:tcW w:w="1187" w:type="pct"/>
            <w:tcBorders>
              <w:top w:val="nil"/>
              <w:left w:val="single" w:sz="4" w:space="0" w:color="000000"/>
              <w:bottom w:val="single" w:sz="4" w:space="0" w:color="000000"/>
              <w:right w:val="single" w:sz="8" w:space="0" w:color="000000"/>
            </w:tcBorders>
          </w:tcPr>
          <w:p w14:paraId="7662BF38"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None </w:t>
            </w:r>
          </w:p>
        </w:tc>
        <w:tc>
          <w:tcPr>
            <w:tcW w:w="1228" w:type="pct"/>
            <w:tcBorders>
              <w:top w:val="nil"/>
              <w:left w:val="single" w:sz="4" w:space="0" w:color="000000"/>
              <w:bottom w:val="single" w:sz="4" w:space="0" w:color="000000"/>
              <w:right w:val="single" w:sz="8" w:space="0" w:color="000000"/>
            </w:tcBorders>
          </w:tcPr>
          <w:p w14:paraId="454EBD5B"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78C32931" w14:textId="77777777" w:rsidR="00944AD5" w:rsidRPr="00EE00DF" w:rsidRDefault="00944AD5" w:rsidP="00944AD5">
            <w:pPr>
              <w:spacing w:after="0"/>
              <w:ind w:left="0" w:firstLine="0"/>
              <w:rPr>
                <w:rFonts w:asciiTheme="majorHAnsi" w:hAnsiTheme="majorHAnsi" w:cs="Arial"/>
                <w:color w:val="365F91" w:themeColor="accent1" w:themeShade="BF"/>
                <w:sz w:val="18"/>
                <w:szCs w:val="18"/>
                <w:lang w:bidi="ar-SA"/>
              </w:rPr>
            </w:pPr>
          </w:p>
        </w:tc>
      </w:tr>
      <w:tr w:rsidR="00944AD5" w:rsidRPr="00EE00DF" w14:paraId="4D2A5BDA" w14:textId="77777777" w:rsidTr="00EE00DF">
        <w:trPr>
          <w:trHeight w:val="1547"/>
        </w:trPr>
        <w:tc>
          <w:tcPr>
            <w:tcW w:w="303" w:type="pct"/>
            <w:tcBorders>
              <w:top w:val="nil"/>
              <w:left w:val="single" w:sz="8" w:space="0" w:color="000000"/>
              <w:bottom w:val="single" w:sz="4" w:space="0" w:color="000000"/>
              <w:right w:val="single" w:sz="4" w:space="0" w:color="000000"/>
            </w:tcBorders>
            <w:shd w:val="clear" w:color="auto" w:fill="auto"/>
            <w:hideMark/>
          </w:tcPr>
          <w:p w14:paraId="72BC4FCC"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7</w:t>
            </w:r>
          </w:p>
        </w:tc>
        <w:tc>
          <w:tcPr>
            <w:tcW w:w="892" w:type="pct"/>
            <w:tcBorders>
              <w:top w:val="nil"/>
              <w:left w:val="nil"/>
              <w:bottom w:val="single" w:sz="4" w:space="0" w:color="000000"/>
              <w:right w:val="single" w:sz="4" w:space="0" w:color="000000"/>
            </w:tcBorders>
            <w:shd w:val="clear" w:color="auto" w:fill="auto"/>
            <w:hideMark/>
          </w:tcPr>
          <w:p w14:paraId="3D4E31D5"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Combustion Turbine Derates </w:t>
            </w:r>
          </w:p>
        </w:tc>
        <w:tc>
          <w:tcPr>
            <w:tcW w:w="1391" w:type="pct"/>
            <w:tcBorders>
              <w:top w:val="nil"/>
              <w:left w:val="nil"/>
              <w:bottom w:val="single" w:sz="4" w:space="0" w:color="000000"/>
              <w:right w:val="single" w:sz="8" w:space="0" w:color="000000"/>
            </w:tcBorders>
            <w:shd w:val="clear" w:color="auto" w:fill="auto"/>
            <w:hideMark/>
          </w:tcPr>
          <w:p w14:paraId="7BDA816E"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Derate based on temperature correction curves  </w:t>
            </w:r>
          </w:p>
          <w:p w14:paraId="08A45CFD" w14:textId="77777777" w:rsidR="00944AD5" w:rsidRPr="00EE00DF" w:rsidRDefault="00944AD5" w:rsidP="00944AD5">
            <w:pPr>
              <w:spacing w:after="0"/>
              <w:ind w:left="0" w:firstLine="0"/>
              <w:rPr>
                <w:rFonts w:asciiTheme="majorHAnsi" w:hAnsiTheme="majorHAnsi" w:cs="Arial"/>
                <w:sz w:val="18"/>
                <w:szCs w:val="18"/>
                <w:lang w:bidi="ar-SA"/>
              </w:rPr>
            </w:pPr>
          </w:p>
          <w:p w14:paraId="24900B7C"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For new units: used data for a unit of same type in same zone, or neighboring zone data.</w:t>
            </w:r>
          </w:p>
        </w:tc>
        <w:tc>
          <w:tcPr>
            <w:tcW w:w="1187" w:type="pct"/>
            <w:tcBorders>
              <w:top w:val="nil"/>
              <w:left w:val="nil"/>
              <w:bottom w:val="single" w:sz="4" w:space="0" w:color="000000"/>
              <w:right w:val="single" w:sz="8" w:space="0" w:color="000000"/>
            </w:tcBorders>
          </w:tcPr>
          <w:p w14:paraId="45156904"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nil"/>
              <w:left w:val="nil"/>
              <w:bottom w:val="single" w:sz="4" w:space="0" w:color="000000"/>
              <w:right w:val="single" w:sz="8" w:space="0" w:color="000000"/>
            </w:tcBorders>
          </w:tcPr>
          <w:p w14:paraId="616A978B"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51448836"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4C0B2F3A" w14:textId="77777777" w:rsidTr="00EE00DF">
        <w:trPr>
          <w:trHeight w:val="656"/>
        </w:trPr>
        <w:tc>
          <w:tcPr>
            <w:tcW w:w="303" w:type="pct"/>
            <w:tcBorders>
              <w:top w:val="nil"/>
              <w:left w:val="single" w:sz="8" w:space="0" w:color="000000"/>
              <w:bottom w:val="single" w:sz="4" w:space="0" w:color="000000"/>
              <w:right w:val="single" w:sz="4" w:space="0" w:color="000000"/>
            </w:tcBorders>
            <w:shd w:val="clear" w:color="auto" w:fill="auto"/>
            <w:hideMark/>
          </w:tcPr>
          <w:p w14:paraId="6D12AB09"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 8</w:t>
            </w:r>
          </w:p>
        </w:tc>
        <w:tc>
          <w:tcPr>
            <w:tcW w:w="892" w:type="pct"/>
            <w:tcBorders>
              <w:top w:val="nil"/>
              <w:left w:val="nil"/>
              <w:bottom w:val="single" w:sz="4" w:space="0" w:color="000000"/>
              <w:right w:val="single" w:sz="4" w:space="0" w:color="000000"/>
            </w:tcBorders>
            <w:shd w:val="clear" w:color="auto" w:fill="auto"/>
            <w:hideMark/>
          </w:tcPr>
          <w:p w14:paraId="0038673E" w14:textId="77777777" w:rsidR="00944AD5" w:rsidRPr="00EE00DF" w:rsidRDefault="00944AD5" w:rsidP="00944AD5">
            <w:pPr>
              <w:spacing w:after="0"/>
              <w:ind w:left="0" w:firstLine="0"/>
              <w:rPr>
                <w:rFonts w:asciiTheme="majorHAnsi" w:hAnsiTheme="majorHAnsi" w:cs="Arial"/>
                <w:bCs/>
                <w:sz w:val="18"/>
                <w:szCs w:val="18"/>
                <w:lang w:bidi="ar-SA"/>
              </w:rPr>
            </w:pPr>
            <w:r w:rsidRPr="00EE00DF">
              <w:rPr>
                <w:rFonts w:asciiTheme="majorHAnsi" w:hAnsiTheme="majorHAnsi" w:cs="Arial"/>
                <w:bCs/>
                <w:sz w:val="18"/>
                <w:szCs w:val="18"/>
                <w:lang w:bidi="ar-SA"/>
              </w:rPr>
              <w:t>Existing Landfill Gas Plants</w:t>
            </w:r>
          </w:p>
        </w:tc>
        <w:tc>
          <w:tcPr>
            <w:tcW w:w="1391" w:type="pct"/>
            <w:tcBorders>
              <w:top w:val="nil"/>
              <w:left w:val="nil"/>
              <w:bottom w:val="single" w:sz="4" w:space="0" w:color="000000"/>
              <w:right w:val="single" w:sz="8" w:space="0" w:color="000000"/>
            </w:tcBorders>
            <w:shd w:val="clear" w:color="auto" w:fill="auto"/>
            <w:hideMark/>
          </w:tcPr>
          <w:p w14:paraId="0EDD6974"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b/>
                <w:bCs/>
                <w:sz w:val="18"/>
                <w:szCs w:val="18"/>
                <w:lang w:bidi="ar-SA"/>
              </w:rPr>
              <w:t>New method:</w:t>
            </w:r>
            <w:r w:rsidRPr="00EE00DF">
              <w:rPr>
                <w:rFonts w:asciiTheme="majorHAnsi" w:hAnsiTheme="majorHAnsi" w:cs="Arial"/>
                <w:sz w:val="18"/>
                <w:szCs w:val="18"/>
                <w:lang w:bidi="ar-SA"/>
              </w:rPr>
              <w:br/>
              <w:t xml:space="preserve">Actual hourly plant output over the period 2013-2017. Program randomly selects </w:t>
            </w:r>
            <w:proofErr w:type="gramStart"/>
            <w:r w:rsidRPr="00EE00DF">
              <w:rPr>
                <w:rFonts w:asciiTheme="majorHAnsi" w:hAnsiTheme="majorHAnsi" w:cs="Arial"/>
                <w:sz w:val="18"/>
                <w:szCs w:val="18"/>
                <w:lang w:bidi="ar-SA"/>
              </w:rPr>
              <w:t>a</w:t>
            </w:r>
            <w:proofErr w:type="gramEnd"/>
            <w:r w:rsidRPr="00EE00DF">
              <w:rPr>
                <w:rFonts w:asciiTheme="majorHAnsi" w:hAnsiTheme="majorHAnsi" w:cs="Arial"/>
                <w:sz w:val="18"/>
                <w:szCs w:val="18"/>
                <w:lang w:bidi="ar-SA"/>
              </w:rPr>
              <w:t xml:space="preserve"> LFG shape of hourly production over the 2013-2017 for each model replication.</w:t>
            </w:r>
          </w:p>
          <w:p w14:paraId="5F2335E5" w14:textId="77777777" w:rsidR="00944AD5" w:rsidRPr="00EE00DF" w:rsidRDefault="00944AD5" w:rsidP="00944AD5">
            <w:pPr>
              <w:spacing w:after="0"/>
              <w:ind w:left="0" w:firstLine="0"/>
              <w:rPr>
                <w:rFonts w:asciiTheme="majorHAnsi" w:hAnsiTheme="majorHAnsi" w:cs="Arial"/>
                <w:color w:val="548DD4" w:themeColor="text2" w:themeTint="99"/>
                <w:sz w:val="18"/>
                <w:szCs w:val="18"/>
                <w:lang w:bidi="ar-SA"/>
              </w:rPr>
            </w:pPr>
          </w:p>
          <w:p w14:paraId="64D78795" w14:textId="77777777" w:rsidR="00944AD5" w:rsidRPr="00EE00DF" w:rsidRDefault="00944AD5" w:rsidP="00944AD5">
            <w:pPr>
              <w:spacing w:after="0"/>
              <w:ind w:left="0" w:firstLine="0"/>
              <w:rPr>
                <w:rFonts w:asciiTheme="majorHAnsi" w:hAnsiTheme="majorHAnsi" w:cs="Arial"/>
                <w:color w:val="548DD4" w:themeColor="text2" w:themeTint="99"/>
                <w:sz w:val="18"/>
                <w:szCs w:val="18"/>
                <w:lang w:bidi="ar-SA"/>
              </w:rPr>
            </w:pPr>
            <w:r w:rsidRPr="00EE00DF">
              <w:rPr>
                <w:rFonts w:asciiTheme="majorHAnsi" w:hAnsiTheme="majorHAnsi" w:cs="Arial"/>
                <w:sz w:val="18"/>
                <w:szCs w:val="18"/>
                <w:lang w:bidi="ar-SA"/>
              </w:rPr>
              <w:t>Probabilistic model is incorporated based on five years of input shapes, with one shape per replication randomly selected in the Monte Carlo process.</w:t>
            </w:r>
          </w:p>
        </w:tc>
        <w:tc>
          <w:tcPr>
            <w:tcW w:w="1187" w:type="pct"/>
            <w:tcBorders>
              <w:top w:val="nil"/>
              <w:left w:val="nil"/>
              <w:bottom w:val="single" w:sz="4" w:space="0" w:color="000000"/>
              <w:right w:val="single" w:sz="8" w:space="0" w:color="000000"/>
            </w:tcBorders>
          </w:tcPr>
          <w:p w14:paraId="3B79590A"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nil"/>
              <w:left w:val="nil"/>
              <w:bottom w:val="single" w:sz="4" w:space="0" w:color="000000"/>
              <w:right w:val="single" w:sz="8" w:space="0" w:color="000000"/>
            </w:tcBorders>
          </w:tcPr>
          <w:p w14:paraId="39599C6A"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3DD268CC"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3289EAFD" w14:textId="77777777" w:rsidTr="00EE00DF">
        <w:trPr>
          <w:trHeight w:val="935"/>
        </w:trPr>
        <w:tc>
          <w:tcPr>
            <w:tcW w:w="303" w:type="pct"/>
            <w:tcBorders>
              <w:top w:val="nil"/>
              <w:left w:val="single" w:sz="8" w:space="0" w:color="000000"/>
              <w:bottom w:val="single" w:sz="4" w:space="0" w:color="000000"/>
              <w:right w:val="single" w:sz="4" w:space="0" w:color="000000"/>
            </w:tcBorders>
            <w:shd w:val="clear" w:color="auto" w:fill="auto"/>
            <w:hideMark/>
          </w:tcPr>
          <w:p w14:paraId="641FAB18"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9</w:t>
            </w:r>
          </w:p>
        </w:tc>
        <w:tc>
          <w:tcPr>
            <w:tcW w:w="892" w:type="pct"/>
            <w:tcBorders>
              <w:top w:val="nil"/>
              <w:left w:val="nil"/>
              <w:bottom w:val="single" w:sz="4" w:space="0" w:color="000000"/>
              <w:right w:val="single" w:sz="4" w:space="0" w:color="000000"/>
            </w:tcBorders>
            <w:shd w:val="clear" w:color="auto" w:fill="auto"/>
            <w:hideMark/>
          </w:tcPr>
          <w:p w14:paraId="2DF3AE8E"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Existing </w:t>
            </w:r>
            <w:r w:rsidRPr="00EE00DF">
              <w:rPr>
                <w:rFonts w:asciiTheme="majorHAnsi" w:hAnsiTheme="majorHAnsi" w:cs="Arial"/>
                <w:b/>
                <w:bCs/>
                <w:sz w:val="18"/>
                <w:szCs w:val="18"/>
                <w:lang w:bidi="ar-SA"/>
              </w:rPr>
              <w:t>Wind</w:t>
            </w:r>
            <w:r w:rsidRPr="00EE00DF">
              <w:rPr>
                <w:rFonts w:asciiTheme="majorHAnsi" w:hAnsiTheme="majorHAnsi" w:cs="Arial"/>
                <w:sz w:val="18"/>
                <w:szCs w:val="18"/>
                <w:lang w:bidi="ar-SA"/>
              </w:rPr>
              <w:t xml:space="preserve"> Units (&gt;5 years of data)</w:t>
            </w:r>
          </w:p>
        </w:tc>
        <w:tc>
          <w:tcPr>
            <w:tcW w:w="1391" w:type="pct"/>
            <w:tcBorders>
              <w:top w:val="nil"/>
              <w:left w:val="nil"/>
              <w:bottom w:val="single" w:sz="4" w:space="0" w:color="000000"/>
              <w:right w:val="single" w:sz="8" w:space="0" w:color="000000"/>
            </w:tcBorders>
            <w:shd w:val="clear" w:color="auto" w:fill="auto"/>
            <w:hideMark/>
          </w:tcPr>
          <w:p w14:paraId="787C5A92"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Actual hourly plant output over the period 2013-2017. </w:t>
            </w:r>
          </w:p>
          <w:p w14:paraId="55AB7CD6"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br/>
              <w:t xml:space="preserve">Probabilistic model is incorporated </w:t>
            </w:r>
            <w:r w:rsidRPr="00EE00DF">
              <w:rPr>
                <w:rFonts w:asciiTheme="majorHAnsi" w:hAnsiTheme="majorHAnsi" w:cs="Arial"/>
                <w:sz w:val="18"/>
                <w:szCs w:val="18"/>
                <w:lang w:bidi="ar-SA"/>
              </w:rPr>
              <w:lastRenderedPageBreak/>
              <w:t>based on five years of input shapes with one shape per replication being randomly selected in Monte Carlo process</w:t>
            </w:r>
          </w:p>
        </w:tc>
        <w:tc>
          <w:tcPr>
            <w:tcW w:w="1187" w:type="pct"/>
            <w:tcBorders>
              <w:top w:val="nil"/>
              <w:left w:val="single" w:sz="4" w:space="0" w:color="000000"/>
              <w:bottom w:val="single" w:sz="4" w:space="0" w:color="000000"/>
              <w:right w:val="single" w:sz="8" w:space="0" w:color="000000"/>
            </w:tcBorders>
          </w:tcPr>
          <w:p w14:paraId="2EE109DD"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lastRenderedPageBreak/>
              <w:t>Similar method</w:t>
            </w:r>
          </w:p>
        </w:tc>
        <w:tc>
          <w:tcPr>
            <w:tcW w:w="1228" w:type="pct"/>
            <w:tcBorders>
              <w:top w:val="nil"/>
              <w:left w:val="single" w:sz="4" w:space="0" w:color="000000"/>
              <w:bottom w:val="single" w:sz="4" w:space="0" w:color="000000"/>
              <w:right w:val="single" w:sz="8" w:space="0" w:color="000000"/>
            </w:tcBorders>
          </w:tcPr>
          <w:p w14:paraId="0A444140"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7787DF2E"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549F22E9" w14:textId="77777777" w:rsidTr="00EE00DF">
        <w:trPr>
          <w:trHeight w:val="1133"/>
        </w:trPr>
        <w:tc>
          <w:tcPr>
            <w:tcW w:w="303" w:type="pct"/>
            <w:tcBorders>
              <w:top w:val="nil"/>
              <w:left w:val="single" w:sz="8" w:space="0" w:color="000000"/>
              <w:bottom w:val="single" w:sz="4" w:space="0" w:color="000000"/>
              <w:right w:val="single" w:sz="4" w:space="0" w:color="000000"/>
            </w:tcBorders>
            <w:shd w:val="clear" w:color="auto" w:fill="auto"/>
            <w:hideMark/>
          </w:tcPr>
          <w:p w14:paraId="7008A860"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10</w:t>
            </w:r>
          </w:p>
        </w:tc>
        <w:tc>
          <w:tcPr>
            <w:tcW w:w="892" w:type="pct"/>
            <w:tcBorders>
              <w:top w:val="nil"/>
              <w:left w:val="nil"/>
              <w:bottom w:val="single" w:sz="4" w:space="0" w:color="000000"/>
              <w:right w:val="single" w:sz="4" w:space="0" w:color="000000"/>
            </w:tcBorders>
            <w:shd w:val="clear" w:color="auto" w:fill="auto"/>
            <w:hideMark/>
          </w:tcPr>
          <w:p w14:paraId="17305B1F"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Existing </w:t>
            </w:r>
            <w:r w:rsidRPr="00EE00DF">
              <w:rPr>
                <w:rFonts w:asciiTheme="majorHAnsi" w:hAnsiTheme="majorHAnsi" w:cs="Arial"/>
                <w:b/>
                <w:bCs/>
                <w:sz w:val="18"/>
                <w:szCs w:val="18"/>
                <w:lang w:bidi="ar-SA"/>
              </w:rPr>
              <w:t>Wind</w:t>
            </w:r>
            <w:r w:rsidRPr="00EE00DF">
              <w:rPr>
                <w:rFonts w:asciiTheme="majorHAnsi" w:hAnsiTheme="majorHAnsi" w:cs="Arial"/>
                <w:sz w:val="18"/>
                <w:szCs w:val="18"/>
                <w:lang w:bidi="ar-SA"/>
              </w:rPr>
              <w:t xml:space="preserve"> Units (&lt;5 years of data)</w:t>
            </w:r>
          </w:p>
        </w:tc>
        <w:tc>
          <w:tcPr>
            <w:tcW w:w="1391" w:type="pct"/>
            <w:tcBorders>
              <w:top w:val="nil"/>
              <w:left w:val="nil"/>
              <w:bottom w:val="single" w:sz="4" w:space="0" w:color="000000"/>
              <w:right w:val="single" w:sz="8" w:space="0" w:color="000000"/>
            </w:tcBorders>
            <w:shd w:val="clear" w:color="auto" w:fill="auto"/>
            <w:hideMark/>
          </w:tcPr>
          <w:p w14:paraId="35246BA2"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For existing data, the actual hourly plant output over the period 2013-2017 is used.</w:t>
            </w:r>
          </w:p>
          <w:p w14:paraId="5142089B" w14:textId="77777777" w:rsidR="00944AD5" w:rsidRPr="00EE00DF" w:rsidRDefault="00944AD5" w:rsidP="00944AD5">
            <w:pPr>
              <w:spacing w:after="0"/>
              <w:ind w:left="0" w:firstLine="0"/>
              <w:rPr>
                <w:rFonts w:asciiTheme="majorHAnsi" w:hAnsiTheme="majorHAnsi" w:cs="Arial"/>
                <w:sz w:val="18"/>
                <w:szCs w:val="18"/>
                <w:lang w:bidi="ar-SA"/>
              </w:rPr>
            </w:pPr>
          </w:p>
          <w:p w14:paraId="6D510B95"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For missing data, the nameplate normalized average of units in the same load zone is scaled by the unit’s nameplate rating.</w:t>
            </w:r>
          </w:p>
          <w:p w14:paraId="593634D6" w14:textId="77777777" w:rsidR="00944AD5" w:rsidRPr="00EE00DF" w:rsidRDefault="00944AD5" w:rsidP="00944AD5">
            <w:pPr>
              <w:spacing w:after="0"/>
              <w:ind w:left="0" w:firstLine="0"/>
              <w:rPr>
                <w:rFonts w:asciiTheme="majorHAnsi" w:hAnsiTheme="majorHAnsi" w:cs="Arial"/>
                <w:sz w:val="18"/>
                <w:szCs w:val="18"/>
                <w:lang w:bidi="ar-SA"/>
              </w:rPr>
            </w:pPr>
          </w:p>
        </w:tc>
        <w:tc>
          <w:tcPr>
            <w:tcW w:w="1187" w:type="pct"/>
            <w:tcBorders>
              <w:top w:val="nil"/>
              <w:left w:val="single" w:sz="4" w:space="0" w:color="000000"/>
              <w:bottom w:val="single" w:sz="4" w:space="0" w:color="000000"/>
              <w:right w:val="single" w:sz="8" w:space="0" w:color="000000"/>
            </w:tcBorders>
          </w:tcPr>
          <w:p w14:paraId="0F95CA31"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nil"/>
              <w:left w:val="single" w:sz="4" w:space="0" w:color="000000"/>
              <w:bottom w:val="single" w:sz="4" w:space="0" w:color="000000"/>
              <w:right w:val="single" w:sz="8" w:space="0" w:color="000000"/>
            </w:tcBorders>
          </w:tcPr>
          <w:p w14:paraId="007A621E"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7212C1BB"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0CF04D48" w14:textId="77777777" w:rsidTr="00EE00DF">
        <w:trPr>
          <w:trHeight w:val="746"/>
        </w:trPr>
        <w:tc>
          <w:tcPr>
            <w:tcW w:w="303" w:type="pct"/>
            <w:tcBorders>
              <w:top w:val="nil"/>
              <w:left w:val="single" w:sz="8" w:space="0" w:color="000000"/>
              <w:bottom w:val="single" w:sz="4" w:space="0" w:color="000000"/>
              <w:right w:val="single" w:sz="4" w:space="0" w:color="000000"/>
            </w:tcBorders>
            <w:shd w:val="clear" w:color="auto" w:fill="auto"/>
            <w:hideMark/>
          </w:tcPr>
          <w:p w14:paraId="780B334F"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11a</w:t>
            </w:r>
          </w:p>
        </w:tc>
        <w:tc>
          <w:tcPr>
            <w:tcW w:w="892" w:type="pct"/>
            <w:tcBorders>
              <w:top w:val="nil"/>
              <w:left w:val="nil"/>
              <w:bottom w:val="single" w:sz="4" w:space="0" w:color="000000"/>
              <w:right w:val="single" w:sz="4" w:space="0" w:color="000000"/>
            </w:tcBorders>
            <w:shd w:val="clear" w:color="auto" w:fill="auto"/>
            <w:hideMark/>
          </w:tcPr>
          <w:p w14:paraId="60BC68C4"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Proposed </w:t>
            </w:r>
            <w:r w:rsidRPr="00EE00DF">
              <w:rPr>
                <w:rFonts w:asciiTheme="majorHAnsi" w:hAnsiTheme="majorHAnsi" w:cs="Arial"/>
                <w:b/>
                <w:sz w:val="18"/>
                <w:szCs w:val="18"/>
                <w:lang w:bidi="ar-SA"/>
              </w:rPr>
              <w:t xml:space="preserve">Land based </w:t>
            </w:r>
            <w:r w:rsidRPr="00EE00DF">
              <w:rPr>
                <w:rFonts w:asciiTheme="majorHAnsi" w:hAnsiTheme="majorHAnsi" w:cs="Arial"/>
                <w:b/>
                <w:bCs/>
                <w:sz w:val="18"/>
                <w:szCs w:val="18"/>
                <w:lang w:bidi="ar-SA"/>
              </w:rPr>
              <w:t>Wind</w:t>
            </w:r>
            <w:r w:rsidRPr="00EE00DF">
              <w:rPr>
                <w:rFonts w:asciiTheme="majorHAnsi" w:hAnsiTheme="majorHAnsi" w:cs="Arial"/>
                <w:sz w:val="18"/>
                <w:szCs w:val="18"/>
                <w:lang w:bidi="ar-SA"/>
              </w:rPr>
              <w:t xml:space="preserve"> Units</w:t>
            </w:r>
          </w:p>
        </w:tc>
        <w:tc>
          <w:tcPr>
            <w:tcW w:w="1391" w:type="pct"/>
            <w:tcBorders>
              <w:top w:val="nil"/>
              <w:left w:val="nil"/>
              <w:bottom w:val="single" w:sz="4" w:space="0" w:color="000000"/>
              <w:right w:val="single" w:sz="8" w:space="0" w:color="000000"/>
            </w:tcBorders>
            <w:shd w:val="clear" w:color="auto" w:fill="auto"/>
            <w:hideMark/>
          </w:tcPr>
          <w:p w14:paraId="370C05D7"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Inclusion Rules Applied to determine the generator status.</w:t>
            </w:r>
          </w:p>
          <w:p w14:paraId="6348CC64" w14:textId="77777777" w:rsidR="00944AD5" w:rsidRPr="00EE00DF" w:rsidRDefault="00944AD5" w:rsidP="00944AD5">
            <w:pPr>
              <w:spacing w:after="0"/>
              <w:ind w:left="0" w:firstLine="0"/>
              <w:rPr>
                <w:rFonts w:asciiTheme="majorHAnsi" w:hAnsiTheme="majorHAnsi" w:cs="Arial"/>
                <w:sz w:val="18"/>
                <w:szCs w:val="18"/>
                <w:lang w:bidi="ar-SA"/>
              </w:rPr>
            </w:pPr>
          </w:p>
          <w:p w14:paraId="7AD5F682"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The nameplate normalized average of units in the same load zone is scaled by the unit’s nameplate rating.</w:t>
            </w:r>
          </w:p>
          <w:p w14:paraId="7D5EE5CA" w14:textId="77777777" w:rsidR="00944AD5" w:rsidRPr="00EE00DF" w:rsidRDefault="00944AD5" w:rsidP="00944AD5">
            <w:pPr>
              <w:spacing w:after="0"/>
              <w:ind w:left="0" w:firstLine="0"/>
              <w:rPr>
                <w:rFonts w:asciiTheme="majorHAnsi" w:hAnsiTheme="majorHAnsi" w:cs="Arial"/>
                <w:sz w:val="18"/>
                <w:szCs w:val="18"/>
                <w:lang w:bidi="ar-SA"/>
              </w:rPr>
            </w:pPr>
          </w:p>
        </w:tc>
        <w:tc>
          <w:tcPr>
            <w:tcW w:w="1187" w:type="pct"/>
            <w:tcBorders>
              <w:top w:val="nil"/>
              <w:left w:val="single" w:sz="4" w:space="0" w:color="000000"/>
              <w:bottom w:val="single" w:sz="4" w:space="0" w:color="000000"/>
              <w:right w:val="single" w:sz="8" w:space="0" w:color="000000"/>
            </w:tcBorders>
          </w:tcPr>
          <w:p w14:paraId="3CA26D4B"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nil"/>
              <w:left w:val="single" w:sz="4" w:space="0" w:color="000000"/>
              <w:bottom w:val="single" w:sz="4" w:space="0" w:color="000000"/>
              <w:right w:val="single" w:sz="8" w:space="0" w:color="000000"/>
            </w:tcBorders>
          </w:tcPr>
          <w:p w14:paraId="3E47BA47"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60C1FC13"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5D90A8D7" w14:textId="77777777" w:rsidTr="00EE00DF">
        <w:trPr>
          <w:trHeight w:val="611"/>
        </w:trPr>
        <w:tc>
          <w:tcPr>
            <w:tcW w:w="303" w:type="pct"/>
            <w:tcBorders>
              <w:top w:val="single" w:sz="4" w:space="0" w:color="000000"/>
              <w:left w:val="single" w:sz="8" w:space="0" w:color="000000"/>
              <w:bottom w:val="single" w:sz="4" w:space="0" w:color="000000"/>
              <w:right w:val="single" w:sz="4" w:space="0" w:color="000000"/>
            </w:tcBorders>
            <w:shd w:val="clear" w:color="auto" w:fill="auto"/>
          </w:tcPr>
          <w:p w14:paraId="79D1779A"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11b</w:t>
            </w:r>
          </w:p>
        </w:tc>
        <w:tc>
          <w:tcPr>
            <w:tcW w:w="892" w:type="pct"/>
            <w:tcBorders>
              <w:top w:val="single" w:sz="4" w:space="0" w:color="000000"/>
              <w:left w:val="nil"/>
              <w:bottom w:val="single" w:sz="4" w:space="0" w:color="000000"/>
              <w:right w:val="single" w:sz="4" w:space="0" w:color="000000"/>
            </w:tcBorders>
            <w:shd w:val="clear" w:color="auto" w:fill="auto"/>
          </w:tcPr>
          <w:p w14:paraId="73E654D7" w14:textId="77777777" w:rsidR="00944AD5" w:rsidRPr="00EE00DF" w:rsidRDefault="00944AD5" w:rsidP="00944AD5">
            <w:pPr>
              <w:spacing w:after="0"/>
              <w:ind w:left="0" w:firstLine="0"/>
              <w:rPr>
                <w:rFonts w:asciiTheme="majorHAnsi" w:hAnsiTheme="majorHAnsi" w:cs="Arial"/>
                <w:bCs/>
                <w:sz w:val="18"/>
                <w:szCs w:val="18"/>
                <w:lang w:bidi="ar-SA"/>
              </w:rPr>
            </w:pPr>
            <w:r w:rsidRPr="00EE00DF">
              <w:rPr>
                <w:rFonts w:asciiTheme="majorHAnsi" w:hAnsiTheme="majorHAnsi" w:cs="Arial"/>
                <w:bCs/>
                <w:sz w:val="18"/>
                <w:szCs w:val="18"/>
                <w:lang w:bidi="ar-SA"/>
              </w:rPr>
              <w:t xml:space="preserve">Proposed </w:t>
            </w:r>
            <w:r w:rsidRPr="00EE00DF">
              <w:rPr>
                <w:rFonts w:asciiTheme="majorHAnsi" w:hAnsiTheme="majorHAnsi" w:cs="Arial"/>
                <w:b/>
                <w:bCs/>
                <w:sz w:val="18"/>
                <w:szCs w:val="18"/>
                <w:lang w:bidi="ar-SA"/>
              </w:rPr>
              <w:t>Offshore Wind</w:t>
            </w:r>
            <w:r w:rsidRPr="00EE00DF">
              <w:rPr>
                <w:rFonts w:asciiTheme="majorHAnsi" w:hAnsiTheme="majorHAnsi" w:cs="Arial"/>
                <w:bCs/>
                <w:sz w:val="18"/>
                <w:szCs w:val="18"/>
                <w:lang w:bidi="ar-SA"/>
              </w:rPr>
              <w:t xml:space="preserve"> Units</w:t>
            </w:r>
          </w:p>
        </w:tc>
        <w:tc>
          <w:tcPr>
            <w:tcW w:w="1391" w:type="pct"/>
            <w:tcBorders>
              <w:top w:val="single" w:sz="4" w:space="0" w:color="000000"/>
              <w:left w:val="nil"/>
              <w:bottom w:val="single" w:sz="4" w:space="0" w:color="000000"/>
              <w:right w:val="single" w:sz="8" w:space="0" w:color="000000"/>
            </w:tcBorders>
            <w:shd w:val="clear" w:color="auto" w:fill="auto"/>
          </w:tcPr>
          <w:p w14:paraId="6651ACB8"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N/A</w:t>
            </w:r>
          </w:p>
        </w:tc>
        <w:tc>
          <w:tcPr>
            <w:tcW w:w="1187" w:type="pct"/>
            <w:tcBorders>
              <w:top w:val="single" w:sz="4" w:space="0" w:color="000000"/>
              <w:left w:val="nil"/>
              <w:bottom w:val="single" w:sz="4" w:space="0" w:color="000000"/>
              <w:right w:val="single" w:sz="8" w:space="0" w:color="000000"/>
            </w:tcBorders>
          </w:tcPr>
          <w:p w14:paraId="665C0F58"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N/A</w:t>
            </w:r>
          </w:p>
        </w:tc>
        <w:tc>
          <w:tcPr>
            <w:tcW w:w="1228" w:type="pct"/>
            <w:tcBorders>
              <w:top w:val="single" w:sz="4" w:space="0" w:color="000000"/>
              <w:left w:val="nil"/>
              <w:bottom w:val="single" w:sz="4" w:space="0" w:color="000000"/>
              <w:right w:val="single" w:sz="8" w:space="0" w:color="000000"/>
            </w:tcBorders>
          </w:tcPr>
          <w:p w14:paraId="74C59083"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N/A</w:t>
            </w:r>
          </w:p>
          <w:p w14:paraId="5A45E0DB" w14:textId="77777777" w:rsidR="00944AD5" w:rsidRPr="00EE00DF" w:rsidRDefault="00944AD5" w:rsidP="00944AD5">
            <w:pPr>
              <w:spacing w:after="0"/>
              <w:ind w:left="0" w:firstLine="0"/>
              <w:rPr>
                <w:rFonts w:asciiTheme="majorHAnsi" w:hAnsiTheme="majorHAnsi" w:cs="Arial"/>
                <w:sz w:val="18"/>
                <w:szCs w:val="18"/>
                <w:lang w:bidi="ar-SA"/>
              </w:rPr>
            </w:pPr>
          </w:p>
          <w:p w14:paraId="45D027B8"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7DEC20EC" w14:textId="77777777" w:rsidTr="00EE00DF">
        <w:trPr>
          <w:trHeight w:val="611"/>
        </w:trPr>
        <w:tc>
          <w:tcPr>
            <w:tcW w:w="303" w:type="pct"/>
            <w:tcBorders>
              <w:top w:val="single" w:sz="4" w:space="0" w:color="000000"/>
              <w:left w:val="single" w:sz="8" w:space="0" w:color="000000"/>
              <w:bottom w:val="single" w:sz="4" w:space="0" w:color="000000"/>
              <w:right w:val="single" w:sz="4" w:space="0" w:color="000000"/>
            </w:tcBorders>
            <w:shd w:val="clear" w:color="auto" w:fill="auto"/>
            <w:hideMark/>
          </w:tcPr>
          <w:p w14:paraId="11AA28A2"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12a</w:t>
            </w:r>
          </w:p>
        </w:tc>
        <w:tc>
          <w:tcPr>
            <w:tcW w:w="892" w:type="pct"/>
            <w:tcBorders>
              <w:top w:val="single" w:sz="4" w:space="0" w:color="000000"/>
              <w:left w:val="nil"/>
              <w:bottom w:val="single" w:sz="4" w:space="0" w:color="000000"/>
              <w:right w:val="single" w:sz="4" w:space="0" w:color="000000"/>
            </w:tcBorders>
            <w:shd w:val="clear" w:color="auto" w:fill="auto"/>
            <w:hideMark/>
          </w:tcPr>
          <w:p w14:paraId="47E5913D" w14:textId="77777777" w:rsidR="00944AD5" w:rsidRPr="00EE00DF" w:rsidRDefault="00944AD5" w:rsidP="00944AD5">
            <w:pPr>
              <w:spacing w:after="0"/>
              <w:ind w:left="0" w:firstLine="0"/>
              <w:rPr>
                <w:rFonts w:asciiTheme="majorHAnsi" w:hAnsiTheme="majorHAnsi" w:cs="Arial"/>
                <w:bCs/>
                <w:sz w:val="18"/>
                <w:szCs w:val="18"/>
                <w:lang w:bidi="ar-SA"/>
              </w:rPr>
            </w:pPr>
            <w:r w:rsidRPr="00EE00DF">
              <w:rPr>
                <w:rFonts w:asciiTheme="majorHAnsi" w:hAnsiTheme="majorHAnsi" w:cs="Arial"/>
                <w:bCs/>
                <w:sz w:val="18"/>
                <w:szCs w:val="18"/>
                <w:lang w:bidi="ar-SA"/>
              </w:rPr>
              <w:t>Existing</w:t>
            </w:r>
          </w:p>
          <w:p w14:paraId="4D01A873" w14:textId="77777777" w:rsidR="00944AD5" w:rsidRPr="00EE00DF" w:rsidRDefault="00944AD5" w:rsidP="00944AD5">
            <w:pPr>
              <w:spacing w:after="0"/>
              <w:ind w:left="0" w:firstLine="0"/>
              <w:rPr>
                <w:rFonts w:asciiTheme="majorHAnsi" w:hAnsiTheme="majorHAnsi" w:cs="Arial"/>
                <w:b/>
                <w:bCs/>
                <w:sz w:val="18"/>
                <w:szCs w:val="18"/>
                <w:lang w:bidi="ar-SA"/>
              </w:rPr>
            </w:pPr>
            <w:r w:rsidRPr="00EE00DF">
              <w:rPr>
                <w:rFonts w:asciiTheme="majorHAnsi" w:hAnsiTheme="majorHAnsi" w:cs="Arial"/>
                <w:b/>
                <w:bCs/>
                <w:sz w:val="18"/>
                <w:szCs w:val="18"/>
                <w:lang w:bidi="ar-SA"/>
              </w:rPr>
              <w:t>Utility-scale Solar Resources</w:t>
            </w:r>
          </w:p>
        </w:tc>
        <w:tc>
          <w:tcPr>
            <w:tcW w:w="1391" w:type="pct"/>
            <w:tcBorders>
              <w:top w:val="single" w:sz="4" w:space="0" w:color="000000"/>
              <w:left w:val="nil"/>
              <w:bottom w:val="single" w:sz="4" w:space="0" w:color="000000"/>
              <w:right w:val="single" w:sz="8" w:space="0" w:color="000000"/>
            </w:tcBorders>
            <w:shd w:val="clear" w:color="auto" w:fill="auto"/>
            <w:hideMark/>
          </w:tcPr>
          <w:p w14:paraId="53A83511"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The 31.5 MW Upton metered solar capacity: probabilistic model chooses from 5 years of production data output shapes covering the period 2013-2017 (one shape per replication is randomly selected in Monte Carlo process.)</w:t>
            </w:r>
          </w:p>
        </w:tc>
        <w:tc>
          <w:tcPr>
            <w:tcW w:w="1187" w:type="pct"/>
            <w:tcBorders>
              <w:top w:val="single" w:sz="4" w:space="0" w:color="000000"/>
              <w:left w:val="nil"/>
              <w:bottom w:val="single" w:sz="4" w:space="0" w:color="000000"/>
              <w:right w:val="single" w:sz="8" w:space="0" w:color="000000"/>
            </w:tcBorders>
          </w:tcPr>
          <w:p w14:paraId="7708BF97"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single" w:sz="4" w:space="0" w:color="000000"/>
              <w:left w:val="nil"/>
              <w:bottom w:val="single" w:sz="4" w:space="0" w:color="000000"/>
              <w:right w:val="single" w:sz="8" w:space="0" w:color="000000"/>
            </w:tcBorders>
          </w:tcPr>
          <w:p w14:paraId="25AAEBB5"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29214F4E"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1C10EBC7" w14:textId="77777777" w:rsidTr="00EE00DF">
        <w:trPr>
          <w:trHeight w:val="980"/>
        </w:trPr>
        <w:tc>
          <w:tcPr>
            <w:tcW w:w="303" w:type="pct"/>
            <w:tcBorders>
              <w:top w:val="single" w:sz="4" w:space="0" w:color="000000"/>
              <w:left w:val="single" w:sz="8" w:space="0" w:color="000000"/>
              <w:bottom w:val="single" w:sz="4" w:space="0" w:color="000000"/>
              <w:right w:val="single" w:sz="4" w:space="0" w:color="000000"/>
            </w:tcBorders>
            <w:shd w:val="clear" w:color="auto" w:fill="auto"/>
          </w:tcPr>
          <w:p w14:paraId="66B809C6"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12b</w:t>
            </w:r>
          </w:p>
        </w:tc>
        <w:tc>
          <w:tcPr>
            <w:tcW w:w="892" w:type="pct"/>
            <w:tcBorders>
              <w:top w:val="single" w:sz="4" w:space="0" w:color="000000"/>
              <w:left w:val="nil"/>
              <w:bottom w:val="single" w:sz="4" w:space="0" w:color="000000"/>
              <w:right w:val="single" w:sz="4" w:space="0" w:color="000000"/>
            </w:tcBorders>
            <w:shd w:val="clear" w:color="auto" w:fill="auto"/>
          </w:tcPr>
          <w:p w14:paraId="3D5BDD80" w14:textId="77777777" w:rsidR="00944AD5" w:rsidRPr="00EE00DF" w:rsidRDefault="00944AD5" w:rsidP="00944AD5">
            <w:pPr>
              <w:spacing w:after="0"/>
              <w:ind w:left="0" w:firstLine="0"/>
              <w:rPr>
                <w:rFonts w:asciiTheme="majorHAnsi" w:hAnsiTheme="majorHAnsi" w:cs="Arial"/>
                <w:bCs/>
                <w:sz w:val="18"/>
                <w:szCs w:val="18"/>
                <w:lang w:bidi="ar-SA"/>
              </w:rPr>
            </w:pPr>
            <w:r w:rsidRPr="00EE00DF">
              <w:rPr>
                <w:rFonts w:asciiTheme="majorHAnsi" w:hAnsiTheme="majorHAnsi" w:cs="Arial"/>
                <w:bCs/>
                <w:sz w:val="18"/>
                <w:szCs w:val="18"/>
                <w:lang w:bidi="ar-SA"/>
              </w:rPr>
              <w:t>Proposed</w:t>
            </w:r>
          </w:p>
          <w:p w14:paraId="084D58E9" w14:textId="77777777" w:rsidR="00944AD5" w:rsidRPr="00EE00DF" w:rsidRDefault="00944AD5" w:rsidP="00944AD5">
            <w:pPr>
              <w:spacing w:after="0"/>
              <w:ind w:left="0" w:firstLine="0"/>
              <w:rPr>
                <w:rFonts w:asciiTheme="majorHAnsi" w:hAnsiTheme="majorHAnsi" w:cs="Arial"/>
                <w:b/>
                <w:bCs/>
                <w:sz w:val="18"/>
                <w:szCs w:val="18"/>
                <w:lang w:bidi="ar-SA"/>
              </w:rPr>
            </w:pPr>
            <w:r w:rsidRPr="00EE00DF">
              <w:rPr>
                <w:rFonts w:asciiTheme="majorHAnsi" w:hAnsiTheme="majorHAnsi" w:cs="Arial"/>
                <w:b/>
                <w:bCs/>
                <w:sz w:val="18"/>
                <w:szCs w:val="18"/>
                <w:lang w:bidi="ar-SA"/>
              </w:rPr>
              <w:t>Utility-scale Solar Resources</w:t>
            </w:r>
          </w:p>
        </w:tc>
        <w:tc>
          <w:tcPr>
            <w:tcW w:w="1391" w:type="pct"/>
            <w:tcBorders>
              <w:top w:val="single" w:sz="4" w:space="0" w:color="000000"/>
              <w:left w:val="nil"/>
              <w:bottom w:val="single" w:sz="4" w:space="0" w:color="000000"/>
              <w:right w:val="single" w:sz="8" w:space="0" w:color="000000"/>
            </w:tcBorders>
            <w:shd w:val="clear" w:color="auto" w:fill="auto"/>
          </w:tcPr>
          <w:p w14:paraId="1A589B38"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Inclusion Rules Applied to determine the generator status.</w:t>
            </w:r>
          </w:p>
          <w:p w14:paraId="54476C23" w14:textId="77777777" w:rsidR="00944AD5" w:rsidRPr="00EE00DF" w:rsidRDefault="00944AD5" w:rsidP="00944AD5">
            <w:pPr>
              <w:spacing w:after="0"/>
              <w:ind w:left="0" w:firstLine="0"/>
              <w:rPr>
                <w:rFonts w:asciiTheme="majorHAnsi" w:hAnsiTheme="majorHAnsi" w:cs="Arial"/>
                <w:sz w:val="18"/>
                <w:szCs w:val="18"/>
                <w:lang w:bidi="ar-SA"/>
              </w:rPr>
            </w:pPr>
          </w:p>
          <w:p w14:paraId="530C6EC7"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The nameplate normalized average of units in the same load zone is scaled by the unit’s nameplate rating.</w:t>
            </w:r>
          </w:p>
        </w:tc>
        <w:tc>
          <w:tcPr>
            <w:tcW w:w="1187" w:type="pct"/>
            <w:tcBorders>
              <w:top w:val="single" w:sz="4" w:space="0" w:color="000000"/>
              <w:left w:val="nil"/>
              <w:bottom w:val="single" w:sz="4" w:space="0" w:color="000000"/>
              <w:right w:val="single" w:sz="8" w:space="0" w:color="000000"/>
            </w:tcBorders>
          </w:tcPr>
          <w:p w14:paraId="1F02AFFF"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single" w:sz="4" w:space="0" w:color="000000"/>
              <w:left w:val="nil"/>
              <w:bottom w:val="single" w:sz="4" w:space="0" w:color="000000"/>
              <w:right w:val="single" w:sz="8" w:space="0" w:color="000000"/>
            </w:tcBorders>
          </w:tcPr>
          <w:p w14:paraId="45268C19"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72D97957"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7D7C6EC0" w14:textId="77777777" w:rsidTr="00EE00DF">
        <w:trPr>
          <w:trHeight w:val="4065"/>
        </w:trPr>
        <w:tc>
          <w:tcPr>
            <w:tcW w:w="303" w:type="pct"/>
            <w:tcBorders>
              <w:top w:val="single" w:sz="4" w:space="0" w:color="000000"/>
              <w:left w:val="single" w:sz="8" w:space="0" w:color="000000"/>
              <w:bottom w:val="single" w:sz="4" w:space="0" w:color="000000"/>
              <w:right w:val="single" w:sz="4" w:space="0" w:color="000000"/>
            </w:tcBorders>
            <w:shd w:val="clear" w:color="auto" w:fill="auto"/>
            <w:hideMark/>
          </w:tcPr>
          <w:p w14:paraId="5031FDCB"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lastRenderedPageBreak/>
              <w:t>13</w:t>
            </w:r>
          </w:p>
        </w:tc>
        <w:tc>
          <w:tcPr>
            <w:tcW w:w="892" w:type="pct"/>
            <w:tcBorders>
              <w:top w:val="single" w:sz="4" w:space="0" w:color="000000"/>
              <w:left w:val="nil"/>
              <w:bottom w:val="single" w:sz="4" w:space="0" w:color="000000"/>
              <w:right w:val="single" w:sz="4" w:space="0" w:color="000000"/>
            </w:tcBorders>
            <w:shd w:val="clear" w:color="auto" w:fill="auto"/>
            <w:hideMark/>
          </w:tcPr>
          <w:p w14:paraId="28E2400C" w14:textId="77777777" w:rsidR="00944AD5" w:rsidRPr="00EE00DF" w:rsidRDefault="00944AD5" w:rsidP="00944AD5">
            <w:pPr>
              <w:spacing w:after="0"/>
              <w:ind w:left="0" w:firstLine="0"/>
              <w:rPr>
                <w:rFonts w:asciiTheme="majorHAnsi" w:hAnsiTheme="majorHAnsi" w:cs="Arial"/>
                <w:bCs/>
                <w:sz w:val="18"/>
                <w:szCs w:val="18"/>
                <w:lang w:bidi="ar-SA"/>
              </w:rPr>
            </w:pPr>
            <w:r w:rsidRPr="00EE00DF">
              <w:rPr>
                <w:rFonts w:asciiTheme="majorHAnsi" w:hAnsiTheme="majorHAnsi" w:cs="Arial"/>
                <w:bCs/>
                <w:sz w:val="18"/>
                <w:szCs w:val="18"/>
                <w:lang w:bidi="ar-SA"/>
              </w:rPr>
              <w:t>Projected</w:t>
            </w:r>
          </w:p>
          <w:p w14:paraId="0ABFC409" w14:textId="77777777" w:rsidR="00944AD5" w:rsidRPr="00EE00DF" w:rsidRDefault="00944AD5" w:rsidP="00944AD5">
            <w:pPr>
              <w:spacing w:after="0"/>
              <w:ind w:left="0" w:firstLine="0"/>
              <w:rPr>
                <w:rFonts w:asciiTheme="majorHAnsi" w:hAnsiTheme="majorHAnsi" w:cs="Arial"/>
                <w:b/>
                <w:bCs/>
                <w:sz w:val="18"/>
                <w:szCs w:val="18"/>
                <w:lang w:bidi="ar-SA"/>
              </w:rPr>
            </w:pPr>
            <w:proofErr w:type="spellStart"/>
            <w:r w:rsidRPr="00EE00DF">
              <w:rPr>
                <w:rFonts w:asciiTheme="majorHAnsi" w:hAnsiTheme="majorHAnsi" w:cs="Arial"/>
                <w:b/>
                <w:bCs/>
                <w:sz w:val="18"/>
                <w:szCs w:val="18"/>
                <w:lang w:bidi="ar-SA"/>
              </w:rPr>
              <w:t>BtM</w:t>
            </w:r>
            <w:proofErr w:type="spellEnd"/>
            <w:r w:rsidRPr="00EE00DF">
              <w:rPr>
                <w:rFonts w:asciiTheme="majorHAnsi" w:hAnsiTheme="majorHAnsi" w:cs="Arial"/>
                <w:b/>
                <w:bCs/>
                <w:sz w:val="18"/>
                <w:szCs w:val="18"/>
                <w:lang w:bidi="ar-SA"/>
              </w:rPr>
              <w:t xml:space="preserve"> Solar Resources</w:t>
            </w:r>
          </w:p>
        </w:tc>
        <w:tc>
          <w:tcPr>
            <w:tcW w:w="1391" w:type="pct"/>
            <w:tcBorders>
              <w:top w:val="single" w:sz="4" w:space="0" w:color="000000"/>
              <w:left w:val="nil"/>
              <w:bottom w:val="single" w:sz="4" w:space="0" w:color="000000"/>
              <w:right w:val="single" w:sz="8" w:space="0" w:color="000000"/>
            </w:tcBorders>
            <w:shd w:val="clear" w:color="auto" w:fill="auto"/>
            <w:hideMark/>
          </w:tcPr>
          <w:p w14:paraId="79D03F2B"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The large projection of increasing retail (</w:t>
            </w:r>
            <w:proofErr w:type="spellStart"/>
            <w:r w:rsidRPr="00EE00DF">
              <w:rPr>
                <w:rFonts w:asciiTheme="majorHAnsi" w:hAnsiTheme="majorHAnsi" w:cs="Arial"/>
                <w:sz w:val="18"/>
                <w:szCs w:val="18"/>
                <w:lang w:bidi="ar-SA"/>
              </w:rPr>
              <w:t>BtM</w:t>
            </w:r>
            <w:proofErr w:type="spellEnd"/>
            <w:r w:rsidRPr="00EE00DF">
              <w:rPr>
                <w:rFonts w:asciiTheme="majorHAnsi" w:hAnsiTheme="majorHAnsi" w:cs="Arial"/>
                <w:sz w:val="18"/>
                <w:szCs w:val="18"/>
                <w:lang w:bidi="ar-SA"/>
              </w:rPr>
              <w:t xml:space="preserve">) solar installations over the 10- year period require a discrete model with detailed hourly performance. </w:t>
            </w:r>
          </w:p>
          <w:p w14:paraId="451453C6" w14:textId="77777777" w:rsidR="00944AD5" w:rsidRPr="00EE00DF" w:rsidRDefault="00944AD5" w:rsidP="00944AD5">
            <w:pPr>
              <w:spacing w:after="0"/>
              <w:ind w:left="0" w:firstLine="0"/>
              <w:rPr>
                <w:rFonts w:asciiTheme="majorHAnsi" w:hAnsiTheme="majorHAnsi" w:cs="Arial"/>
                <w:sz w:val="18"/>
                <w:szCs w:val="18"/>
                <w:lang w:bidi="ar-SA"/>
              </w:rPr>
            </w:pPr>
          </w:p>
          <w:p w14:paraId="37DEB636" w14:textId="77777777" w:rsidR="00944AD5" w:rsidRPr="00EE00DF" w:rsidRDefault="00944AD5" w:rsidP="00944AD5">
            <w:pPr>
              <w:spacing w:after="0"/>
              <w:ind w:left="0" w:firstLine="0"/>
              <w:rPr>
                <w:rFonts w:asciiTheme="majorHAnsi" w:hAnsiTheme="majorHAnsi" w:cs="Arial"/>
                <w:b/>
                <w:sz w:val="18"/>
                <w:szCs w:val="18"/>
                <w:lang w:bidi="ar-SA"/>
              </w:rPr>
            </w:pPr>
            <w:r w:rsidRPr="00EE00DF">
              <w:rPr>
                <w:rFonts w:asciiTheme="majorHAnsi" w:hAnsiTheme="majorHAnsi" w:cs="Arial"/>
                <w:b/>
                <w:sz w:val="18"/>
                <w:szCs w:val="18"/>
                <w:lang w:bidi="ar-SA"/>
              </w:rPr>
              <w:t>New method:</w:t>
            </w:r>
          </w:p>
          <w:p w14:paraId="760102F1" w14:textId="3434FFE9" w:rsidR="00944AD5" w:rsidRPr="00EE00DF" w:rsidRDefault="00954DC3"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An</w:t>
            </w:r>
            <w:r w:rsidR="00944AD5" w:rsidRPr="00EE00DF">
              <w:rPr>
                <w:rFonts w:asciiTheme="majorHAnsi" w:hAnsiTheme="majorHAnsi" w:cs="Arial"/>
                <w:sz w:val="18"/>
                <w:szCs w:val="18"/>
                <w:lang w:bidi="ar-SA"/>
              </w:rPr>
              <w:t xml:space="preserve"> 8,760 hourly shape was created by using NREL’s PV Watt</w:t>
            </w:r>
            <w:r w:rsidR="00944AD5" w:rsidRPr="00EE00DF">
              <w:rPr>
                <w:rFonts w:asciiTheme="majorHAnsi" w:hAnsiTheme="majorHAnsi" w:cs="Arial"/>
                <w:sz w:val="18"/>
                <w:szCs w:val="18"/>
                <w:vertAlign w:val="superscript"/>
                <w:lang w:bidi="ar-SA"/>
              </w:rPr>
              <w:footnoteReference w:id="31"/>
            </w:r>
            <w:r w:rsidR="00944AD5" w:rsidRPr="00EE00DF">
              <w:rPr>
                <w:rFonts w:asciiTheme="majorHAnsi" w:hAnsiTheme="majorHAnsi" w:cs="Arial"/>
                <w:sz w:val="18"/>
                <w:szCs w:val="18"/>
                <w:lang w:bidi="ar-SA"/>
              </w:rPr>
              <w:t xml:space="preserve"> tool. </w:t>
            </w:r>
          </w:p>
          <w:p w14:paraId="1FDAC2C7"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MARS will randomly select a daily shape from the current month for each day of each month of each replication.</w:t>
            </w:r>
          </w:p>
        </w:tc>
        <w:tc>
          <w:tcPr>
            <w:tcW w:w="1187" w:type="pct"/>
            <w:tcBorders>
              <w:top w:val="single" w:sz="4" w:space="0" w:color="000000"/>
              <w:left w:val="nil"/>
              <w:bottom w:val="single" w:sz="4" w:space="0" w:color="000000"/>
              <w:right w:val="single" w:sz="8" w:space="0" w:color="000000"/>
            </w:tcBorders>
          </w:tcPr>
          <w:p w14:paraId="266EFD13" w14:textId="77777777" w:rsidR="00944AD5" w:rsidRPr="00EE00DF" w:rsidRDefault="00944AD5" w:rsidP="00944AD5">
            <w:pPr>
              <w:spacing w:after="0"/>
              <w:ind w:left="0" w:firstLine="0"/>
              <w:rPr>
                <w:rFonts w:asciiTheme="majorHAnsi" w:hAnsiTheme="majorHAnsi" w:cs="Arial"/>
                <w:b/>
                <w:sz w:val="18"/>
                <w:szCs w:val="18"/>
                <w:lang w:bidi="ar-SA"/>
              </w:rPr>
            </w:pPr>
            <w:r w:rsidRPr="00EE00DF">
              <w:rPr>
                <w:rFonts w:asciiTheme="majorHAnsi" w:hAnsiTheme="majorHAnsi" w:cs="Arial"/>
                <w:b/>
                <w:sz w:val="18"/>
                <w:szCs w:val="18"/>
                <w:lang w:bidi="ar-SA"/>
              </w:rPr>
              <w:t>New Method:</w:t>
            </w:r>
          </w:p>
          <w:p w14:paraId="0AEF7EE6"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Will use 5-year of inverter production data.</w:t>
            </w:r>
          </w:p>
          <w:p w14:paraId="20E3EB7D" w14:textId="77777777" w:rsidR="00944AD5" w:rsidRPr="00EE00DF" w:rsidRDefault="00944AD5" w:rsidP="00944AD5">
            <w:pPr>
              <w:spacing w:after="0"/>
              <w:ind w:left="0" w:firstLine="0"/>
              <w:rPr>
                <w:rFonts w:asciiTheme="majorHAnsi" w:hAnsiTheme="majorHAnsi" w:cs="Arial"/>
                <w:sz w:val="18"/>
                <w:szCs w:val="18"/>
                <w:lang w:bidi="ar-SA"/>
              </w:rPr>
            </w:pPr>
          </w:p>
          <w:p w14:paraId="62CDDB25"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Probabilistic model is incorporated based on five years of input shapes with one shape per replication being randomly selected in Monte Carlo process</w:t>
            </w:r>
          </w:p>
          <w:p w14:paraId="0E5D1840" w14:textId="77777777" w:rsidR="00944AD5" w:rsidRPr="00EE00DF" w:rsidRDefault="00944AD5" w:rsidP="00944AD5">
            <w:pPr>
              <w:spacing w:after="0"/>
              <w:ind w:left="0" w:firstLine="0"/>
              <w:rPr>
                <w:rFonts w:asciiTheme="majorHAnsi" w:hAnsiTheme="majorHAnsi" w:cs="Arial"/>
                <w:sz w:val="18"/>
                <w:szCs w:val="18"/>
                <w:lang w:bidi="ar-SA"/>
              </w:rPr>
            </w:pPr>
          </w:p>
          <w:p w14:paraId="247801C1"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b/>
                <w:sz w:val="18"/>
                <w:szCs w:val="18"/>
                <w:lang w:bidi="ar-SA"/>
              </w:rPr>
              <w:t>Reference</w:t>
            </w:r>
            <w:r w:rsidRPr="00EE00DF">
              <w:rPr>
                <w:rFonts w:asciiTheme="majorHAnsi" w:hAnsiTheme="majorHAnsi" w:cs="Arial"/>
                <w:color w:val="365F91" w:themeColor="accent1" w:themeShade="BF"/>
                <w:sz w:val="18"/>
                <w:szCs w:val="18"/>
                <w:lang w:bidi="ar-SA"/>
              </w:rPr>
              <w:t xml:space="preserve">: </w:t>
            </w:r>
            <w:hyperlink r:id="rId96" w:history="1">
              <w:r w:rsidRPr="00EE00DF">
                <w:rPr>
                  <w:rFonts w:asciiTheme="majorHAnsi" w:hAnsiTheme="majorHAnsi" w:cs="Arial"/>
                  <w:color w:val="0563C1"/>
                  <w:sz w:val="18"/>
                  <w:szCs w:val="18"/>
                  <w:u w:val="single"/>
                  <w:lang w:bidi="ar-SA"/>
                </w:rPr>
                <w:t>April 6, 2020</w:t>
              </w:r>
            </w:hyperlink>
            <w:r w:rsidRPr="00EE00DF">
              <w:rPr>
                <w:rFonts w:asciiTheme="majorHAnsi" w:hAnsiTheme="majorHAnsi" w:cs="Arial"/>
                <w:color w:val="365F91" w:themeColor="accent1" w:themeShade="BF"/>
                <w:sz w:val="18"/>
                <w:szCs w:val="18"/>
                <w:lang w:bidi="ar-SA"/>
              </w:rPr>
              <w:t xml:space="preserve"> </w:t>
            </w:r>
            <w:r w:rsidRPr="00EE00DF">
              <w:rPr>
                <w:rFonts w:asciiTheme="majorHAnsi" w:hAnsiTheme="majorHAnsi" w:cs="Arial"/>
                <w:sz w:val="18"/>
                <w:szCs w:val="18"/>
                <w:lang w:bidi="ar-SA"/>
              </w:rPr>
              <w:t xml:space="preserve">TPAS/ESPWG meeting materials </w:t>
            </w:r>
          </w:p>
          <w:p w14:paraId="2AE80CED" w14:textId="77777777" w:rsidR="00944AD5" w:rsidRPr="00EE00DF" w:rsidRDefault="00944AD5" w:rsidP="00944AD5">
            <w:pPr>
              <w:spacing w:after="0"/>
              <w:ind w:left="0" w:firstLine="0"/>
              <w:rPr>
                <w:rFonts w:asciiTheme="majorHAnsi" w:hAnsiTheme="majorHAnsi" w:cs="Arial"/>
                <w:sz w:val="18"/>
                <w:szCs w:val="18"/>
                <w:lang w:bidi="ar-SA"/>
              </w:rPr>
            </w:pPr>
          </w:p>
        </w:tc>
        <w:tc>
          <w:tcPr>
            <w:tcW w:w="1228" w:type="pct"/>
            <w:tcBorders>
              <w:top w:val="single" w:sz="4" w:space="0" w:color="000000"/>
              <w:left w:val="nil"/>
              <w:bottom w:val="single" w:sz="4" w:space="0" w:color="000000"/>
              <w:right w:val="single" w:sz="8" w:space="0" w:color="000000"/>
            </w:tcBorders>
          </w:tcPr>
          <w:p w14:paraId="2344A256"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1B148699" w14:textId="77777777" w:rsidR="00944AD5" w:rsidRPr="00EE00DF" w:rsidRDefault="00944AD5" w:rsidP="00944AD5">
            <w:pPr>
              <w:spacing w:after="0"/>
              <w:ind w:left="0" w:firstLine="0"/>
              <w:rPr>
                <w:rFonts w:asciiTheme="majorHAnsi" w:hAnsiTheme="majorHAnsi" w:cs="Arial"/>
                <w:color w:val="365F91" w:themeColor="accent1" w:themeShade="BF"/>
                <w:sz w:val="18"/>
                <w:szCs w:val="18"/>
                <w:lang w:bidi="ar-SA"/>
              </w:rPr>
            </w:pPr>
          </w:p>
        </w:tc>
      </w:tr>
      <w:tr w:rsidR="00944AD5" w:rsidRPr="00EE00DF" w14:paraId="1A38E8D2" w14:textId="77777777" w:rsidTr="00EE00DF">
        <w:trPr>
          <w:trHeight w:val="1637"/>
        </w:trPr>
        <w:tc>
          <w:tcPr>
            <w:tcW w:w="303" w:type="pct"/>
            <w:tcBorders>
              <w:top w:val="single" w:sz="4" w:space="0" w:color="000000"/>
              <w:left w:val="single" w:sz="8" w:space="0" w:color="000000"/>
              <w:bottom w:val="single" w:sz="4" w:space="0" w:color="000000"/>
              <w:right w:val="single" w:sz="4" w:space="0" w:color="000000"/>
            </w:tcBorders>
            <w:shd w:val="clear" w:color="auto" w:fill="auto"/>
            <w:hideMark/>
          </w:tcPr>
          <w:p w14:paraId="29B1AD6B"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color w:val="FF0000"/>
                <w:sz w:val="18"/>
                <w:szCs w:val="18"/>
                <w:lang w:bidi="ar-SA"/>
              </w:rPr>
              <w:t> </w:t>
            </w:r>
            <w:r w:rsidRPr="00EE00DF">
              <w:rPr>
                <w:rFonts w:asciiTheme="majorHAnsi" w:hAnsiTheme="majorHAnsi" w:cs="Arial"/>
                <w:sz w:val="18"/>
                <w:szCs w:val="18"/>
                <w:lang w:bidi="ar-SA"/>
              </w:rPr>
              <w:t>14</w:t>
            </w:r>
          </w:p>
        </w:tc>
        <w:tc>
          <w:tcPr>
            <w:tcW w:w="892" w:type="pct"/>
            <w:tcBorders>
              <w:top w:val="single" w:sz="4" w:space="0" w:color="000000"/>
              <w:left w:val="nil"/>
              <w:bottom w:val="single" w:sz="4" w:space="0" w:color="000000"/>
              <w:right w:val="single" w:sz="4" w:space="0" w:color="000000"/>
            </w:tcBorders>
            <w:shd w:val="clear" w:color="auto" w:fill="auto"/>
            <w:hideMark/>
          </w:tcPr>
          <w:p w14:paraId="2056AA7B" w14:textId="77777777" w:rsidR="00944AD5" w:rsidRPr="00EE00DF" w:rsidRDefault="00944AD5" w:rsidP="00944AD5">
            <w:pPr>
              <w:spacing w:after="0"/>
              <w:ind w:left="0" w:firstLine="0"/>
              <w:rPr>
                <w:rFonts w:asciiTheme="majorHAnsi" w:hAnsiTheme="majorHAnsi" w:cs="Arial"/>
                <w:b/>
                <w:bCs/>
                <w:sz w:val="18"/>
                <w:szCs w:val="18"/>
                <w:lang w:bidi="ar-SA"/>
              </w:rPr>
            </w:pPr>
            <w:r w:rsidRPr="00EE00DF">
              <w:rPr>
                <w:rFonts w:asciiTheme="majorHAnsi" w:hAnsiTheme="majorHAnsi" w:cs="Arial"/>
                <w:bCs/>
                <w:sz w:val="18"/>
                <w:szCs w:val="18"/>
                <w:lang w:bidi="ar-SA"/>
              </w:rPr>
              <w:t>Existing</w:t>
            </w:r>
            <w:r w:rsidRPr="00EE00DF">
              <w:rPr>
                <w:rFonts w:asciiTheme="majorHAnsi" w:hAnsiTheme="majorHAnsi" w:cs="Arial"/>
                <w:b/>
                <w:bCs/>
                <w:sz w:val="18"/>
                <w:szCs w:val="18"/>
                <w:lang w:bidi="ar-SA"/>
              </w:rPr>
              <w:t xml:space="preserve"> BTM-NG Program</w:t>
            </w:r>
          </w:p>
        </w:tc>
        <w:tc>
          <w:tcPr>
            <w:tcW w:w="1391" w:type="pct"/>
            <w:tcBorders>
              <w:top w:val="single" w:sz="4" w:space="0" w:color="000000"/>
              <w:left w:val="nil"/>
              <w:bottom w:val="single" w:sz="4" w:space="0" w:color="000000"/>
              <w:right w:val="single" w:sz="8" w:space="0" w:color="000000"/>
            </w:tcBorders>
            <w:shd w:val="clear" w:color="auto" w:fill="auto"/>
            <w:hideMark/>
          </w:tcPr>
          <w:p w14:paraId="37D6E489" w14:textId="77777777" w:rsidR="00944AD5" w:rsidRPr="00EE00DF" w:rsidRDefault="00944AD5" w:rsidP="00944AD5">
            <w:pPr>
              <w:spacing w:after="0"/>
              <w:ind w:left="0" w:firstLine="0"/>
              <w:rPr>
                <w:rFonts w:asciiTheme="majorHAnsi" w:hAnsiTheme="majorHAnsi" w:cs="Arial"/>
                <w:b/>
                <w:sz w:val="18"/>
                <w:szCs w:val="18"/>
                <w:lang w:bidi="ar-SA"/>
              </w:rPr>
            </w:pPr>
            <w:r w:rsidRPr="00EE00DF">
              <w:rPr>
                <w:rFonts w:asciiTheme="majorHAnsi" w:hAnsiTheme="majorHAnsi" w:cs="Arial"/>
                <w:b/>
                <w:sz w:val="18"/>
                <w:szCs w:val="18"/>
                <w:lang w:bidi="ar-SA"/>
              </w:rPr>
              <w:t xml:space="preserve">New category: </w:t>
            </w:r>
          </w:p>
          <w:p w14:paraId="4A0A29EB"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These are former load modifiers to sell capacity into the ICAP market.</w:t>
            </w:r>
          </w:p>
          <w:p w14:paraId="02F70786"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Modeled as </w:t>
            </w:r>
            <w:proofErr w:type="spellStart"/>
            <w:r w:rsidRPr="00EE00DF">
              <w:rPr>
                <w:rFonts w:asciiTheme="majorHAnsi" w:hAnsiTheme="majorHAnsi" w:cs="Arial"/>
                <w:sz w:val="18"/>
                <w:szCs w:val="18"/>
                <w:lang w:bidi="ar-SA"/>
              </w:rPr>
              <w:t>cogen</w:t>
            </w:r>
            <w:proofErr w:type="spellEnd"/>
            <w:r w:rsidRPr="00EE00DF">
              <w:rPr>
                <w:rFonts w:asciiTheme="majorHAnsi" w:hAnsiTheme="majorHAnsi" w:cs="Arial"/>
                <w:sz w:val="18"/>
                <w:szCs w:val="18"/>
                <w:lang w:bidi="ar-SA"/>
              </w:rPr>
              <w:t xml:space="preserve"> type 2 unit in MARS. Unit capacity set to CRIS value, load modeled with weekly pattern that can change monthly.</w:t>
            </w:r>
          </w:p>
          <w:p w14:paraId="59E8496A" w14:textId="77777777" w:rsidR="00944AD5" w:rsidRPr="00EE00DF" w:rsidRDefault="00944AD5" w:rsidP="00944AD5">
            <w:pPr>
              <w:spacing w:after="0"/>
              <w:ind w:left="0" w:firstLine="0"/>
              <w:rPr>
                <w:rFonts w:asciiTheme="majorHAnsi" w:hAnsiTheme="majorHAnsi" w:cs="Arial"/>
                <w:sz w:val="18"/>
                <w:szCs w:val="18"/>
                <w:lang w:bidi="ar-SA"/>
              </w:rPr>
            </w:pPr>
          </w:p>
        </w:tc>
        <w:tc>
          <w:tcPr>
            <w:tcW w:w="1187" w:type="pct"/>
            <w:tcBorders>
              <w:top w:val="single" w:sz="4" w:space="0" w:color="000000"/>
              <w:left w:val="nil"/>
              <w:bottom w:val="single" w:sz="4" w:space="0" w:color="000000"/>
              <w:right w:val="single" w:sz="8" w:space="0" w:color="000000"/>
            </w:tcBorders>
          </w:tcPr>
          <w:p w14:paraId="3F554805"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single" w:sz="4" w:space="0" w:color="000000"/>
              <w:left w:val="nil"/>
              <w:bottom w:val="single" w:sz="4" w:space="0" w:color="000000"/>
              <w:right w:val="single" w:sz="8" w:space="0" w:color="000000"/>
            </w:tcBorders>
          </w:tcPr>
          <w:p w14:paraId="45B8B07F"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5957D951"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455D1B2E" w14:textId="77777777" w:rsidTr="00EE00DF">
        <w:trPr>
          <w:trHeight w:val="1736"/>
        </w:trPr>
        <w:tc>
          <w:tcPr>
            <w:tcW w:w="303" w:type="pct"/>
            <w:tcBorders>
              <w:top w:val="single" w:sz="4" w:space="0" w:color="000000"/>
              <w:left w:val="single" w:sz="8" w:space="0" w:color="000000"/>
              <w:bottom w:val="single" w:sz="4" w:space="0" w:color="000000"/>
              <w:right w:val="single" w:sz="4" w:space="0" w:color="000000"/>
            </w:tcBorders>
            <w:shd w:val="clear" w:color="auto" w:fill="auto"/>
            <w:hideMark/>
          </w:tcPr>
          <w:p w14:paraId="14488573"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15</w:t>
            </w:r>
          </w:p>
        </w:tc>
        <w:tc>
          <w:tcPr>
            <w:tcW w:w="892" w:type="pct"/>
            <w:tcBorders>
              <w:top w:val="single" w:sz="4" w:space="0" w:color="000000"/>
              <w:left w:val="nil"/>
              <w:bottom w:val="single" w:sz="4" w:space="0" w:color="000000"/>
              <w:right w:val="single" w:sz="4" w:space="0" w:color="000000"/>
            </w:tcBorders>
            <w:shd w:val="clear" w:color="auto" w:fill="auto"/>
            <w:hideMark/>
          </w:tcPr>
          <w:p w14:paraId="3D34595B"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Existing </w:t>
            </w:r>
            <w:r w:rsidRPr="00EE00DF">
              <w:rPr>
                <w:rFonts w:asciiTheme="majorHAnsi" w:hAnsiTheme="majorHAnsi" w:cs="Arial"/>
                <w:b/>
                <w:sz w:val="18"/>
                <w:szCs w:val="18"/>
                <w:lang w:bidi="ar-SA"/>
              </w:rPr>
              <w:t xml:space="preserve">Small Hydro </w:t>
            </w:r>
            <w:r w:rsidRPr="00EE00DF">
              <w:rPr>
                <w:rFonts w:asciiTheme="majorHAnsi" w:hAnsiTheme="majorHAnsi" w:cs="Arial"/>
                <w:sz w:val="18"/>
                <w:szCs w:val="18"/>
                <w:lang w:bidi="ar-SA"/>
              </w:rPr>
              <w:t>Resources</w:t>
            </w:r>
          </w:p>
        </w:tc>
        <w:tc>
          <w:tcPr>
            <w:tcW w:w="1391" w:type="pct"/>
            <w:tcBorders>
              <w:top w:val="single" w:sz="4" w:space="0" w:color="000000"/>
              <w:left w:val="nil"/>
              <w:bottom w:val="single" w:sz="4" w:space="0" w:color="000000"/>
              <w:right w:val="single" w:sz="8" w:space="0" w:color="000000"/>
            </w:tcBorders>
            <w:shd w:val="clear" w:color="auto" w:fill="auto"/>
            <w:hideMark/>
          </w:tcPr>
          <w:p w14:paraId="1C54C3F7"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b/>
                <w:bCs/>
                <w:sz w:val="18"/>
                <w:szCs w:val="18"/>
                <w:lang w:bidi="ar-SA"/>
              </w:rPr>
              <w:t>New method:</w:t>
            </w:r>
            <w:r w:rsidRPr="00EE00DF">
              <w:rPr>
                <w:rFonts w:asciiTheme="majorHAnsi" w:hAnsiTheme="majorHAnsi" w:cs="Arial"/>
                <w:sz w:val="18"/>
                <w:szCs w:val="18"/>
                <w:lang w:bidi="ar-SA"/>
              </w:rPr>
              <w:br/>
              <w:t>Actual hourly plant output over the period 2013-2017. Program randomly selects a hydro shape of hourly production over the 5-year window for each model replication. The randomly selected shape is multiplied by their current nameplate rating.</w:t>
            </w:r>
          </w:p>
          <w:p w14:paraId="7AEE8E47" w14:textId="77777777" w:rsidR="00944AD5" w:rsidRPr="00EE00DF" w:rsidRDefault="00944AD5" w:rsidP="00944AD5">
            <w:pPr>
              <w:spacing w:after="0"/>
              <w:ind w:left="0" w:firstLine="0"/>
              <w:rPr>
                <w:rFonts w:asciiTheme="majorHAnsi" w:hAnsiTheme="majorHAnsi" w:cs="Arial"/>
                <w:sz w:val="18"/>
                <w:szCs w:val="18"/>
                <w:lang w:bidi="ar-SA"/>
              </w:rPr>
            </w:pPr>
          </w:p>
          <w:p w14:paraId="2CD538CC" w14:textId="77777777" w:rsidR="00944AD5" w:rsidRPr="00EE00DF" w:rsidRDefault="00944AD5" w:rsidP="00944AD5">
            <w:pPr>
              <w:spacing w:after="0"/>
              <w:ind w:left="0" w:firstLine="0"/>
              <w:rPr>
                <w:rFonts w:asciiTheme="majorHAnsi" w:hAnsiTheme="majorHAnsi" w:cs="Arial"/>
                <w:sz w:val="18"/>
                <w:szCs w:val="18"/>
                <w:lang w:bidi="ar-SA"/>
              </w:rPr>
            </w:pPr>
          </w:p>
        </w:tc>
        <w:tc>
          <w:tcPr>
            <w:tcW w:w="1187" w:type="pct"/>
            <w:tcBorders>
              <w:top w:val="single" w:sz="4" w:space="0" w:color="000000"/>
              <w:left w:val="nil"/>
              <w:bottom w:val="single" w:sz="4" w:space="0" w:color="000000"/>
              <w:right w:val="single" w:sz="8" w:space="0" w:color="000000"/>
            </w:tcBorders>
          </w:tcPr>
          <w:p w14:paraId="0AF0BF75" w14:textId="77777777" w:rsidR="00944AD5" w:rsidRPr="00EE00DF" w:rsidRDefault="00944AD5" w:rsidP="00944AD5">
            <w:pPr>
              <w:spacing w:after="0"/>
              <w:ind w:left="0" w:firstLine="0"/>
              <w:rPr>
                <w:rFonts w:asciiTheme="majorHAnsi" w:hAnsiTheme="majorHAnsi" w:cs="Arial"/>
                <w:bCs/>
                <w:sz w:val="18"/>
                <w:szCs w:val="18"/>
                <w:lang w:bidi="ar-SA"/>
              </w:rPr>
            </w:pPr>
            <w:r w:rsidRPr="00EE00DF">
              <w:rPr>
                <w:rFonts w:asciiTheme="majorHAnsi" w:hAnsiTheme="majorHAnsi" w:cs="Arial"/>
                <w:bCs/>
                <w:sz w:val="18"/>
                <w:szCs w:val="18"/>
                <w:lang w:bidi="ar-SA"/>
              </w:rPr>
              <w:t>Similar method</w:t>
            </w:r>
          </w:p>
        </w:tc>
        <w:tc>
          <w:tcPr>
            <w:tcW w:w="1228" w:type="pct"/>
            <w:tcBorders>
              <w:top w:val="single" w:sz="4" w:space="0" w:color="000000"/>
              <w:left w:val="nil"/>
              <w:bottom w:val="single" w:sz="4" w:space="0" w:color="000000"/>
              <w:right w:val="single" w:sz="8" w:space="0" w:color="000000"/>
            </w:tcBorders>
          </w:tcPr>
          <w:p w14:paraId="50ED9AB5"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4654FC3A" w14:textId="77777777" w:rsidR="00944AD5" w:rsidRPr="00EE00DF" w:rsidRDefault="00944AD5" w:rsidP="00944AD5">
            <w:pPr>
              <w:spacing w:after="0"/>
              <w:ind w:left="0" w:firstLine="0"/>
              <w:rPr>
                <w:rFonts w:asciiTheme="majorHAnsi" w:hAnsiTheme="majorHAnsi" w:cs="Arial"/>
                <w:bCs/>
                <w:sz w:val="18"/>
                <w:szCs w:val="18"/>
                <w:lang w:bidi="ar-SA"/>
              </w:rPr>
            </w:pPr>
          </w:p>
        </w:tc>
      </w:tr>
      <w:tr w:rsidR="00944AD5" w:rsidRPr="00EE00DF" w14:paraId="339AEF70" w14:textId="77777777" w:rsidTr="00EE00DF">
        <w:trPr>
          <w:trHeight w:val="2528"/>
        </w:trPr>
        <w:tc>
          <w:tcPr>
            <w:tcW w:w="303" w:type="pct"/>
            <w:tcBorders>
              <w:top w:val="nil"/>
              <w:left w:val="single" w:sz="8" w:space="0" w:color="000000"/>
              <w:bottom w:val="single" w:sz="4" w:space="0" w:color="000000"/>
              <w:right w:val="single" w:sz="4" w:space="0" w:color="000000"/>
            </w:tcBorders>
            <w:shd w:val="clear" w:color="auto" w:fill="auto"/>
            <w:hideMark/>
          </w:tcPr>
          <w:p w14:paraId="1FE892F2"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16</w:t>
            </w:r>
          </w:p>
        </w:tc>
        <w:tc>
          <w:tcPr>
            <w:tcW w:w="892" w:type="pct"/>
            <w:tcBorders>
              <w:top w:val="nil"/>
              <w:left w:val="nil"/>
              <w:bottom w:val="single" w:sz="4" w:space="0" w:color="000000"/>
              <w:right w:val="single" w:sz="4" w:space="0" w:color="000000"/>
            </w:tcBorders>
            <w:shd w:val="clear" w:color="auto" w:fill="auto"/>
            <w:hideMark/>
          </w:tcPr>
          <w:p w14:paraId="385A2295"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Existing</w:t>
            </w:r>
            <w:r w:rsidRPr="00EE00DF">
              <w:rPr>
                <w:rFonts w:asciiTheme="majorHAnsi" w:hAnsiTheme="majorHAnsi" w:cs="Arial"/>
                <w:b/>
                <w:sz w:val="18"/>
                <w:szCs w:val="18"/>
                <w:lang w:bidi="ar-SA"/>
              </w:rPr>
              <w:t xml:space="preserve"> Large Hydro</w:t>
            </w:r>
          </w:p>
        </w:tc>
        <w:tc>
          <w:tcPr>
            <w:tcW w:w="1391" w:type="pct"/>
            <w:tcBorders>
              <w:top w:val="nil"/>
              <w:left w:val="nil"/>
              <w:bottom w:val="single" w:sz="4" w:space="0" w:color="000000"/>
              <w:right w:val="single" w:sz="8" w:space="0" w:color="000000"/>
            </w:tcBorders>
            <w:shd w:val="clear" w:color="auto" w:fill="auto"/>
            <w:hideMark/>
          </w:tcPr>
          <w:p w14:paraId="74ED91B5"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Probabilistic Model based on 5 years of GADS data.</w:t>
            </w:r>
            <w:r w:rsidRPr="00EE00DF">
              <w:rPr>
                <w:rFonts w:asciiTheme="majorHAnsi" w:hAnsiTheme="majorHAnsi" w:cs="Arial"/>
                <w:sz w:val="18"/>
                <w:szCs w:val="18"/>
                <w:lang w:bidi="ar-SA"/>
              </w:rPr>
              <w:br/>
            </w:r>
            <w:r w:rsidRPr="00EE00DF">
              <w:rPr>
                <w:rFonts w:asciiTheme="majorHAnsi" w:hAnsiTheme="majorHAnsi" w:cs="Arial"/>
                <w:sz w:val="18"/>
                <w:szCs w:val="18"/>
                <w:lang w:bidi="ar-SA"/>
              </w:rPr>
              <w:br/>
              <w:t>Transition Rates representing the Equivalent Forced Outage Rates (</w:t>
            </w:r>
            <w:proofErr w:type="spellStart"/>
            <w:r w:rsidRPr="00EE00DF">
              <w:rPr>
                <w:rFonts w:asciiTheme="majorHAnsi" w:hAnsiTheme="majorHAnsi" w:cs="Arial"/>
                <w:sz w:val="18"/>
                <w:szCs w:val="18"/>
                <w:lang w:bidi="ar-SA"/>
              </w:rPr>
              <w:t>EFORd</w:t>
            </w:r>
            <w:proofErr w:type="spellEnd"/>
            <w:r w:rsidRPr="00EE00DF">
              <w:rPr>
                <w:rFonts w:asciiTheme="majorHAnsi" w:hAnsiTheme="majorHAnsi" w:cs="Arial"/>
                <w:sz w:val="18"/>
                <w:szCs w:val="18"/>
                <w:lang w:bidi="ar-SA"/>
              </w:rPr>
              <w:t>) during demand periods over the most recent five-year period (2013-2017). Methodology consistent with thermal unit transition rates.</w:t>
            </w:r>
          </w:p>
        </w:tc>
        <w:tc>
          <w:tcPr>
            <w:tcW w:w="1187" w:type="pct"/>
            <w:tcBorders>
              <w:top w:val="nil"/>
              <w:left w:val="nil"/>
              <w:bottom w:val="single" w:sz="4" w:space="0" w:color="000000"/>
              <w:right w:val="single" w:sz="8" w:space="0" w:color="000000"/>
            </w:tcBorders>
          </w:tcPr>
          <w:p w14:paraId="58FBB5F4"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p w14:paraId="4B802C61" w14:textId="77777777" w:rsidR="00944AD5" w:rsidRPr="00EE00DF" w:rsidRDefault="00944AD5" w:rsidP="00944AD5">
            <w:pPr>
              <w:spacing w:after="0"/>
              <w:ind w:left="0" w:firstLine="0"/>
              <w:rPr>
                <w:rFonts w:asciiTheme="majorHAnsi" w:hAnsiTheme="majorHAnsi" w:cs="Arial"/>
                <w:sz w:val="18"/>
                <w:szCs w:val="18"/>
                <w:lang w:bidi="ar-SA"/>
              </w:rPr>
            </w:pPr>
          </w:p>
        </w:tc>
        <w:tc>
          <w:tcPr>
            <w:tcW w:w="1228" w:type="pct"/>
            <w:tcBorders>
              <w:top w:val="nil"/>
              <w:left w:val="nil"/>
              <w:bottom w:val="single" w:sz="4" w:space="0" w:color="000000"/>
              <w:right w:val="single" w:sz="8" w:space="0" w:color="000000"/>
            </w:tcBorders>
          </w:tcPr>
          <w:p w14:paraId="0F335DCF"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40A27623"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315B2D71" w14:textId="77777777" w:rsidTr="00EE00DF">
        <w:trPr>
          <w:trHeight w:val="1007"/>
        </w:trPr>
        <w:tc>
          <w:tcPr>
            <w:tcW w:w="303" w:type="pct"/>
            <w:tcBorders>
              <w:top w:val="nil"/>
              <w:left w:val="single" w:sz="8" w:space="0" w:color="000000"/>
              <w:bottom w:val="single" w:sz="4" w:space="0" w:color="000000"/>
              <w:right w:val="single" w:sz="4" w:space="0" w:color="000000"/>
            </w:tcBorders>
            <w:shd w:val="clear" w:color="auto" w:fill="auto"/>
          </w:tcPr>
          <w:p w14:paraId="59E0638B"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lastRenderedPageBreak/>
              <w:t>17</w:t>
            </w:r>
          </w:p>
        </w:tc>
        <w:tc>
          <w:tcPr>
            <w:tcW w:w="892" w:type="pct"/>
            <w:tcBorders>
              <w:top w:val="nil"/>
              <w:left w:val="nil"/>
              <w:bottom w:val="single" w:sz="4" w:space="0" w:color="000000"/>
              <w:right w:val="single" w:sz="4" w:space="0" w:color="000000"/>
            </w:tcBorders>
            <w:shd w:val="clear" w:color="auto" w:fill="auto"/>
          </w:tcPr>
          <w:p w14:paraId="1057ACC2"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Proposed </w:t>
            </w:r>
            <w:r w:rsidRPr="00EE00DF">
              <w:rPr>
                <w:rFonts w:asciiTheme="majorHAnsi" w:hAnsiTheme="majorHAnsi" w:cs="Arial"/>
                <w:b/>
                <w:sz w:val="18"/>
                <w:szCs w:val="18"/>
                <w:lang w:bidi="ar-SA"/>
              </w:rPr>
              <w:t>Energy Storage</w:t>
            </w:r>
          </w:p>
        </w:tc>
        <w:tc>
          <w:tcPr>
            <w:tcW w:w="1391" w:type="pct"/>
            <w:tcBorders>
              <w:top w:val="nil"/>
              <w:left w:val="nil"/>
              <w:bottom w:val="single" w:sz="4" w:space="0" w:color="000000"/>
              <w:right w:val="single" w:sz="8" w:space="0" w:color="000000"/>
            </w:tcBorders>
            <w:shd w:val="clear" w:color="auto" w:fill="auto"/>
          </w:tcPr>
          <w:p w14:paraId="0E8B391D"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N/A</w:t>
            </w:r>
          </w:p>
        </w:tc>
        <w:tc>
          <w:tcPr>
            <w:tcW w:w="1187" w:type="pct"/>
            <w:tcBorders>
              <w:top w:val="nil"/>
              <w:left w:val="nil"/>
              <w:bottom w:val="single" w:sz="4" w:space="0" w:color="000000"/>
              <w:right w:val="single" w:sz="8" w:space="0" w:color="000000"/>
            </w:tcBorders>
          </w:tcPr>
          <w:p w14:paraId="0E1ACE94"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N/A</w:t>
            </w:r>
          </w:p>
        </w:tc>
        <w:tc>
          <w:tcPr>
            <w:tcW w:w="1228" w:type="pct"/>
            <w:tcBorders>
              <w:top w:val="nil"/>
              <w:left w:val="nil"/>
              <w:bottom w:val="single" w:sz="4" w:space="0" w:color="000000"/>
              <w:right w:val="single" w:sz="8" w:space="0" w:color="000000"/>
            </w:tcBorders>
          </w:tcPr>
          <w:p w14:paraId="3573AA5B"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N/A</w:t>
            </w:r>
          </w:p>
        </w:tc>
      </w:tr>
      <w:tr w:rsidR="00944AD5" w:rsidRPr="00EE00DF" w14:paraId="797D2D7E" w14:textId="77777777" w:rsidTr="00EE00DF">
        <w:trPr>
          <w:trHeight w:val="413"/>
        </w:trPr>
        <w:tc>
          <w:tcPr>
            <w:tcW w:w="2585" w:type="pct"/>
            <w:gridSpan w:val="3"/>
            <w:tcBorders>
              <w:top w:val="single" w:sz="4" w:space="0" w:color="auto"/>
              <w:left w:val="single" w:sz="4" w:space="0" w:color="auto"/>
              <w:bottom w:val="single" w:sz="4" w:space="0" w:color="auto"/>
            </w:tcBorders>
            <w:shd w:val="clear" w:color="auto" w:fill="F2F2F2" w:themeFill="background1" w:themeFillShade="F2"/>
          </w:tcPr>
          <w:p w14:paraId="11EB0D5D"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b/>
                <w:bCs/>
                <w:sz w:val="18"/>
                <w:szCs w:val="18"/>
                <w:lang w:bidi="ar-SA"/>
              </w:rPr>
              <w:t>Transaction - Imports / Exports</w:t>
            </w:r>
          </w:p>
        </w:tc>
        <w:tc>
          <w:tcPr>
            <w:tcW w:w="1187" w:type="pct"/>
            <w:tcBorders>
              <w:top w:val="single" w:sz="4" w:space="0" w:color="auto"/>
              <w:bottom w:val="single" w:sz="4" w:space="0" w:color="auto"/>
              <w:right w:val="single" w:sz="4" w:space="0" w:color="auto"/>
            </w:tcBorders>
            <w:shd w:val="clear" w:color="auto" w:fill="F2F2F2" w:themeFill="background1" w:themeFillShade="F2"/>
          </w:tcPr>
          <w:p w14:paraId="016C5CF0" w14:textId="77777777" w:rsidR="00944AD5" w:rsidRPr="00EE00DF" w:rsidRDefault="00944AD5" w:rsidP="00944AD5">
            <w:pPr>
              <w:spacing w:after="0"/>
              <w:ind w:left="0" w:firstLine="0"/>
              <w:rPr>
                <w:rFonts w:asciiTheme="majorHAnsi" w:hAnsiTheme="majorHAnsi" w:cs="Arial"/>
                <w:sz w:val="18"/>
                <w:szCs w:val="18"/>
                <w:lang w:bidi="ar-SA"/>
              </w:rPr>
            </w:pPr>
          </w:p>
        </w:tc>
        <w:tc>
          <w:tcPr>
            <w:tcW w:w="1228" w:type="pct"/>
            <w:tcBorders>
              <w:top w:val="single" w:sz="4" w:space="0" w:color="auto"/>
              <w:bottom w:val="single" w:sz="4" w:space="0" w:color="auto"/>
              <w:right w:val="single" w:sz="4" w:space="0" w:color="auto"/>
            </w:tcBorders>
            <w:shd w:val="clear" w:color="auto" w:fill="F2F2F2" w:themeFill="background1" w:themeFillShade="F2"/>
          </w:tcPr>
          <w:p w14:paraId="353626D9"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55C42C4D" w14:textId="77777777" w:rsidTr="00EE00DF">
        <w:trPr>
          <w:trHeight w:val="1376"/>
        </w:trPr>
        <w:tc>
          <w:tcPr>
            <w:tcW w:w="303" w:type="pct"/>
            <w:tcBorders>
              <w:top w:val="single" w:sz="4" w:space="0" w:color="auto"/>
              <w:left w:val="single" w:sz="8" w:space="0" w:color="000000"/>
              <w:bottom w:val="single" w:sz="4" w:space="0" w:color="000000"/>
              <w:right w:val="single" w:sz="4" w:space="0" w:color="000000"/>
            </w:tcBorders>
            <w:shd w:val="clear" w:color="auto" w:fill="auto"/>
            <w:hideMark/>
          </w:tcPr>
          <w:p w14:paraId="52473E3C"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1</w:t>
            </w:r>
          </w:p>
        </w:tc>
        <w:tc>
          <w:tcPr>
            <w:tcW w:w="892" w:type="pct"/>
            <w:tcBorders>
              <w:top w:val="single" w:sz="4" w:space="0" w:color="auto"/>
              <w:left w:val="nil"/>
              <w:bottom w:val="single" w:sz="4" w:space="0" w:color="000000"/>
              <w:right w:val="single" w:sz="4" w:space="0" w:color="000000"/>
            </w:tcBorders>
            <w:shd w:val="clear" w:color="auto" w:fill="auto"/>
            <w:hideMark/>
          </w:tcPr>
          <w:p w14:paraId="122B64FB"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Capacity Purchases</w:t>
            </w:r>
          </w:p>
        </w:tc>
        <w:tc>
          <w:tcPr>
            <w:tcW w:w="1391" w:type="pct"/>
            <w:tcBorders>
              <w:top w:val="single" w:sz="4" w:space="0" w:color="auto"/>
              <w:left w:val="nil"/>
              <w:bottom w:val="single" w:sz="4" w:space="0" w:color="000000"/>
              <w:right w:val="single" w:sz="8" w:space="0" w:color="000000"/>
            </w:tcBorders>
            <w:shd w:val="clear" w:color="auto" w:fill="auto"/>
            <w:hideMark/>
          </w:tcPr>
          <w:p w14:paraId="25CDBB37"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Grandfathered Rights and other awarded long-term rights</w:t>
            </w:r>
          </w:p>
          <w:p w14:paraId="6093F223"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br/>
              <w:t>Modeled using MARS explicit contracts feature.</w:t>
            </w:r>
          </w:p>
        </w:tc>
        <w:tc>
          <w:tcPr>
            <w:tcW w:w="1187" w:type="pct"/>
            <w:tcBorders>
              <w:top w:val="single" w:sz="4" w:space="0" w:color="auto"/>
              <w:left w:val="single" w:sz="4" w:space="0" w:color="000000"/>
              <w:bottom w:val="single" w:sz="4" w:space="0" w:color="000000"/>
              <w:right w:val="single" w:sz="8" w:space="0" w:color="000000"/>
            </w:tcBorders>
          </w:tcPr>
          <w:p w14:paraId="26BD1BA8"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single" w:sz="4" w:space="0" w:color="auto"/>
              <w:left w:val="single" w:sz="4" w:space="0" w:color="000000"/>
              <w:bottom w:val="single" w:sz="4" w:space="0" w:color="000000"/>
              <w:right w:val="single" w:sz="8" w:space="0" w:color="000000"/>
            </w:tcBorders>
          </w:tcPr>
          <w:p w14:paraId="3FDAC7EF"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4734F5BD" w14:textId="77777777" w:rsidR="00944AD5" w:rsidRPr="00EE00DF" w:rsidRDefault="00944AD5" w:rsidP="00944AD5">
            <w:pPr>
              <w:autoSpaceDE w:val="0"/>
              <w:autoSpaceDN w:val="0"/>
              <w:spacing w:after="240"/>
              <w:ind w:left="0" w:firstLine="0"/>
              <w:rPr>
                <w:rFonts w:asciiTheme="majorHAnsi" w:hAnsiTheme="majorHAnsi" w:cs="Arial"/>
                <w:sz w:val="18"/>
                <w:szCs w:val="18"/>
                <w:lang w:bidi="ar-SA"/>
              </w:rPr>
            </w:pPr>
          </w:p>
        </w:tc>
      </w:tr>
      <w:tr w:rsidR="00944AD5" w:rsidRPr="00EE00DF" w14:paraId="30810529" w14:textId="77777777" w:rsidTr="00EE00DF">
        <w:trPr>
          <w:trHeight w:val="2015"/>
        </w:trPr>
        <w:tc>
          <w:tcPr>
            <w:tcW w:w="303" w:type="pct"/>
            <w:tcBorders>
              <w:top w:val="nil"/>
              <w:left w:val="single" w:sz="8" w:space="0" w:color="000000"/>
              <w:bottom w:val="single" w:sz="4" w:space="0" w:color="000000"/>
              <w:right w:val="single" w:sz="4" w:space="0" w:color="000000"/>
            </w:tcBorders>
            <w:shd w:val="clear" w:color="auto" w:fill="auto"/>
            <w:hideMark/>
          </w:tcPr>
          <w:p w14:paraId="61E45B3D"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2</w:t>
            </w:r>
          </w:p>
        </w:tc>
        <w:tc>
          <w:tcPr>
            <w:tcW w:w="892" w:type="pct"/>
            <w:tcBorders>
              <w:top w:val="nil"/>
              <w:left w:val="nil"/>
              <w:bottom w:val="single" w:sz="4" w:space="0" w:color="000000"/>
              <w:right w:val="single" w:sz="4" w:space="0" w:color="000000"/>
            </w:tcBorders>
            <w:shd w:val="clear" w:color="auto" w:fill="auto"/>
            <w:hideMark/>
          </w:tcPr>
          <w:p w14:paraId="108D2820"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Capacity Sales</w:t>
            </w:r>
          </w:p>
        </w:tc>
        <w:tc>
          <w:tcPr>
            <w:tcW w:w="1391" w:type="pct"/>
            <w:tcBorders>
              <w:top w:val="nil"/>
              <w:left w:val="nil"/>
              <w:bottom w:val="single" w:sz="4" w:space="0" w:color="000000"/>
              <w:right w:val="single" w:sz="8" w:space="0" w:color="000000"/>
            </w:tcBorders>
            <w:shd w:val="clear" w:color="auto" w:fill="auto"/>
            <w:hideMark/>
          </w:tcPr>
          <w:p w14:paraId="12491BDC"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These are long-term contracts filed with FERC.</w:t>
            </w:r>
            <w:r w:rsidRPr="00EE00DF">
              <w:rPr>
                <w:rFonts w:asciiTheme="majorHAnsi" w:hAnsiTheme="majorHAnsi" w:cs="Arial"/>
                <w:sz w:val="18"/>
                <w:szCs w:val="18"/>
                <w:lang w:bidi="ar-SA"/>
              </w:rPr>
              <w:br/>
            </w:r>
            <w:r w:rsidRPr="00EE00DF">
              <w:rPr>
                <w:rFonts w:asciiTheme="majorHAnsi" w:hAnsiTheme="majorHAnsi" w:cs="Arial"/>
                <w:sz w:val="18"/>
                <w:szCs w:val="18"/>
                <w:lang w:bidi="ar-SA"/>
              </w:rPr>
              <w:br/>
              <w:t>Modeled using MARS explicit contracts feature.</w:t>
            </w:r>
          </w:p>
          <w:p w14:paraId="19BE7E4C" w14:textId="77777777" w:rsidR="00944AD5" w:rsidRPr="00EE00DF" w:rsidRDefault="00944AD5" w:rsidP="00944AD5">
            <w:pPr>
              <w:spacing w:after="0"/>
              <w:ind w:left="0" w:firstLine="0"/>
              <w:rPr>
                <w:rFonts w:asciiTheme="majorHAnsi" w:hAnsiTheme="majorHAnsi" w:cs="Arial"/>
                <w:color w:val="FF0000"/>
                <w:sz w:val="18"/>
                <w:szCs w:val="18"/>
                <w:lang w:bidi="ar-SA"/>
              </w:rPr>
            </w:pPr>
            <w:r w:rsidRPr="00EE00DF">
              <w:rPr>
                <w:rFonts w:asciiTheme="majorHAnsi" w:hAnsiTheme="majorHAnsi" w:cs="Arial"/>
                <w:bCs/>
                <w:sz w:val="18"/>
                <w:szCs w:val="18"/>
                <w:lang w:bidi="ar-SA"/>
              </w:rPr>
              <w:t>Contracts sold from ROS</w:t>
            </w:r>
            <w:r w:rsidRPr="00EE00DF">
              <w:rPr>
                <w:rFonts w:asciiTheme="majorHAnsi" w:hAnsiTheme="majorHAnsi" w:cs="Arial"/>
                <w:sz w:val="18"/>
                <w:szCs w:val="18"/>
                <w:lang w:bidi="ar-SA"/>
              </w:rPr>
              <w:t xml:space="preserve"> (Zones: A-F). </w:t>
            </w:r>
            <w:r w:rsidRPr="00EE00DF">
              <w:rPr>
                <w:rFonts w:asciiTheme="majorHAnsi" w:hAnsiTheme="majorHAnsi" w:cs="Arial"/>
                <w:bCs/>
                <w:sz w:val="18"/>
                <w:szCs w:val="18"/>
                <w:lang w:bidi="ar-SA"/>
              </w:rPr>
              <w:t>ROS ties to external</w:t>
            </w:r>
            <w:r w:rsidRPr="00EE00DF">
              <w:rPr>
                <w:rFonts w:asciiTheme="majorHAnsi" w:hAnsiTheme="majorHAnsi" w:cs="Arial"/>
                <w:sz w:val="18"/>
                <w:szCs w:val="18"/>
                <w:lang w:bidi="ar-SA"/>
              </w:rPr>
              <w:t xml:space="preserve"> pool are </w:t>
            </w:r>
            <w:r w:rsidRPr="00EE00DF">
              <w:rPr>
                <w:rFonts w:asciiTheme="majorHAnsi" w:hAnsiTheme="majorHAnsi" w:cs="Arial"/>
                <w:bCs/>
                <w:sz w:val="18"/>
                <w:szCs w:val="18"/>
                <w:lang w:bidi="ar-SA"/>
              </w:rPr>
              <w:t>derated</w:t>
            </w:r>
            <w:r w:rsidRPr="00EE00DF">
              <w:rPr>
                <w:rFonts w:asciiTheme="majorHAnsi" w:hAnsiTheme="majorHAnsi" w:cs="Arial"/>
                <w:sz w:val="18"/>
                <w:szCs w:val="18"/>
                <w:lang w:bidi="ar-SA"/>
              </w:rPr>
              <w:t xml:space="preserve"> by sales MW amount</w:t>
            </w:r>
          </w:p>
        </w:tc>
        <w:tc>
          <w:tcPr>
            <w:tcW w:w="1187" w:type="pct"/>
            <w:tcBorders>
              <w:top w:val="nil"/>
              <w:left w:val="nil"/>
              <w:bottom w:val="single" w:sz="4" w:space="0" w:color="000000"/>
              <w:right w:val="single" w:sz="8" w:space="0" w:color="000000"/>
            </w:tcBorders>
          </w:tcPr>
          <w:p w14:paraId="3BFFE601"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nil"/>
              <w:left w:val="nil"/>
              <w:bottom w:val="single" w:sz="4" w:space="0" w:color="000000"/>
              <w:right w:val="single" w:sz="8" w:space="0" w:color="000000"/>
            </w:tcBorders>
          </w:tcPr>
          <w:p w14:paraId="63277746"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7C179A22"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1E6D02F4" w14:textId="77777777" w:rsidTr="00EE00DF">
        <w:trPr>
          <w:trHeight w:val="1799"/>
        </w:trPr>
        <w:tc>
          <w:tcPr>
            <w:tcW w:w="303" w:type="pct"/>
            <w:tcBorders>
              <w:top w:val="single" w:sz="4" w:space="0" w:color="000000"/>
              <w:left w:val="single" w:sz="8" w:space="0" w:color="000000"/>
              <w:bottom w:val="single" w:sz="4" w:space="0" w:color="000000"/>
              <w:right w:val="single" w:sz="4" w:space="0" w:color="000000"/>
            </w:tcBorders>
            <w:shd w:val="clear" w:color="auto" w:fill="auto"/>
            <w:hideMark/>
          </w:tcPr>
          <w:p w14:paraId="60AFC4A4"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3</w:t>
            </w:r>
          </w:p>
        </w:tc>
        <w:tc>
          <w:tcPr>
            <w:tcW w:w="892" w:type="pct"/>
            <w:tcBorders>
              <w:top w:val="single" w:sz="4" w:space="0" w:color="000000"/>
              <w:left w:val="nil"/>
              <w:bottom w:val="single" w:sz="4" w:space="0" w:color="000000"/>
              <w:right w:val="single" w:sz="4" w:space="0" w:color="000000"/>
            </w:tcBorders>
            <w:shd w:val="clear" w:color="auto" w:fill="auto"/>
            <w:hideMark/>
          </w:tcPr>
          <w:p w14:paraId="5217C41C"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FCM Sales</w:t>
            </w:r>
          </w:p>
        </w:tc>
        <w:tc>
          <w:tcPr>
            <w:tcW w:w="1391" w:type="pct"/>
            <w:tcBorders>
              <w:top w:val="single" w:sz="4" w:space="0" w:color="000000"/>
              <w:left w:val="nil"/>
              <w:bottom w:val="single" w:sz="4" w:space="0" w:color="000000"/>
              <w:right w:val="single" w:sz="8" w:space="0" w:color="000000"/>
            </w:tcBorders>
            <w:shd w:val="clear" w:color="auto" w:fill="auto"/>
            <w:hideMark/>
          </w:tcPr>
          <w:p w14:paraId="74CB3BAA"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Model sales for known years</w:t>
            </w:r>
            <w:r w:rsidRPr="00EE00DF">
              <w:rPr>
                <w:rFonts w:asciiTheme="majorHAnsi" w:hAnsiTheme="majorHAnsi" w:cs="Arial"/>
                <w:sz w:val="18"/>
                <w:szCs w:val="18"/>
                <w:lang w:bidi="ar-SA"/>
              </w:rPr>
              <w:br/>
            </w:r>
            <w:r w:rsidRPr="00EE00DF">
              <w:rPr>
                <w:rFonts w:asciiTheme="majorHAnsi" w:hAnsiTheme="majorHAnsi" w:cs="Arial"/>
                <w:sz w:val="18"/>
                <w:szCs w:val="18"/>
                <w:lang w:bidi="ar-SA"/>
              </w:rPr>
              <w:br/>
              <w:t>Modeled using MARS explicit contracts feature.</w:t>
            </w:r>
          </w:p>
          <w:p w14:paraId="33BCCC43"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bCs/>
                <w:sz w:val="18"/>
                <w:szCs w:val="18"/>
                <w:lang w:bidi="ar-SA"/>
              </w:rPr>
              <w:t>Contracts sold from ROS</w:t>
            </w:r>
            <w:r w:rsidRPr="00EE00DF">
              <w:rPr>
                <w:rFonts w:asciiTheme="majorHAnsi" w:hAnsiTheme="majorHAnsi" w:cs="Arial"/>
                <w:sz w:val="18"/>
                <w:szCs w:val="18"/>
                <w:lang w:bidi="ar-SA"/>
              </w:rPr>
              <w:t xml:space="preserve"> (Zones: A-F). </w:t>
            </w:r>
            <w:r w:rsidRPr="00EE00DF">
              <w:rPr>
                <w:rFonts w:asciiTheme="majorHAnsi" w:hAnsiTheme="majorHAnsi" w:cs="Arial"/>
                <w:bCs/>
                <w:sz w:val="18"/>
                <w:szCs w:val="18"/>
                <w:lang w:bidi="ar-SA"/>
              </w:rPr>
              <w:t>ROS ties to external</w:t>
            </w:r>
            <w:r w:rsidRPr="00EE00DF">
              <w:rPr>
                <w:rFonts w:asciiTheme="majorHAnsi" w:hAnsiTheme="majorHAnsi" w:cs="Arial"/>
                <w:sz w:val="18"/>
                <w:szCs w:val="18"/>
                <w:lang w:bidi="ar-SA"/>
              </w:rPr>
              <w:t xml:space="preserve"> pool are </w:t>
            </w:r>
            <w:r w:rsidRPr="00EE00DF">
              <w:rPr>
                <w:rFonts w:asciiTheme="majorHAnsi" w:hAnsiTheme="majorHAnsi" w:cs="Arial"/>
                <w:bCs/>
                <w:sz w:val="18"/>
                <w:szCs w:val="18"/>
                <w:lang w:bidi="ar-SA"/>
              </w:rPr>
              <w:t>derated</w:t>
            </w:r>
            <w:r w:rsidRPr="00EE00DF">
              <w:rPr>
                <w:rFonts w:asciiTheme="majorHAnsi" w:hAnsiTheme="majorHAnsi" w:cs="Arial"/>
                <w:sz w:val="18"/>
                <w:szCs w:val="18"/>
                <w:lang w:bidi="ar-SA"/>
              </w:rPr>
              <w:t xml:space="preserve"> by sales MW amount</w:t>
            </w:r>
          </w:p>
        </w:tc>
        <w:tc>
          <w:tcPr>
            <w:tcW w:w="1187" w:type="pct"/>
            <w:tcBorders>
              <w:top w:val="single" w:sz="4" w:space="0" w:color="000000"/>
              <w:left w:val="nil"/>
              <w:bottom w:val="single" w:sz="4" w:space="0" w:color="000000"/>
              <w:right w:val="single" w:sz="8" w:space="0" w:color="000000"/>
            </w:tcBorders>
          </w:tcPr>
          <w:p w14:paraId="6CF50892"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single" w:sz="4" w:space="0" w:color="000000"/>
              <w:left w:val="nil"/>
              <w:bottom w:val="single" w:sz="4" w:space="0" w:color="000000"/>
              <w:right w:val="single" w:sz="8" w:space="0" w:color="000000"/>
            </w:tcBorders>
          </w:tcPr>
          <w:p w14:paraId="0F56A7E7"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0A73FAE6"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7A87907C" w14:textId="77777777" w:rsidTr="00EE00DF">
        <w:trPr>
          <w:trHeight w:val="1050"/>
        </w:trPr>
        <w:tc>
          <w:tcPr>
            <w:tcW w:w="303" w:type="pct"/>
            <w:tcBorders>
              <w:top w:val="nil"/>
              <w:left w:val="single" w:sz="8" w:space="0" w:color="000000"/>
              <w:bottom w:val="single" w:sz="4" w:space="0" w:color="000000"/>
              <w:right w:val="single" w:sz="4" w:space="0" w:color="000000"/>
            </w:tcBorders>
            <w:shd w:val="clear" w:color="auto" w:fill="auto"/>
            <w:hideMark/>
          </w:tcPr>
          <w:p w14:paraId="5717035C"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4</w:t>
            </w:r>
          </w:p>
        </w:tc>
        <w:tc>
          <w:tcPr>
            <w:tcW w:w="892" w:type="pct"/>
            <w:tcBorders>
              <w:top w:val="nil"/>
              <w:left w:val="nil"/>
              <w:bottom w:val="single" w:sz="4" w:space="0" w:color="000000"/>
              <w:right w:val="single" w:sz="4" w:space="0" w:color="000000"/>
            </w:tcBorders>
            <w:shd w:val="clear" w:color="auto" w:fill="auto"/>
            <w:hideMark/>
          </w:tcPr>
          <w:p w14:paraId="28E8CD85"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UDRs</w:t>
            </w:r>
          </w:p>
        </w:tc>
        <w:tc>
          <w:tcPr>
            <w:tcW w:w="1391" w:type="pct"/>
            <w:tcBorders>
              <w:top w:val="nil"/>
              <w:left w:val="nil"/>
              <w:bottom w:val="single" w:sz="4" w:space="0" w:color="000000"/>
              <w:right w:val="single" w:sz="8" w:space="0" w:color="000000"/>
            </w:tcBorders>
            <w:shd w:val="clear" w:color="auto" w:fill="auto"/>
            <w:hideMark/>
          </w:tcPr>
          <w:p w14:paraId="06212CC7"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Updated with most recent elections/awards information (VFT, HTP, Neptune, CSC) </w:t>
            </w:r>
          </w:p>
          <w:p w14:paraId="41BF9061" w14:textId="77777777" w:rsidR="00944AD5" w:rsidRPr="00EE00DF" w:rsidRDefault="00944AD5" w:rsidP="00944AD5">
            <w:pPr>
              <w:spacing w:after="0"/>
              <w:ind w:left="0" w:firstLine="0"/>
              <w:rPr>
                <w:rFonts w:asciiTheme="majorHAnsi" w:hAnsiTheme="majorHAnsi" w:cs="Arial"/>
                <w:sz w:val="18"/>
                <w:szCs w:val="18"/>
                <w:lang w:bidi="ar-SA"/>
              </w:rPr>
            </w:pPr>
          </w:p>
        </w:tc>
        <w:tc>
          <w:tcPr>
            <w:tcW w:w="1187" w:type="pct"/>
            <w:tcBorders>
              <w:top w:val="nil"/>
              <w:left w:val="single" w:sz="4" w:space="0" w:color="000000"/>
              <w:bottom w:val="single" w:sz="4" w:space="0" w:color="000000"/>
              <w:right w:val="single" w:sz="8" w:space="0" w:color="000000"/>
            </w:tcBorders>
          </w:tcPr>
          <w:p w14:paraId="6D12BB04"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nil"/>
              <w:left w:val="single" w:sz="4" w:space="0" w:color="000000"/>
              <w:bottom w:val="single" w:sz="4" w:space="0" w:color="000000"/>
              <w:right w:val="single" w:sz="8" w:space="0" w:color="000000"/>
            </w:tcBorders>
          </w:tcPr>
          <w:p w14:paraId="029D8A3C"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70CCC3FC"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04E3C5FE" w14:textId="77777777" w:rsidTr="00EE00DF">
        <w:trPr>
          <w:trHeight w:val="1565"/>
        </w:trPr>
        <w:tc>
          <w:tcPr>
            <w:tcW w:w="303" w:type="pct"/>
            <w:tcBorders>
              <w:top w:val="nil"/>
              <w:left w:val="single" w:sz="8" w:space="0" w:color="000000"/>
              <w:bottom w:val="single" w:sz="4" w:space="0" w:color="auto"/>
              <w:right w:val="single" w:sz="4" w:space="0" w:color="000000"/>
            </w:tcBorders>
            <w:shd w:val="clear" w:color="auto" w:fill="auto"/>
          </w:tcPr>
          <w:p w14:paraId="3DBED238"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5</w:t>
            </w:r>
          </w:p>
        </w:tc>
        <w:tc>
          <w:tcPr>
            <w:tcW w:w="892" w:type="pct"/>
            <w:tcBorders>
              <w:top w:val="nil"/>
              <w:left w:val="nil"/>
              <w:bottom w:val="single" w:sz="4" w:space="0" w:color="auto"/>
              <w:right w:val="single" w:sz="4" w:space="0" w:color="000000"/>
            </w:tcBorders>
            <w:shd w:val="clear" w:color="auto" w:fill="auto"/>
          </w:tcPr>
          <w:p w14:paraId="5C937AD8"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EDRs</w:t>
            </w:r>
          </w:p>
        </w:tc>
        <w:tc>
          <w:tcPr>
            <w:tcW w:w="1391" w:type="pct"/>
            <w:tcBorders>
              <w:top w:val="nil"/>
              <w:left w:val="nil"/>
              <w:bottom w:val="single" w:sz="4" w:space="0" w:color="auto"/>
              <w:right w:val="single" w:sz="8" w:space="0" w:color="000000"/>
            </w:tcBorders>
            <w:shd w:val="clear" w:color="auto" w:fill="auto"/>
          </w:tcPr>
          <w:p w14:paraId="20DC9BC5"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N/A</w:t>
            </w:r>
          </w:p>
        </w:tc>
        <w:tc>
          <w:tcPr>
            <w:tcW w:w="1187" w:type="pct"/>
            <w:tcBorders>
              <w:top w:val="nil"/>
              <w:left w:val="single" w:sz="4" w:space="0" w:color="000000"/>
              <w:bottom w:val="single" w:sz="4" w:space="0" w:color="auto"/>
              <w:right w:val="single" w:sz="8" w:space="0" w:color="000000"/>
            </w:tcBorders>
          </w:tcPr>
          <w:p w14:paraId="4A508C3D" w14:textId="77777777" w:rsidR="00944AD5" w:rsidRPr="00EE00DF" w:rsidRDefault="00944AD5" w:rsidP="00944AD5">
            <w:pPr>
              <w:spacing w:after="0"/>
              <w:ind w:left="0" w:firstLine="0"/>
              <w:rPr>
                <w:rFonts w:asciiTheme="majorHAnsi" w:hAnsiTheme="majorHAnsi" w:cs="Arial"/>
                <w:b/>
                <w:sz w:val="18"/>
                <w:szCs w:val="18"/>
                <w:lang w:bidi="ar-SA"/>
              </w:rPr>
            </w:pPr>
            <w:r w:rsidRPr="00EE00DF">
              <w:rPr>
                <w:rFonts w:asciiTheme="majorHAnsi" w:hAnsiTheme="majorHAnsi" w:cs="Arial"/>
                <w:b/>
                <w:sz w:val="18"/>
                <w:szCs w:val="18"/>
                <w:lang w:bidi="ar-SA"/>
              </w:rPr>
              <w:t>New category:</w:t>
            </w:r>
          </w:p>
          <w:p w14:paraId="0F20D86E"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Cedars Uprate 80 MW. Increased the HQ to D by 80 MW.</w:t>
            </w:r>
          </w:p>
          <w:p w14:paraId="7A1BA662" w14:textId="77777777" w:rsidR="00944AD5" w:rsidRPr="00EE00DF" w:rsidRDefault="00944AD5" w:rsidP="00944AD5">
            <w:pPr>
              <w:spacing w:after="0"/>
              <w:ind w:left="0" w:firstLine="0"/>
              <w:rPr>
                <w:rFonts w:asciiTheme="majorHAnsi" w:hAnsiTheme="majorHAnsi" w:cs="Arial"/>
                <w:sz w:val="18"/>
                <w:szCs w:val="18"/>
                <w:lang w:bidi="ar-SA"/>
              </w:rPr>
            </w:pPr>
          </w:p>
          <w:p w14:paraId="11CB072C"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Note: </w:t>
            </w:r>
            <w:proofErr w:type="gramStart"/>
            <w:r w:rsidRPr="00EE00DF">
              <w:rPr>
                <w:rFonts w:asciiTheme="majorHAnsi" w:hAnsiTheme="majorHAnsi" w:cs="Arial"/>
                <w:sz w:val="18"/>
                <w:szCs w:val="18"/>
                <w:lang w:bidi="ar-SA"/>
              </w:rPr>
              <w:t>the</w:t>
            </w:r>
            <w:proofErr w:type="gramEnd"/>
            <w:r w:rsidRPr="00EE00DF">
              <w:rPr>
                <w:rFonts w:asciiTheme="majorHAnsi" w:hAnsiTheme="majorHAnsi" w:cs="Arial"/>
                <w:sz w:val="18"/>
                <w:szCs w:val="18"/>
                <w:lang w:bidi="ar-SA"/>
              </w:rPr>
              <w:t xml:space="preserve"> Cedar bubble has been removed and its corresponding MW was reflected in HQ to D limit.</w:t>
            </w:r>
          </w:p>
          <w:p w14:paraId="34DEE958" w14:textId="77777777" w:rsidR="00944AD5" w:rsidRPr="00EE00DF" w:rsidRDefault="00944AD5" w:rsidP="00944AD5">
            <w:pPr>
              <w:spacing w:after="0"/>
              <w:ind w:left="0" w:firstLine="0"/>
              <w:rPr>
                <w:rFonts w:asciiTheme="majorHAnsi" w:hAnsiTheme="majorHAnsi" w:cs="Arial"/>
                <w:sz w:val="18"/>
                <w:szCs w:val="18"/>
                <w:lang w:bidi="ar-SA"/>
              </w:rPr>
            </w:pPr>
          </w:p>
          <w:p w14:paraId="66AA9DF2"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References: </w:t>
            </w:r>
          </w:p>
          <w:p w14:paraId="3A7A49F8" w14:textId="77777777" w:rsidR="00944AD5" w:rsidRPr="00EE00DF" w:rsidRDefault="0008271B" w:rsidP="00944AD5">
            <w:pPr>
              <w:numPr>
                <w:ilvl w:val="0"/>
                <w:numId w:val="46"/>
              </w:numPr>
              <w:spacing w:after="0" w:line="276" w:lineRule="auto"/>
              <w:rPr>
                <w:rFonts w:asciiTheme="majorHAnsi" w:hAnsiTheme="majorHAnsi" w:cs="Arial"/>
                <w:color w:val="365F91" w:themeColor="accent1" w:themeShade="BF"/>
                <w:sz w:val="18"/>
                <w:szCs w:val="18"/>
                <w:lang w:bidi="ar-SA"/>
              </w:rPr>
            </w:pPr>
            <w:hyperlink r:id="rId97" w:history="1">
              <w:r w:rsidR="00944AD5" w:rsidRPr="00EE00DF">
                <w:rPr>
                  <w:rFonts w:asciiTheme="majorHAnsi" w:hAnsiTheme="majorHAnsi" w:cs="Arial"/>
                  <w:color w:val="0563C1"/>
                  <w:sz w:val="18"/>
                  <w:szCs w:val="18"/>
                  <w:u w:val="single"/>
                  <w:lang w:bidi="ar-SA"/>
                </w:rPr>
                <w:t>March 16, 2020</w:t>
              </w:r>
            </w:hyperlink>
            <w:r w:rsidR="00944AD5" w:rsidRPr="00EE00DF">
              <w:rPr>
                <w:rFonts w:asciiTheme="majorHAnsi" w:hAnsiTheme="majorHAnsi" w:cs="Arial"/>
                <w:color w:val="365F91" w:themeColor="accent1" w:themeShade="BF"/>
                <w:sz w:val="18"/>
                <w:szCs w:val="18"/>
                <w:lang w:bidi="ar-SA"/>
              </w:rPr>
              <w:t xml:space="preserve"> </w:t>
            </w:r>
            <w:r w:rsidR="00944AD5" w:rsidRPr="00EE00DF">
              <w:rPr>
                <w:rFonts w:asciiTheme="majorHAnsi" w:hAnsiTheme="majorHAnsi" w:cs="Arial"/>
                <w:sz w:val="18"/>
                <w:szCs w:val="18"/>
                <w:lang w:bidi="ar-SA"/>
              </w:rPr>
              <w:t>ESPWG/TPAS</w:t>
            </w:r>
          </w:p>
          <w:p w14:paraId="00748F02" w14:textId="77777777" w:rsidR="00944AD5" w:rsidRPr="00EE00DF" w:rsidRDefault="0008271B" w:rsidP="00944AD5">
            <w:pPr>
              <w:numPr>
                <w:ilvl w:val="0"/>
                <w:numId w:val="46"/>
              </w:numPr>
              <w:spacing w:after="0" w:line="276" w:lineRule="auto"/>
              <w:rPr>
                <w:rFonts w:asciiTheme="majorHAnsi" w:hAnsiTheme="majorHAnsi" w:cs="Arial"/>
                <w:color w:val="365F91" w:themeColor="accent1" w:themeShade="BF"/>
                <w:sz w:val="18"/>
                <w:szCs w:val="18"/>
                <w:lang w:bidi="ar-SA"/>
              </w:rPr>
            </w:pPr>
            <w:hyperlink r:id="rId98" w:history="1">
              <w:r w:rsidR="00944AD5" w:rsidRPr="00EE00DF">
                <w:rPr>
                  <w:rFonts w:asciiTheme="majorHAnsi" w:hAnsiTheme="majorHAnsi" w:cs="Arial"/>
                  <w:color w:val="0563C1"/>
                  <w:sz w:val="18"/>
                  <w:szCs w:val="18"/>
                  <w:u w:val="single"/>
                  <w:lang w:bidi="ar-SA"/>
                </w:rPr>
                <w:t>April 6, 2020</w:t>
              </w:r>
            </w:hyperlink>
            <w:r w:rsidR="00944AD5" w:rsidRPr="00EE00DF">
              <w:rPr>
                <w:rFonts w:asciiTheme="majorHAnsi" w:hAnsiTheme="majorHAnsi" w:cs="Arial"/>
                <w:color w:val="365F91" w:themeColor="accent1" w:themeShade="BF"/>
                <w:sz w:val="18"/>
                <w:szCs w:val="18"/>
                <w:lang w:bidi="ar-SA"/>
              </w:rPr>
              <w:t xml:space="preserve"> </w:t>
            </w:r>
            <w:r w:rsidR="00944AD5" w:rsidRPr="00EE00DF">
              <w:rPr>
                <w:rFonts w:asciiTheme="majorHAnsi" w:hAnsiTheme="majorHAnsi" w:cs="Arial"/>
                <w:sz w:val="18"/>
                <w:szCs w:val="18"/>
                <w:lang w:bidi="ar-SA"/>
              </w:rPr>
              <w:t>TPAS/ESPWG</w:t>
            </w:r>
          </w:p>
          <w:p w14:paraId="129EE006" w14:textId="77777777" w:rsidR="00944AD5" w:rsidRPr="00EE00DF" w:rsidRDefault="00944AD5" w:rsidP="00944AD5">
            <w:pPr>
              <w:spacing w:after="0"/>
              <w:ind w:left="720" w:firstLine="0"/>
              <w:rPr>
                <w:rFonts w:asciiTheme="majorHAnsi" w:hAnsiTheme="majorHAnsi" w:cs="Arial"/>
                <w:color w:val="365F91" w:themeColor="accent1" w:themeShade="BF"/>
                <w:sz w:val="18"/>
                <w:szCs w:val="18"/>
                <w:lang w:bidi="ar-SA"/>
              </w:rPr>
            </w:pPr>
          </w:p>
          <w:p w14:paraId="740504AB" w14:textId="77777777" w:rsidR="00944AD5" w:rsidRPr="00EE00DF" w:rsidRDefault="00944AD5" w:rsidP="00944AD5">
            <w:pPr>
              <w:spacing w:after="0"/>
              <w:ind w:left="0" w:firstLine="0"/>
              <w:rPr>
                <w:rFonts w:asciiTheme="majorHAnsi" w:hAnsiTheme="majorHAnsi" w:cs="Arial"/>
                <w:color w:val="0070C0"/>
                <w:sz w:val="18"/>
                <w:szCs w:val="18"/>
                <w:lang w:bidi="ar-SA"/>
              </w:rPr>
            </w:pPr>
          </w:p>
          <w:p w14:paraId="7F910C31" w14:textId="77777777" w:rsidR="00944AD5" w:rsidRPr="00EE00DF" w:rsidRDefault="00944AD5" w:rsidP="00944AD5">
            <w:pPr>
              <w:spacing w:after="0"/>
              <w:ind w:left="0" w:firstLine="0"/>
              <w:rPr>
                <w:rFonts w:asciiTheme="majorHAnsi" w:hAnsiTheme="majorHAnsi" w:cs="Arial"/>
                <w:b/>
                <w:sz w:val="18"/>
                <w:szCs w:val="18"/>
                <w:lang w:bidi="ar-SA"/>
              </w:rPr>
            </w:pPr>
          </w:p>
        </w:tc>
        <w:tc>
          <w:tcPr>
            <w:tcW w:w="1228" w:type="pct"/>
            <w:tcBorders>
              <w:top w:val="nil"/>
              <w:left w:val="single" w:sz="4" w:space="0" w:color="000000"/>
              <w:bottom w:val="single" w:sz="4" w:space="0" w:color="auto"/>
              <w:right w:val="single" w:sz="8" w:space="0" w:color="000000"/>
            </w:tcBorders>
          </w:tcPr>
          <w:p w14:paraId="7A8DA3F7"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26D837CA" w14:textId="77777777" w:rsidR="00944AD5" w:rsidRPr="00EE00DF" w:rsidRDefault="00944AD5" w:rsidP="00944AD5">
            <w:pPr>
              <w:spacing w:after="0"/>
              <w:ind w:left="0" w:firstLine="0"/>
              <w:rPr>
                <w:rFonts w:asciiTheme="majorHAnsi" w:hAnsiTheme="majorHAnsi" w:cs="Arial"/>
                <w:sz w:val="18"/>
                <w:szCs w:val="18"/>
                <w:lang w:bidi="ar-SA"/>
              </w:rPr>
            </w:pPr>
          </w:p>
          <w:p w14:paraId="4FE0FA01" w14:textId="77777777" w:rsidR="00944AD5" w:rsidRPr="00EE00DF" w:rsidRDefault="00944AD5" w:rsidP="00944AD5">
            <w:pPr>
              <w:spacing w:after="0"/>
              <w:ind w:left="0" w:firstLine="0"/>
              <w:rPr>
                <w:rFonts w:asciiTheme="majorHAnsi" w:hAnsiTheme="majorHAnsi" w:cs="Arial"/>
                <w:b/>
                <w:color w:val="365F91" w:themeColor="accent1" w:themeShade="BF"/>
                <w:sz w:val="18"/>
                <w:szCs w:val="18"/>
                <w:lang w:bidi="ar-SA"/>
              </w:rPr>
            </w:pPr>
          </w:p>
        </w:tc>
      </w:tr>
      <w:tr w:rsidR="00944AD5" w:rsidRPr="00EE00DF" w14:paraId="0B06C392" w14:textId="77777777" w:rsidTr="00EE00DF">
        <w:trPr>
          <w:trHeight w:val="1565"/>
        </w:trPr>
        <w:tc>
          <w:tcPr>
            <w:tcW w:w="303" w:type="pct"/>
            <w:tcBorders>
              <w:top w:val="nil"/>
              <w:left w:val="single" w:sz="8" w:space="0" w:color="000000"/>
              <w:bottom w:val="single" w:sz="4" w:space="0" w:color="auto"/>
              <w:right w:val="single" w:sz="4" w:space="0" w:color="000000"/>
            </w:tcBorders>
            <w:shd w:val="clear" w:color="auto" w:fill="auto"/>
          </w:tcPr>
          <w:p w14:paraId="312F5BA5"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lastRenderedPageBreak/>
              <w:t>6</w:t>
            </w:r>
          </w:p>
        </w:tc>
        <w:tc>
          <w:tcPr>
            <w:tcW w:w="892" w:type="pct"/>
            <w:tcBorders>
              <w:top w:val="nil"/>
              <w:left w:val="nil"/>
              <w:bottom w:val="single" w:sz="4" w:space="0" w:color="auto"/>
              <w:right w:val="single" w:sz="4" w:space="0" w:color="000000"/>
            </w:tcBorders>
            <w:shd w:val="clear" w:color="auto" w:fill="auto"/>
          </w:tcPr>
          <w:p w14:paraId="00DB8F87"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Wheel-Through Contract</w:t>
            </w:r>
          </w:p>
        </w:tc>
        <w:tc>
          <w:tcPr>
            <w:tcW w:w="1391" w:type="pct"/>
            <w:tcBorders>
              <w:top w:val="nil"/>
              <w:left w:val="nil"/>
              <w:bottom w:val="single" w:sz="4" w:space="0" w:color="auto"/>
              <w:right w:val="single" w:sz="8" w:space="0" w:color="000000"/>
            </w:tcBorders>
            <w:shd w:val="clear" w:color="auto" w:fill="auto"/>
          </w:tcPr>
          <w:p w14:paraId="021DE592"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n/a</w:t>
            </w:r>
          </w:p>
        </w:tc>
        <w:tc>
          <w:tcPr>
            <w:tcW w:w="1187" w:type="pct"/>
            <w:tcBorders>
              <w:top w:val="nil"/>
              <w:left w:val="single" w:sz="4" w:space="0" w:color="000000"/>
              <w:bottom w:val="single" w:sz="4" w:space="0" w:color="auto"/>
              <w:right w:val="single" w:sz="8" w:space="0" w:color="000000"/>
            </w:tcBorders>
          </w:tcPr>
          <w:p w14:paraId="4FFCB601" w14:textId="77777777" w:rsidR="00944AD5" w:rsidRPr="00EE00DF" w:rsidRDefault="00944AD5" w:rsidP="00944AD5">
            <w:pPr>
              <w:spacing w:after="0"/>
              <w:ind w:left="0" w:firstLine="0"/>
              <w:rPr>
                <w:rFonts w:asciiTheme="majorHAnsi" w:hAnsiTheme="majorHAnsi" w:cs="Arial"/>
                <w:b/>
                <w:sz w:val="18"/>
                <w:szCs w:val="18"/>
                <w:lang w:bidi="ar-SA"/>
              </w:rPr>
            </w:pPr>
            <w:r w:rsidRPr="00EE00DF">
              <w:rPr>
                <w:rFonts w:asciiTheme="majorHAnsi" w:hAnsiTheme="majorHAnsi" w:cs="Arial"/>
                <w:b/>
                <w:sz w:val="18"/>
                <w:szCs w:val="18"/>
                <w:lang w:bidi="ar-SA"/>
              </w:rPr>
              <w:t>New category:</w:t>
            </w:r>
          </w:p>
          <w:p w14:paraId="2CDF30E5"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300 MW HQ through NYISO to ISO-NE. Modeled as firm contract. Reduced the transfer limit from HQ to NYISO by 300 MW and increased the transfer limit from NYISO to ISO-NE by 300 MW. </w:t>
            </w:r>
          </w:p>
          <w:p w14:paraId="09639B55" w14:textId="77777777" w:rsidR="00944AD5" w:rsidRPr="00EE00DF" w:rsidRDefault="00944AD5" w:rsidP="00944AD5">
            <w:pPr>
              <w:spacing w:after="0"/>
              <w:ind w:left="0" w:firstLine="0"/>
              <w:rPr>
                <w:rFonts w:asciiTheme="majorHAnsi" w:hAnsiTheme="majorHAnsi" w:cs="Arial"/>
                <w:b/>
                <w:sz w:val="18"/>
                <w:szCs w:val="18"/>
                <w:lang w:bidi="ar-SA"/>
              </w:rPr>
            </w:pPr>
          </w:p>
        </w:tc>
        <w:tc>
          <w:tcPr>
            <w:tcW w:w="1228" w:type="pct"/>
            <w:tcBorders>
              <w:top w:val="nil"/>
              <w:left w:val="single" w:sz="4" w:space="0" w:color="000000"/>
              <w:bottom w:val="single" w:sz="4" w:space="0" w:color="auto"/>
              <w:right w:val="single" w:sz="8" w:space="0" w:color="000000"/>
            </w:tcBorders>
          </w:tcPr>
          <w:p w14:paraId="4D4AD30F"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4A8FD5B8" w14:textId="77777777" w:rsidR="00944AD5" w:rsidRPr="00EE00DF" w:rsidRDefault="00944AD5" w:rsidP="00944AD5">
            <w:pPr>
              <w:spacing w:after="0"/>
              <w:ind w:left="0" w:firstLine="0"/>
              <w:rPr>
                <w:rFonts w:asciiTheme="majorHAnsi" w:hAnsiTheme="majorHAnsi" w:cs="Arial"/>
                <w:b/>
                <w:color w:val="365F91" w:themeColor="accent1" w:themeShade="BF"/>
                <w:sz w:val="18"/>
                <w:szCs w:val="18"/>
                <w:lang w:bidi="ar-SA"/>
              </w:rPr>
            </w:pPr>
          </w:p>
        </w:tc>
      </w:tr>
      <w:tr w:rsidR="00944AD5" w:rsidRPr="00EE00DF" w14:paraId="5BFEACA5" w14:textId="77777777" w:rsidTr="00EE00DF">
        <w:trPr>
          <w:trHeight w:val="440"/>
        </w:trPr>
        <w:tc>
          <w:tcPr>
            <w:tcW w:w="3772" w:type="pct"/>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D8975B5"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b/>
                <w:bCs/>
                <w:sz w:val="18"/>
                <w:szCs w:val="18"/>
                <w:lang w:bidi="ar-SA"/>
              </w:rPr>
              <w:t xml:space="preserve">MARS Topology: </w:t>
            </w:r>
            <w:r w:rsidRPr="00EE00DF">
              <w:rPr>
                <w:rFonts w:asciiTheme="majorHAnsi" w:hAnsiTheme="majorHAnsi" w:cs="Arial"/>
                <w:bCs/>
                <w:sz w:val="18"/>
                <w:szCs w:val="18"/>
                <w:lang w:bidi="ar-SA"/>
              </w:rPr>
              <w:t>a simplified bubble-and-pipe representation of the transmission system</w:t>
            </w:r>
          </w:p>
        </w:tc>
        <w:tc>
          <w:tcPr>
            <w:tcW w:w="12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75670A" w14:textId="77777777" w:rsidR="00944AD5" w:rsidRPr="00EE00DF" w:rsidRDefault="00944AD5" w:rsidP="00944AD5">
            <w:pPr>
              <w:spacing w:after="0"/>
              <w:ind w:left="0" w:firstLine="0"/>
              <w:rPr>
                <w:rFonts w:asciiTheme="majorHAnsi" w:hAnsiTheme="majorHAnsi" w:cs="Arial"/>
                <w:b/>
                <w:bCs/>
                <w:sz w:val="18"/>
                <w:szCs w:val="18"/>
                <w:lang w:bidi="ar-SA"/>
              </w:rPr>
            </w:pPr>
          </w:p>
        </w:tc>
      </w:tr>
      <w:tr w:rsidR="00944AD5" w:rsidRPr="00EE00DF" w14:paraId="3530D32C" w14:textId="77777777" w:rsidTr="00EE00DF">
        <w:trPr>
          <w:trHeight w:val="836"/>
        </w:trPr>
        <w:tc>
          <w:tcPr>
            <w:tcW w:w="303" w:type="pct"/>
            <w:tcBorders>
              <w:top w:val="single" w:sz="4" w:space="0" w:color="auto"/>
              <w:left w:val="single" w:sz="8" w:space="0" w:color="000000"/>
              <w:bottom w:val="single" w:sz="4" w:space="0" w:color="000000"/>
              <w:right w:val="single" w:sz="4" w:space="0" w:color="000000"/>
            </w:tcBorders>
            <w:shd w:val="clear" w:color="auto" w:fill="auto"/>
          </w:tcPr>
          <w:p w14:paraId="543210C1"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0</w:t>
            </w:r>
          </w:p>
        </w:tc>
        <w:tc>
          <w:tcPr>
            <w:tcW w:w="892" w:type="pct"/>
            <w:tcBorders>
              <w:top w:val="single" w:sz="4" w:space="0" w:color="auto"/>
              <w:left w:val="nil"/>
              <w:bottom w:val="single" w:sz="4" w:space="0" w:color="000000"/>
              <w:right w:val="single" w:sz="4" w:space="0" w:color="000000"/>
            </w:tcBorders>
            <w:shd w:val="clear" w:color="auto" w:fill="auto"/>
          </w:tcPr>
          <w:p w14:paraId="1FB99BA6" w14:textId="77777777" w:rsidR="00944AD5" w:rsidRPr="00EE00DF" w:rsidRDefault="00944AD5" w:rsidP="00944AD5">
            <w:pPr>
              <w:spacing w:after="0"/>
              <w:ind w:left="0" w:firstLine="0"/>
              <w:rPr>
                <w:rFonts w:asciiTheme="majorHAnsi" w:hAnsiTheme="majorHAnsi" w:cs="Arial"/>
                <w:sz w:val="18"/>
                <w:szCs w:val="18"/>
                <w:lang w:bidi="ar-SA"/>
              </w:rPr>
            </w:pPr>
          </w:p>
        </w:tc>
        <w:tc>
          <w:tcPr>
            <w:tcW w:w="1391" w:type="pct"/>
            <w:tcBorders>
              <w:top w:val="single" w:sz="4" w:space="0" w:color="auto"/>
              <w:left w:val="nil"/>
              <w:bottom w:val="single" w:sz="4" w:space="0" w:color="000000"/>
              <w:right w:val="single" w:sz="8" w:space="0" w:color="000000"/>
            </w:tcBorders>
            <w:shd w:val="clear" w:color="auto" w:fill="auto"/>
          </w:tcPr>
          <w:p w14:paraId="2E94F97C" w14:textId="77777777" w:rsidR="00944AD5" w:rsidRPr="00EE00DF" w:rsidRDefault="00944AD5" w:rsidP="00944AD5">
            <w:pPr>
              <w:spacing w:after="0"/>
              <w:ind w:left="0" w:firstLine="0"/>
              <w:rPr>
                <w:rFonts w:asciiTheme="majorHAnsi" w:hAnsiTheme="majorHAnsi" w:cs="Arial"/>
                <w:sz w:val="18"/>
                <w:szCs w:val="18"/>
                <w:lang w:bidi="ar-SA"/>
              </w:rPr>
            </w:pPr>
          </w:p>
        </w:tc>
        <w:tc>
          <w:tcPr>
            <w:tcW w:w="1187" w:type="pct"/>
            <w:tcBorders>
              <w:top w:val="single" w:sz="4" w:space="0" w:color="auto"/>
              <w:left w:val="nil"/>
              <w:bottom w:val="single" w:sz="4" w:space="0" w:color="000000"/>
              <w:right w:val="single" w:sz="8" w:space="0" w:color="000000"/>
            </w:tcBorders>
          </w:tcPr>
          <w:p w14:paraId="2433DD25" w14:textId="77777777" w:rsidR="00944AD5" w:rsidRPr="00EE00DF" w:rsidRDefault="00944AD5" w:rsidP="00944AD5">
            <w:pPr>
              <w:spacing w:after="0"/>
              <w:ind w:left="0" w:firstLine="0"/>
              <w:rPr>
                <w:rFonts w:asciiTheme="majorHAnsi" w:hAnsiTheme="majorHAnsi" w:cs="Arial"/>
                <w:b/>
                <w:sz w:val="18"/>
                <w:szCs w:val="18"/>
                <w:lang w:bidi="ar-SA"/>
              </w:rPr>
            </w:pPr>
            <w:r w:rsidRPr="00EE00DF">
              <w:rPr>
                <w:rFonts w:asciiTheme="majorHAnsi" w:hAnsiTheme="majorHAnsi" w:cs="Arial"/>
                <w:b/>
                <w:sz w:val="18"/>
                <w:szCs w:val="18"/>
                <w:lang w:bidi="ar-SA"/>
              </w:rPr>
              <w:t xml:space="preserve">Summary of major topology changes </w:t>
            </w:r>
            <w:r w:rsidRPr="00EE00DF">
              <w:rPr>
                <w:rFonts w:asciiTheme="majorHAnsi" w:hAnsiTheme="majorHAnsi" w:cs="Arial"/>
                <w:sz w:val="18"/>
                <w:szCs w:val="18"/>
                <w:lang w:bidi="ar-SA"/>
              </w:rPr>
              <w:t xml:space="preserve">(as </w:t>
            </w:r>
            <w:r w:rsidRPr="00EE00DF">
              <w:rPr>
                <w:rFonts w:asciiTheme="majorHAnsi" w:eastAsia="Arial Narrow" w:hAnsiTheme="majorHAnsi" w:cstheme="minorBidi"/>
                <w:bCs/>
                <w:sz w:val="18"/>
                <w:szCs w:val="18"/>
                <w:lang w:bidi="ar-SA"/>
              </w:rPr>
              <w:t>compared</w:t>
            </w:r>
            <w:r w:rsidRPr="00EE00DF">
              <w:rPr>
                <w:rFonts w:asciiTheme="majorHAnsi" w:hAnsiTheme="majorHAnsi" w:cs="Arial"/>
                <w:sz w:val="18"/>
                <w:szCs w:val="18"/>
                <w:lang w:bidi="ar-SA"/>
              </w:rPr>
              <w:t xml:space="preserve"> with the 2018-2019 RPP):</w:t>
            </w:r>
          </w:p>
          <w:p w14:paraId="74B798C6" w14:textId="77777777" w:rsidR="00944AD5" w:rsidRPr="00EE00DF" w:rsidRDefault="0008271B" w:rsidP="00944AD5">
            <w:pPr>
              <w:spacing w:after="0"/>
              <w:ind w:left="360" w:firstLine="0"/>
              <w:rPr>
                <w:rFonts w:asciiTheme="majorHAnsi" w:hAnsiTheme="majorHAnsi" w:cs="Arial"/>
                <w:sz w:val="18"/>
                <w:szCs w:val="18"/>
                <w:lang w:bidi="ar-SA"/>
              </w:rPr>
            </w:pPr>
            <w:hyperlink r:id="rId99" w:history="1">
              <w:r w:rsidR="00944AD5" w:rsidRPr="00EE00DF">
                <w:rPr>
                  <w:rFonts w:asciiTheme="majorHAnsi" w:hAnsiTheme="majorHAnsi" w:cs="Arial"/>
                  <w:color w:val="0563C1"/>
                  <w:sz w:val="18"/>
                  <w:szCs w:val="18"/>
                  <w:u w:val="single"/>
                  <w:lang w:bidi="ar-SA"/>
                </w:rPr>
                <w:t>Link1)-7)</w:t>
              </w:r>
            </w:hyperlink>
            <w:r w:rsidR="00944AD5" w:rsidRPr="00EE00DF">
              <w:rPr>
                <w:rFonts w:asciiTheme="majorHAnsi" w:hAnsiTheme="majorHAnsi" w:cs="Arial"/>
                <w:sz w:val="18"/>
                <w:szCs w:val="18"/>
                <w:lang w:bidi="ar-SA"/>
              </w:rPr>
              <w:t xml:space="preserve">; </w:t>
            </w:r>
            <w:hyperlink r:id="rId100" w:history="1">
              <w:r w:rsidR="00944AD5" w:rsidRPr="00EE00DF">
                <w:rPr>
                  <w:rFonts w:asciiTheme="majorHAnsi" w:hAnsiTheme="majorHAnsi" w:cs="Arial"/>
                  <w:color w:val="0563C1"/>
                  <w:sz w:val="18"/>
                  <w:szCs w:val="18"/>
                  <w:u w:val="single"/>
                  <w:lang w:bidi="ar-SA"/>
                </w:rPr>
                <w:t>Link8)-9)</w:t>
              </w:r>
            </w:hyperlink>
            <w:r w:rsidR="00944AD5" w:rsidRPr="00EE00DF">
              <w:rPr>
                <w:rFonts w:asciiTheme="majorHAnsi" w:hAnsiTheme="majorHAnsi" w:cs="Arial"/>
                <w:sz w:val="18"/>
                <w:szCs w:val="18"/>
                <w:lang w:bidi="ar-SA"/>
              </w:rPr>
              <w:t xml:space="preserve">; </w:t>
            </w:r>
            <w:hyperlink r:id="rId101" w:history="1">
              <w:r w:rsidR="00944AD5" w:rsidRPr="00EE00DF">
                <w:rPr>
                  <w:rFonts w:asciiTheme="majorHAnsi" w:hAnsiTheme="majorHAnsi" w:cs="Arial"/>
                  <w:color w:val="0563C1"/>
                  <w:sz w:val="18"/>
                  <w:szCs w:val="18"/>
                  <w:u w:val="single"/>
                  <w:lang w:bidi="ar-SA"/>
                </w:rPr>
                <w:t>Link10)</w:t>
              </w:r>
            </w:hyperlink>
          </w:p>
          <w:p w14:paraId="426CD6F2" w14:textId="77777777" w:rsidR="00944AD5" w:rsidRPr="00EE00DF" w:rsidRDefault="00944AD5" w:rsidP="00944AD5">
            <w:pPr>
              <w:numPr>
                <w:ilvl w:val="0"/>
                <w:numId w:val="47"/>
              </w:numPr>
              <w:spacing w:after="0" w:line="276" w:lineRule="auto"/>
              <w:rPr>
                <w:rFonts w:asciiTheme="majorHAnsi" w:hAnsiTheme="majorHAnsi" w:cs="Arial"/>
                <w:sz w:val="18"/>
                <w:szCs w:val="18"/>
                <w:lang w:bidi="ar-SA"/>
              </w:rPr>
            </w:pPr>
            <w:r w:rsidRPr="00EE00DF">
              <w:rPr>
                <w:rFonts w:asciiTheme="majorHAnsi" w:hAnsiTheme="majorHAnsi" w:cs="Arial"/>
                <w:sz w:val="18"/>
                <w:szCs w:val="18"/>
                <w:lang w:bidi="ar-SA"/>
              </w:rPr>
              <w:t>Marion-Farragut 345kV cables (B and C) assumed out of service</w:t>
            </w:r>
          </w:p>
          <w:p w14:paraId="647ED4DC" w14:textId="77777777" w:rsidR="00944AD5" w:rsidRPr="00EE00DF" w:rsidRDefault="00944AD5" w:rsidP="00944AD5">
            <w:pPr>
              <w:numPr>
                <w:ilvl w:val="0"/>
                <w:numId w:val="47"/>
              </w:numPr>
              <w:spacing w:after="0" w:line="276" w:lineRule="auto"/>
              <w:rPr>
                <w:rFonts w:asciiTheme="majorHAnsi" w:hAnsiTheme="majorHAnsi" w:cs="Arial"/>
                <w:sz w:val="18"/>
                <w:szCs w:val="18"/>
                <w:lang w:bidi="ar-SA"/>
              </w:rPr>
            </w:pPr>
            <w:r w:rsidRPr="00EE00DF">
              <w:rPr>
                <w:rFonts w:asciiTheme="majorHAnsi" w:hAnsiTheme="majorHAnsi" w:cs="Arial"/>
                <w:sz w:val="18"/>
                <w:szCs w:val="18"/>
                <w:lang w:bidi="ar-SA"/>
              </w:rPr>
              <w:t xml:space="preserve">71, 72, M51, M52 series reactors assumed by-passed after deactivation of Indian Point </w:t>
            </w:r>
          </w:p>
          <w:p w14:paraId="70B8D8AE" w14:textId="77777777" w:rsidR="00944AD5" w:rsidRPr="00EE00DF" w:rsidRDefault="00944AD5" w:rsidP="00944AD5">
            <w:pPr>
              <w:numPr>
                <w:ilvl w:val="0"/>
                <w:numId w:val="47"/>
              </w:numPr>
              <w:spacing w:after="0" w:line="276" w:lineRule="auto"/>
              <w:rPr>
                <w:rFonts w:asciiTheme="majorHAnsi" w:hAnsiTheme="majorHAnsi" w:cs="Arial"/>
                <w:sz w:val="18"/>
                <w:szCs w:val="18"/>
                <w:lang w:bidi="ar-SA"/>
              </w:rPr>
            </w:pPr>
            <w:r w:rsidRPr="00EE00DF">
              <w:rPr>
                <w:rFonts w:asciiTheme="majorHAnsi" w:hAnsiTheme="majorHAnsi" w:cs="Arial"/>
                <w:sz w:val="18"/>
                <w:szCs w:val="18"/>
                <w:lang w:bidi="ar-SA"/>
              </w:rPr>
              <w:t>Moses – St. Lawrence (L33P) tie line assumed out of service</w:t>
            </w:r>
          </w:p>
          <w:p w14:paraId="7E5D8677" w14:textId="77777777" w:rsidR="00944AD5" w:rsidRPr="00EE00DF" w:rsidRDefault="00944AD5" w:rsidP="00944AD5">
            <w:pPr>
              <w:numPr>
                <w:ilvl w:val="0"/>
                <w:numId w:val="47"/>
              </w:numPr>
              <w:spacing w:after="0" w:line="276" w:lineRule="auto"/>
              <w:rPr>
                <w:rFonts w:asciiTheme="majorHAnsi" w:hAnsiTheme="majorHAnsi" w:cs="Arial"/>
                <w:sz w:val="18"/>
                <w:szCs w:val="18"/>
                <w:lang w:bidi="ar-SA"/>
              </w:rPr>
            </w:pPr>
            <w:r w:rsidRPr="00EE00DF">
              <w:rPr>
                <w:rFonts w:asciiTheme="majorHAnsi" w:hAnsiTheme="majorHAnsi" w:cs="Arial"/>
                <w:sz w:val="18"/>
                <w:szCs w:val="18"/>
                <w:lang w:bidi="ar-SA"/>
              </w:rPr>
              <w:t xml:space="preserve">Rainey – Corona transmission project in service impacting J to K limits </w:t>
            </w:r>
          </w:p>
          <w:p w14:paraId="64FC7BCA" w14:textId="77777777" w:rsidR="00944AD5" w:rsidRPr="00EE00DF" w:rsidRDefault="00944AD5" w:rsidP="00944AD5">
            <w:pPr>
              <w:numPr>
                <w:ilvl w:val="0"/>
                <w:numId w:val="47"/>
              </w:numPr>
              <w:spacing w:after="0" w:line="276" w:lineRule="auto"/>
              <w:rPr>
                <w:rFonts w:asciiTheme="majorHAnsi" w:hAnsiTheme="majorHAnsi" w:cs="Arial"/>
                <w:sz w:val="18"/>
                <w:szCs w:val="18"/>
                <w:lang w:bidi="ar-SA"/>
              </w:rPr>
            </w:pPr>
            <w:r w:rsidRPr="00EE00DF">
              <w:rPr>
                <w:rFonts w:asciiTheme="majorHAnsi" w:hAnsiTheme="majorHAnsi" w:cs="Arial"/>
                <w:sz w:val="18"/>
                <w:szCs w:val="18"/>
                <w:lang w:bidi="ar-SA"/>
              </w:rPr>
              <w:t>UPNY-SENY simplification 2021-2023 before the addition of AC PPTPP projects</w:t>
            </w:r>
          </w:p>
          <w:p w14:paraId="4525D843" w14:textId="77777777" w:rsidR="00944AD5" w:rsidRPr="00EE00DF" w:rsidRDefault="00944AD5" w:rsidP="00944AD5">
            <w:pPr>
              <w:numPr>
                <w:ilvl w:val="0"/>
                <w:numId w:val="47"/>
              </w:numPr>
              <w:spacing w:after="0" w:line="276" w:lineRule="auto"/>
              <w:rPr>
                <w:rFonts w:asciiTheme="majorHAnsi" w:hAnsiTheme="majorHAnsi" w:cs="Arial"/>
                <w:sz w:val="18"/>
                <w:szCs w:val="18"/>
                <w:lang w:bidi="ar-SA"/>
              </w:rPr>
            </w:pPr>
            <w:r w:rsidRPr="00EE00DF">
              <w:rPr>
                <w:rFonts w:asciiTheme="majorHAnsi" w:hAnsiTheme="majorHAnsi" w:cs="Arial"/>
                <w:sz w:val="18"/>
                <w:szCs w:val="18"/>
                <w:lang w:bidi="ar-SA"/>
              </w:rPr>
              <w:t>AC PPTPs Segment A and B Projects Added starting 2024</w:t>
            </w:r>
          </w:p>
          <w:p w14:paraId="57E6610C" w14:textId="77777777" w:rsidR="00944AD5" w:rsidRPr="00EE00DF" w:rsidRDefault="00944AD5" w:rsidP="00944AD5">
            <w:pPr>
              <w:numPr>
                <w:ilvl w:val="0"/>
                <w:numId w:val="47"/>
              </w:numPr>
              <w:spacing w:after="0" w:line="276" w:lineRule="auto"/>
              <w:rPr>
                <w:rFonts w:asciiTheme="majorHAnsi" w:hAnsiTheme="majorHAnsi" w:cs="Arial"/>
                <w:sz w:val="18"/>
                <w:szCs w:val="18"/>
                <w:lang w:bidi="ar-SA"/>
              </w:rPr>
            </w:pPr>
            <w:r w:rsidRPr="00EE00DF">
              <w:rPr>
                <w:rFonts w:asciiTheme="majorHAnsi" w:hAnsiTheme="majorHAnsi" w:cs="Arial"/>
                <w:sz w:val="18"/>
                <w:szCs w:val="18"/>
                <w:lang w:bidi="ar-SA"/>
              </w:rPr>
              <w:t>Removal of Cedars bubble/tie to Zone D model; adding the MW from the bubble to the tie HQ to D tie limit.</w:t>
            </w:r>
          </w:p>
          <w:p w14:paraId="3C25F9FA" w14:textId="77777777" w:rsidR="00944AD5" w:rsidRPr="00EE00DF" w:rsidRDefault="00944AD5" w:rsidP="00944AD5">
            <w:pPr>
              <w:numPr>
                <w:ilvl w:val="0"/>
                <w:numId w:val="47"/>
              </w:numPr>
              <w:spacing w:after="0" w:line="276" w:lineRule="auto"/>
              <w:rPr>
                <w:rFonts w:asciiTheme="majorHAnsi" w:hAnsiTheme="majorHAnsi" w:cs="Arial"/>
                <w:sz w:val="18"/>
                <w:szCs w:val="18"/>
                <w:lang w:bidi="ar-SA"/>
              </w:rPr>
            </w:pPr>
            <w:r w:rsidRPr="00EE00DF">
              <w:rPr>
                <w:rFonts w:asciiTheme="majorHAnsi" w:hAnsiTheme="majorHAnsi" w:cs="Arial"/>
                <w:sz w:val="18"/>
                <w:szCs w:val="18"/>
                <w:lang w:bidi="ar-SA"/>
              </w:rPr>
              <w:t>Removal of PJM-SENY Group Interface</w:t>
            </w:r>
          </w:p>
          <w:p w14:paraId="17F3C5E3" w14:textId="77777777" w:rsidR="00944AD5" w:rsidRPr="00EE00DF" w:rsidRDefault="00944AD5" w:rsidP="00944AD5">
            <w:pPr>
              <w:numPr>
                <w:ilvl w:val="0"/>
                <w:numId w:val="47"/>
              </w:numPr>
              <w:spacing w:after="0" w:line="276" w:lineRule="auto"/>
              <w:rPr>
                <w:rFonts w:asciiTheme="majorHAnsi" w:hAnsiTheme="majorHAnsi" w:cs="Arial"/>
                <w:sz w:val="18"/>
                <w:szCs w:val="18"/>
                <w:lang w:bidi="ar-SA"/>
              </w:rPr>
            </w:pPr>
            <w:r w:rsidRPr="00EE00DF">
              <w:rPr>
                <w:rFonts w:asciiTheme="majorHAnsi" w:hAnsiTheme="majorHAnsi" w:cs="Arial"/>
                <w:sz w:val="18"/>
                <w:szCs w:val="18"/>
                <w:lang w:bidi="ar-SA"/>
              </w:rPr>
              <w:t>Updates to Zone K Imports/Exports</w:t>
            </w:r>
          </w:p>
          <w:p w14:paraId="7DFB55AD" w14:textId="77777777" w:rsidR="00944AD5" w:rsidRPr="00EE00DF" w:rsidRDefault="00944AD5" w:rsidP="00944AD5">
            <w:pPr>
              <w:numPr>
                <w:ilvl w:val="0"/>
                <w:numId w:val="47"/>
              </w:numPr>
              <w:spacing w:after="0" w:line="276" w:lineRule="auto"/>
              <w:rPr>
                <w:rFonts w:asciiTheme="majorHAnsi" w:hAnsiTheme="majorHAnsi" w:cs="Arial"/>
                <w:sz w:val="18"/>
                <w:szCs w:val="18"/>
                <w:lang w:bidi="ar-SA"/>
              </w:rPr>
            </w:pPr>
            <w:r w:rsidRPr="00EE00DF">
              <w:rPr>
                <w:rFonts w:asciiTheme="majorHAnsi" w:hAnsiTheme="majorHAnsi" w:cs="Arial"/>
                <w:sz w:val="18"/>
                <w:szCs w:val="18"/>
                <w:lang w:bidi="ar-SA"/>
              </w:rPr>
              <w:t>Somerset retirement impacts</w:t>
            </w:r>
          </w:p>
          <w:p w14:paraId="2E12C13D" w14:textId="77777777" w:rsidR="00944AD5" w:rsidRPr="00EE00DF" w:rsidRDefault="00944AD5" w:rsidP="00944AD5">
            <w:pPr>
              <w:widowControl w:val="0"/>
              <w:numPr>
                <w:ilvl w:val="0"/>
                <w:numId w:val="47"/>
              </w:numPr>
              <w:spacing w:after="120" w:line="276" w:lineRule="auto"/>
              <w:rPr>
                <w:rFonts w:ascii="Cambria" w:eastAsia="Arial Narrow" w:hAnsi="Cambria" w:cstheme="minorBidi"/>
                <w:bCs/>
                <w:sz w:val="18"/>
                <w:szCs w:val="18"/>
                <w:lang w:bidi="ar-SA"/>
              </w:rPr>
            </w:pPr>
            <w:r w:rsidRPr="00EE00DF">
              <w:rPr>
                <w:rFonts w:asciiTheme="majorHAnsi" w:hAnsiTheme="majorHAnsi" w:cs="Arial"/>
                <w:sz w:val="18"/>
                <w:szCs w:val="18"/>
                <w:lang w:bidi="ar-SA"/>
              </w:rPr>
              <w:t xml:space="preserve">The external areas model </w:t>
            </w:r>
            <w:r w:rsidRPr="00EE00DF">
              <w:rPr>
                <w:rFonts w:asciiTheme="majorHAnsi" w:hAnsiTheme="majorHAnsi" w:cs="Arial"/>
                <w:sz w:val="18"/>
                <w:szCs w:val="18"/>
                <w:lang w:bidi="ar-SA"/>
              </w:rPr>
              <w:lastRenderedPageBreak/>
              <w:t xml:space="preserve">for PJM and ISO-NE were </w:t>
            </w:r>
            <w:hyperlink r:id="rId102" w:history="1">
              <w:r w:rsidRPr="00EE00DF">
                <w:rPr>
                  <w:rFonts w:ascii="Cambria" w:eastAsia="Arial Narrow" w:hAnsi="Cambria"/>
                  <w:bCs/>
                  <w:color w:val="0000FF"/>
                  <w:sz w:val="18"/>
                  <w:szCs w:val="18"/>
                  <w:u w:val="single"/>
                </w:rPr>
                <w:t>simplified</w:t>
              </w:r>
              <w:r w:rsidRPr="00EE00DF">
                <w:rPr>
                  <w:rFonts w:asciiTheme="majorHAnsi" w:hAnsiTheme="majorHAnsi" w:cs="Arial"/>
                  <w:sz w:val="18"/>
                  <w:szCs w:val="18"/>
                  <w:lang w:bidi="ar-SA"/>
                </w:rPr>
                <w:t xml:space="preserve"> </w:t>
              </w:r>
            </w:hyperlink>
            <w:r w:rsidRPr="00EE00DF">
              <w:rPr>
                <w:rFonts w:asciiTheme="majorHAnsi" w:hAnsiTheme="majorHAnsi" w:cs="Arial"/>
                <w:sz w:val="18"/>
                <w:szCs w:val="18"/>
                <w:lang w:bidi="ar-SA"/>
              </w:rPr>
              <w:t xml:space="preserve">by consolidating the 5 PJM areas (bubbles) into one, and the 8 ISO-NE areas into one. </w:t>
            </w:r>
          </w:p>
          <w:p w14:paraId="208C1083" w14:textId="77777777" w:rsidR="00944AD5" w:rsidRPr="00EE00DF" w:rsidRDefault="00944AD5" w:rsidP="00944AD5">
            <w:pPr>
              <w:spacing w:after="0"/>
              <w:ind w:left="360" w:firstLine="0"/>
              <w:rPr>
                <w:rFonts w:asciiTheme="majorHAnsi" w:hAnsiTheme="majorHAnsi" w:cs="Arial"/>
                <w:sz w:val="18"/>
                <w:szCs w:val="18"/>
                <w:lang w:bidi="ar-SA"/>
              </w:rPr>
            </w:pPr>
          </w:p>
        </w:tc>
        <w:tc>
          <w:tcPr>
            <w:tcW w:w="1228" w:type="pct"/>
            <w:tcBorders>
              <w:top w:val="single" w:sz="4" w:space="0" w:color="auto"/>
              <w:left w:val="nil"/>
              <w:bottom w:val="single" w:sz="4" w:space="0" w:color="000000"/>
              <w:right w:val="single" w:sz="8" w:space="0" w:color="000000"/>
            </w:tcBorders>
          </w:tcPr>
          <w:p w14:paraId="386232C7" w14:textId="77777777" w:rsidR="00944AD5" w:rsidRPr="00EE00DF" w:rsidRDefault="00944AD5" w:rsidP="00944AD5">
            <w:pPr>
              <w:spacing w:after="0"/>
              <w:ind w:left="0" w:firstLine="0"/>
              <w:rPr>
                <w:rFonts w:asciiTheme="majorHAnsi" w:hAnsiTheme="majorHAnsi" w:cs="Arial"/>
                <w:b/>
                <w:sz w:val="18"/>
                <w:szCs w:val="18"/>
                <w:lang w:bidi="ar-SA"/>
              </w:rPr>
            </w:pPr>
            <w:r w:rsidRPr="00EE00DF">
              <w:rPr>
                <w:rFonts w:asciiTheme="majorHAnsi" w:hAnsiTheme="majorHAnsi" w:cs="Arial"/>
                <w:b/>
                <w:sz w:val="18"/>
                <w:szCs w:val="18"/>
                <w:lang w:bidi="ar-SA"/>
              </w:rPr>
              <w:lastRenderedPageBreak/>
              <w:t xml:space="preserve">Summary of major topology changes </w:t>
            </w:r>
            <w:r w:rsidRPr="00EE00DF">
              <w:rPr>
                <w:rFonts w:asciiTheme="majorHAnsi" w:hAnsiTheme="majorHAnsi" w:cs="Arial"/>
                <w:sz w:val="18"/>
                <w:szCs w:val="18"/>
                <w:lang w:bidi="ar-SA"/>
              </w:rPr>
              <w:t>as compared with the 2020 RNA [</w:t>
            </w:r>
            <w:hyperlink r:id="rId103" w:history="1">
              <w:r w:rsidRPr="00EE00DF">
                <w:rPr>
                  <w:rFonts w:asciiTheme="majorHAnsi" w:hAnsiTheme="majorHAnsi" w:cs="Arial"/>
                  <w:color w:val="0563C1"/>
                  <w:sz w:val="18"/>
                  <w:szCs w:val="18"/>
                  <w:u w:val="single"/>
                  <w:lang w:bidi="ar-SA"/>
                </w:rPr>
                <w:t>link</w:t>
              </w:r>
            </w:hyperlink>
            <w:r w:rsidRPr="00EE00DF">
              <w:rPr>
                <w:rFonts w:asciiTheme="majorHAnsi" w:hAnsiTheme="majorHAnsi" w:cs="Arial"/>
                <w:sz w:val="18"/>
                <w:szCs w:val="18"/>
                <w:lang w:bidi="ar-SA"/>
              </w:rPr>
              <w:t>]:</w:t>
            </w:r>
          </w:p>
          <w:p w14:paraId="2A42D72F" w14:textId="77777777" w:rsidR="00944AD5" w:rsidRPr="00EE00DF" w:rsidRDefault="00944AD5" w:rsidP="00944AD5">
            <w:pPr>
              <w:numPr>
                <w:ilvl w:val="0"/>
                <w:numId w:val="48"/>
              </w:numPr>
              <w:spacing w:after="0" w:line="276" w:lineRule="auto"/>
              <w:rPr>
                <w:rFonts w:asciiTheme="majorHAnsi" w:hAnsiTheme="majorHAnsi" w:cs="Arial"/>
                <w:sz w:val="18"/>
                <w:szCs w:val="18"/>
                <w:lang w:bidi="ar-SA"/>
              </w:rPr>
            </w:pPr>
            <w:r w:rsidRPr="00EE00DF">
              <w:rPr>
                <w:rFonts w:asciiTheme="majorHAnsi" w:hAnsiTheme="majorHAnsi" w:cs="Arial"/>
                <w:sz w:val="18"/>
                <w:szCs w:val="18"/>
                <w:lang w:bidi="ar-SA"/>
              </w:rPr>
              <w:t xml:space="preserve">The </w:t>
            </w:r>
            <w:proofErr w:type="spellStart"/>
            <w:r w:rsidRPr="00EE00DF">
              <w:rPr>
                <w:rFonts w:asciiTheme="majorHAnsi" w:hAnsiTheme="majorHAnsi" w:cs="Arial"/>
                <w:sz w:val="18"/>
                <w:szCs w:val="18"/>
                <w:lang w:bidi="ar-SA"/>
              </w:rPr>
              <w:t>ConEd</w:t>
            </w:r>
            <w:proofErr w:type="spellEnd"/>
            <w:r w:rsidRPr="00EE00DF">
              <w:rPr>
                <w:rFonts w:asciiTheme="majorHAnsi" w:hAnsiTheme="majorHAnsi" w:cs="Arial"/>
                <w:sz w:val="18"/>
                <w:szCs w:val="18"/>
                <w:lang w:bidi="ar-SA"/>
              </w:rPr>
              <w:t xml:space="preserve"> series reactors status change impacts, throughout the entire RNA Study Period (2024-2030):</w:t>
            </w:r>
          </w:p>
          <w:p w14:paraId="6145E636" w14:textId="77777777" w:rsidR="00944AD5" w:rsidRPr="00EE00DF" w:rsidRDefault="00944AD5" w:rsidP="00944AD5">
            <w:pPr>
              <w:numPr>
                <w:ilvl w:val="0"/>
                <w:numId w:val="49"/>
              </w:numPr>
              <w:spacing w:after="200" w:line="276" w:lineRule="auto"/>
              <w:rPr>
                <w:rFonts w:asciiTheme="majorHAnsi" w:hAnsiTheme="majorHAnsi" w:cs="Arial"/>
                <w:sz w:val="18"/>
                <w:szCs w:val="18"/>
                <w:lang w:bidi="ar-SA"/>
              </w:rPr>
            </w:pPr>
            <w:r w:rsidRPr="00EE00DF">
              <w:rPr>
                <w:rFonts w:asciiTheme="majorHAnsi" w:hAnsiTheme="majorHAnsi" w:cs="Arial"/>
                <w:sz w:val="18"/>
                <w:szCs w:val="18"/>
                <w:lang w:bidi="ar-SA"/>
              </w:rPr>
              <w:t>G to H (UPNY-</w:t>
            </w:r>
            <w:proofErr w:type="spellStart"/>
            <w:r w:rsidRPr="00EE00DF">
              <w:rPr>
                <w:rFonts w:asciiTheme="majorHAnsi" w:hAnsiTheme="majorHAnsi" w:cs="Arial"/>
                <w:sz w:val="18"/>
                <w:szCs w:val="18"/>
                <w:lang w:bidi="ar-SA"/>
              </w:rPr>
              <w:t>ConEd</w:t>
            </w:r>
            <w:proofErr w:type="spellEnd"/>
            <w:r w:rsidRPr="00EE00DF">
              <w:rPr>
                <w:rFonts w:asciiTheme="majorHAnsi" w:hAnsiTheme="majorHAnsi" w:cs="Arial"/>
                <w:sz w:val="18"/>
                <w:szCs w:val="18"/>
                <w:lang w:bidi="ar-SA"/>
              </w:rPr>
              <w:t xml:space="preserve"> interface) limit decrease by 750 MW (to 6625 MW)</w:t>
            </w:r>
          </w:p>
          <w:p w14:paraId="519D920A" w14:textId="77777777" w:rsidR="00944AD5" w:rsidRPr="00EE00DF" w:rsidRDefault="00944AD5" w:rsidP="00944AD5">
            <w:pPr>
              <w:numPr>
                <w:ilvl w:val="0"/>
                <w:numId w:val="49"/>
              </w:numPr>
              <w:spacing w:after="200" w:line="276" w:lineRule="auto"/>
              <w:rPr>
                <w:rFonts w:asciiTheme="majorHAnsi" w:hAnsiTheme="majorHAnsi" w:cs="Arial"/>
                <w:sz w:val="18"/>
                <w:szCs w:val="18"/>
                <w:lang w:bidi="ar-SA"/>
              </w:rPr>
            </w:pPr>
            <w:r w:rsidRPr="00EE00DF">
              <w:rPr>
                <w:rFonts w:asciiTheme="majorHAnsi" w:hAnsiTheme="majorHAnsi" w:cs="Arial"/>
                <w:sz w:val="18"/>
                <w:szCs w:val="18"/>
                <w:lang w:bidi="ar-SA"/>
              </w:rPr>
              <w:t>I to J (</w:t>
            </w:r>
            <w:proofErr w:type="spellStart"/>
            <w:r w:rsidRPr="00EE00DF">
              <w:rPr>
                <w:rFonts w:asciiTheme="majorHAnsi" w:hAnsiTheme="majorHAnsi" w:cs="Arial"/>
                <w:sz w:val="18"/>
                <w:szCs w:val="18"/>
                <w:lang w:bidi="ar-SA"/>
              </w:rPr>
              <w:t>Dunwoodie</w:t>
            </w:r>
            <w:proofErr w:type="spellEnd"/>
            <w:r w:rsidRPr="00EE00DF">
              <w:rPr>
                <w:rFonts w:asciiTheme="majorHAnsi" w:hAnsiTheme="majorHAnsi" w:cs="Arial"/>
                <w:sz w:val="18"/>
                <w:szCs w:val="18"/>
                <w:lang w:bidi="ar-SA"/>
              </w:rPr>
              <w:t xml:space="preserve"> South </w:t>
            </w:r>
            <w:proofErr w:type="gramStart"/>
            <w:r w:rsidRPr="00EE00DF">
              <w:rPr>
                <w:rFonts w:asciiTheme="majorHAnsi" w:hAnsiTheme="majorHAnsi" w:cs="Arial"/>
                <w:sz w:val="18"/>
                <w:szCs w:val="18"/>
                <w:lang w:bidi="ar-SA"/>
              </w:rPr>
              <w:t>interface )</w:t>
            </w:r>
            <w:proofErr w:type="gramEnd"/>
            <w:r w:rsidRPr="00EE00DF">
              <w:rPr>
                <w:rFonts w:asciiTheme="majorHAnsi" w:hAnsiTheme="majorHAnsi" w:cs="Arial"/>
                <w:sz w:val="18"/>
                <w:szCs w:val="18"/>
                <w:lang w:bidi="ar-SA"/>
              </w:rPr>
              <w:t xml:space="preserve"> group limit increase by 50 MW (to 4400 MW)</w:t>
            </w:r>
          </w:p>
          <w:p w14:paraId="24F85D1B" w14:textId="77777777" w:rsidR="00944AD5" w:rsidRPr="00EE00DF" w:rsidRDefault="00944AD5" w:rsidP="00944AD5">
            <w:pPr>
              <w:numPr>
                <w:ilvl w:val="0"/>
                <w:numId w:val="48"/>
              </w:numPr>
              <w:spacing w:after="200" w:line="276" w:lineRule="auto"/>
              <w:rPr>
                <w:rFonts w:asciiTheme="majorHAnsi" w:hAnsiTheme="majorHAnsi" w:cs="Arial"/>
                <w:sz w:val="18"/>
                <w:szCs w:val="18"/>
                <w:lang w:bidi="ar-SA"/>
              </w:rPr>
            </w:pPr>
            <w:r w:rsidRPr="00EE00DF">
              <w:rPr>
                <w:rFonts w:asciiTheme="majorHAnsi" w:hAnsiTheme="majorHAnsi" w:cs="Arial"/>
                <w:sz w:val="18"/>
                <w:szCs w:val="18"/>
                <w:lang w:bidi="ar-SA"/>
              </w:rPr>
              <w:t xml:space="preserve">The </w:t>
            </w:r>
            <w:proofErr w:type="spellStart"/>
            <w:r w:rsidRPr="00EE00DF">
              <w:rPr>
                <w:rFonts w:asciiTheme="majorHAnsi" w:hAnsiTheme="majorHAnsi" w:cs="Arial"/>
                <w:sz w:val="18"/>
                <w:szCs w:val="18"/>
                <w:lang w:bidi="ar-SA"/>
              </w:rPr>
              <w:t>ConEd</w:t>
            </w:r>
            <w:proofErr w:type="spellEnd"/>
            <w:r w:rsidRPr="00EE00DF">
              <w:rPr>
                <w:rFonts w:asciiTheme="majorHAnsi" w:hAnsiTheme="majorHAnsi" w:cs="Arial"/>
                <w:sz w:val="18"/>
                <w:szCs w:val="18"/>
                <w:lang w:bidi="ar-SA"/>
              </w:rPr>
              <w:t xml:space="preserve"> LTPs unbottles Staten Island capacity, reflected in the MARS topology as increase in the corresponding dynamic limit table</w:t>
            </w:r>
          </w:p>
          <w:p w14:paraId="6718959F" w14:textId="77777777" w:rsidR="00944AD5" w:rsidRPr="00EE00DF" w:rsidRDefault="00944AD5" w:rsidP="00944AD5">
            <w:pPr>
              <w:spacing w:after="0"/>
              <w:ind w:left="360" w:firstLine="0"/>
              <w:rPr>
                <w:rFonts w:asciiTheme="majorHAnsi" w:hAnsiTheme="majorHAnsi" w:cs="Arial"/>
                <w:sz w:val="18"/>
                <w:szCs w:val="18"/>
                <w:lang w:bidi="ar-SA"/>
              </w:rPr>
            </w:pPr>
          </w:p>
        </w:tc>
      </w:tr>
      <w:tr w:rsidR="00944AD5" w:rsidRPr="00EE00DF" w14:paraId="206EDA5A" w14:textId="77777777" w:rsidTr="00EE00DF">
        <w:trPr>
          <w:trHeight w:val="836"/>
        </w:trPr>
        <w:tc>
          <w:tcPr>
            <w:tcW w:w="303" w:type="pct"/>
            <w:tcBorders>
              <w:top w:val="single" w:sz="4" w:space="0" w:color="auto"/>
              <w:left w:val="single" w:sz="8" w:space="0" w:color="000000"/>
              <w:bottom w:val="single" w:sz="4" w:space="0" w:color="000000"/>
              <w:right w:val="single" w:sz="4" w:space="0" w:color="000000"/>
            </w:tcBorders>
            <w:shd w:val="clear" w:color="auto" w:fill="auto"/>
            <w:hideMark/>
          </w:tcPr>
          <w:p w14:paraId="2D2213BB"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1</w:t>
            </w:r>
          </w:p>
        </w:tc>
        <w:tc>
          <w:tcPr>
            <w:tcW w:w="892" w:type="pct"/>
            <w:tcBorders>
              <w:top w:val="single" w:sz="4" w:space="0" w:color="auto"/>
              <w:left w:val="nil"/>
              <w:bottom w:val="single" w:sz="4" w:space="0" w:color="000000"/>
              <w:right w:val="single" w:sz="4" w:space="0" w:color="000000"/>
            </w:tcBorders>
            <w:shd w:val="clear" w:color="auto" w:fill="auto"/>
            <w:hideMark/>
          </w:tcPr>
          <w:p w14:paraId="0F5BB11F"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Interface Limits</w:t>
            </w:r>
          </w:p>
        </w:tc>
        <w:tc>
          <w:tcPr>
            <w:tcW w:w="1391" w:type="pct"/>
            <w:tcBorders>
              <w:top w:val="single" w:sz="4" w:space="0" w:color="auto"/>
              <w:left w:val="nil"/>
              <w:bottom w:val="single" w:sz="4" w:space="0" w:color="000000"/>
              <w:right w:val="single" w:sz="8" w:space="0" w:color="000000"/>
            </w:tcBorders>
            <w:shd w:val="clear" w:color="auto" w:fill="auto"/>
            <w:hideMark/>
          </w:tcPr>
          <w:p w14:paraId="4BA6B0FA" w14:textId="77777777" w:rsidR="00944AD5" w:rsidRPr="00EE00DF" w:rsidRDefault="00944AD5" w:rsidP="00944AD5">
            <w:pPr>
              <w:spacing w:after="0"/>
              <w:ind w:left="0" w:firstLine="0"/>
              <w:rPr>
                <w:rFonts w:asciiTheme="majorHAnsi" w:hAnsiTheme="majorHAnsi" w:cs="Arial"/>
                <w:color w:val="E46D0A"/>
                <w:sz w:val="18"/>
                <w:szCs w:val="18"/>
                <w:lang w:bidi="ar-SA"/>
              </w:rPr>
            </w:pPr>
            <w:r w:rsidRPr="00EE00DF">
              <w:rPr>
                <w:rFonts w:asciiTheme="majorHAnsi" w:hAnsiTheme="majorHAnsi" w:cs="Arial"/>
                <w:sz w:val="18"/>
                <w:szCs w:val="18"/>
                <w:lang w:bidi="ar-SA"/>
              </w:rPr>
              <w:t>Developed by review of previous studies and specific analysis during the RNA study process</w:t>
            </w:r>
          </w:p>
        </w:tc>
        <w:tc>
          <w:tcPr>
            <w:tcW w:w="1187" w:type="pct"/>
            <w:tcBorders>
              <w:top w:val="single" w:sz="4" w:space="0" w:color="auto"/>
              <w:left w:val="nil"/>
              <w:bottom w:val="single" w:sz="4" w:space="0" w:color="000000"/>
              <w:right w:val="single" w:sz="8" w:space="0" w:color="000000"/>
            </w:tcBorders>
          </w:tcPr>
          <w:p w14:paraId="54E041EF"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single" w:sz="4" w:space="0" w:color="auto"/>
              <w:left w:val="nil"/>
              <w:bottom w:val="single" w:sz="4" w:space="0" w:color="000000"/>
              <w:right w:val="single" w:sz="8" w:space="0" w:color="000000"/>
            </w:tcBorders>
          </w:tcPr>
          <w:p w14:paraId="3A4E42DE"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67681EB4" w14:textId="77777777" w:rsidR="00944AD5" w:rsidRPr="00EE00DF" w:rsidRDefault="00944AD5" w:rsidP="00944AD5">
            <w:pPr>
              <w:spacing w:after="0"/>
              <w:ind w:left="0" w:firstLine="0"/>
              <w:rPr>
                <w:rFonts w:asciiTheme="majorHAnsi" w:hAnsiTheme="majorHAnsi" w:cs="Arial"/>
                <w:b/>
                <w:color w:val="365F91" w:themeColor="accent1" w:themeShade="BF"/>
                <w:sz w:val="18"/>
                <w:szCs w:val="18"/>
                <w:lang w:bidi="ar-SA"/>
              </w:rPr>
            </w:pPr>
          </w:p>
        </w:tc>
      </w:tr>
      <w:tr w:rsidR="00944AD5" w:rsidRPr="00EE00DF" w14:paraId="57BF2442" w14:textId="77777777" w:rsidTr="00EE00DF">
        <w:trPr>
          <w:trHeight w:val="1079"/>
        </w:trPr>
        <w:tc>
          <w:tcPr>
            <w:tcW w:w="303" w:type="pct"/>
            <w:tcBorders>
              <w:top w:val="nil"/>
              <w:left w:val="single" w:sz="8" w:space="0" w:color="000000"/>
              <w:bottom w:val="single" w:sz="4" w:space="0" w:color="000000"/>
              <w:right w:val="single" w:sz="4" w:space="0" w:color="000000"/>
            </w:tcBorders>
            <w:shd w:val="clear" w:color="auto" w:fill="auto"/>
            <w:hideMark/>
          </w:tcPr>
          <w:p w14:paraId="57BB64F1"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2</w:t>
            </w:r>
          </w:p>
        </w:tc>
        <w:tc>
          <w:tcPr>
            <w:tcW w:w="892" w:type="pct"/>
            <w:tcBorders>
              <w:top w:val="nil"/>
              <w:left w:val="nil"/>
              <w:bottom w:val="single" w:sz="4" w:space="0" w:color="000000"/>
              <w:right w:val="single" w:sz="4" w:space="0" w:color="000000"/>
            </w:tcBorders>
            <w:shd w:val="clear" w:color="auto" w:fill="auto"/>
            <w:hideMark/>
          </w:tcPr>
          <w:p w14:paraId="4B1C5EDF"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New Transmission</w:t>
            </w:r>
          </w:p>
        </w:tc>
        <w:tc>
          <w:tcPr>
            <w:tcW w:w="1391" w:type="pct"/>
            <w:tcBorders>
              <w:top w:val="nil"/>
              <w:left w:val="nil"/>
              <w:bottom w:val="single" w:sz="4" w:space="0" w:color="000000"/>
              <w:right w:val="single" w:sz="8" w:space="0" w:color="000000"/>
            </w:tcBorders>
            <w:shd w:val="clear" w:color="auto" w:fill="auto"/>
            <w:hideMark/>
          </w:tcPr>
          <w:p w14:paraId="1A706B61"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Based on TO- provided firm plans (via Gold Book 2018 process) and proposed merchant </w:t>
            </w:r>
            <w:proofErr w:type="gramStart"/>
            <w:r w:rsidRPr="00EE00DF">
              <w:rPr>
                <w:rFonts w:asciiTheme="majorHAnsi" w:hAnsiTheme="majorHAnsi" w:cs="Arial"/>
                <w:sz w:val="18"/>
                <w:szCs w:val="18"/>
                <w:lang w:bidi="ar-SA"/>
              </w:rPr>
              <w:t>transmission;  inclusion</w:t>
            </w:r>
            <w:proofErr w:type="gramEnd"/>
            <w:r w:rsidRPr="00EE00DF">
              <w:rPr>
                <w:rFonts w:asciiTheme="majorHAnsi" w:hAnsiTheme="majorHAnsi" w:cs="Arial"/>
                <w:sz w:val="18"/>
                <w:szCs w:val="18"/>
                <w:lang w:bidi="ar-SA"/>
              </w:rPr>
              <w:t xml:space="preserve"> rules applied </w:t>
            </w:r>
            <w:r w:rsidRPr="00EE00DF">
              <w:rPr>
                <w:rFonts w:asciiTheme="majorHAnsi" w:hAnsiTheme="majorHAnsi" w:cs="Arial"/>
                <w:sz w:val="18"/>
                <w:szCs w:val="18"/>
                <w:lang w:bidi="ar-SA"/>
              </w:rPr>
              <w:br/>
            </w:r>
          </w:p>
        </w:tc>
        <w:tc>
          <w:tcPr>
            <w:tcW w:w="1187" w:type="pct"/>
            <w:tcBorders>
              <w:top w:val="nil"/>
              <w:left w:val="nil"/>
              <w:bottom w:val="single" w:sz="4" w:space="0" w:color="000000"/>
              <w:right w:val="single" w:sz="8" w:space="0" w:color="000000"/>
            </w:tcBorders>
          </w:tcPr>
          <w:p w14:paraId="65D41DF6"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r w:rsidRPr="00EE00DF">
              <w:rPr>
                <w:rFonts w:asciiTheme="majorHAnsi" w:hAnsiTheme="majorHAnsi" w:cs="Arial"/>
                <w:sz w:val="18"/>
                <w:szCs w:val="18"/>
                <w:lang w:bidi="ar-SA"/>
              </w:rPr>
              <w:br/>
            </w:r>
          </w:p>
        </w:tc>
        <w:tc>
          <w:tcPr>
            <w:tcW w:w="1228" w:type="pct"/>
            <w:tcBorders>
              <w:top w:val="nil"/>
              <w:left w:val="nil"/>
              <w:bottom w:val="single" w:sz="4" w:space="0" w:color="000000"/>
              <w:right w:val="single" w:sz="8" w:space="0" w:color="000000"/>
            </w:tcBorders>
          </w:tcPr>
          <w:p w14:paraId="158E4947"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0E9DD348" w14:textId="77777777" w:rsidR="00944AD5" w:rsidRPr="00EE00DF" w:rsidRDefault="00944AD5" w:rsidP="00944AD5">
            <w:pPr>
              <w:spacing w:after="0"/>
              <w:ind w:left="0" w:firstLine="0"/>
              <w:rPr>
                <w:rFonts w:asciiTheme="majorHAnsi" w:hAnsiTheme="majorHAnsi" w:cs="Arial"/>
                <w:b/>
                <w:color w:val="365F91" w:themeColor="accent1" w:themeShade="BF"/>
                <w:sz w:val="18"/>
                <w:szCs w:val="18"/>
                <w:lang w:bidi="ar-SA"/>
              </w:rPr>
            </w:pPr>
          </w:p>
        </w:tc>
      </w:tr>
      <w:tr w:rsidR="00944AD5" w:rsidRPr="00EE00DF" w14:paraId="549DCC14" w14:textId="77777777" w:rsidTr="00EE00DF">
        <w:trPr>
          <w:trHeight w:val="1070"/>
        </w:trPr>
        <w:tc>
          <w:tcPr>
            <w:tcW w:w="303" w:type="pct"/>
            <w:tcBorders>
              <w:top w:val="nil"/>
              <w:left w:val="single" w:sz="8" w:space="0" w:color="000000"/>
              <w:bottom w:val="single" w:sz="4" w:space="0" w:color="000000"/>
              <w:right w:val="single" w:sz="4" w:space="0" w:color="000000"/>
            </w:tcBorders>
            <w:shd w:val="clear" w:color="auto" w:fill="auto"/>
            <w:hideMark/>
          </w:tcPr>
          <w:p w14:paraId="5ADECD2B"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3</w:t>
            </w:r>
          </w:p>
        </w:tc>
        <w:tc>
          <w:tcPr>
            <w:tcW w:w="892" w:type="pct"/>
            <w:tcBorders>
              <w:top w:val="nil"/>
              <w:left w:val="nil"/>
              <w:bottom w:val="single" w:sz="4" w:space="0" w:color="000000"/>
              <w:right w:val="single" w:sz="4" w:space="0" w:color="000000"/>
            </w:tcBorders>
            <w:shd w:val="clear" w:color="auto" w:fill="auto"/>
            <w:hideMark/>
          </w:tcPr>
          <w:p w14:paraId="3071D89E"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AC Cable Forced Outage Rates</w:t>
            </w:r>
          </w:p>
        </w:tc>
        <w:tc>
          <w:tcPr>
            <w:tcW w:w="1391" w:type="pct"/>
            <w:tcBorders>
              <w:top w:val="nil"/>
              <w:left w:val="nil"/>
              <w:bottom w:val="single" w:sz="4" w:space="0" w:color="000000"/>
              <w:right w:val="single" w:sz="8" w:space="0" w:color="000000"/>
            </w:tcBorders>
            <w:shd w:val="clear" w:color="auto" w:fill="auto"/>
            <w:hideMark/>
          </w:tcPr>
          <w:p w14:paraId="1A8FF1C1"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All existing cable transition rates updated with data received </w:t>
            </w:r>
            <w:proofErr w:type="gramStart"/>
            <w:r w:rsidRPr="00EE00DF">
              <w:rPr>
                <w:rFonts w:asciiTheme="majorHAnsi" w:hAnsiTheme="majorHAnsi" w:cs="Arial"/>
                <w:sz w:val="18"/>
                <w:szCs w:val="18"/>
                <w:lang w:bidi="ar-SA"/>
              </w:rPr>
              <w:t xml:space="preserve">from  </w:t>
            </w:r>
            <w:proofErr w:type="spellStart"/>
            <w:r w:rsidRPr="00EE00DF">
              <w:rPr>
                <w:rFonts w:asciiTheme="majorHAnsi" w:hAnsiTheme="majorHAnsi" w:cs="Arial"/>
                <w:sz w:val="18"/>
                <w:szCs w:val="18"/>
                <w:lang w:bidi="ar-SA"/>
              </w:rPr>
              <w:t>ConEd</w:t>
            </w:r>
            <w:proofErr w:type="spellEnd"/>
            <w:proofErr w:type="gramEnd"/>
            <w:r w:rsidRPr="00EE00DF">
              <w:rPr>
                <w:rFonts w:asciiTheme="majorHAnsi" w:hAnsiTheme="majorHAnsi" w:cs="Arial"/>
                <w:sz w:val="18"/>
                <w:szCs w:val="18"/>
                <w:lang w:bidi="ar-SA"/>
              </w:rPr>
              <w:t xml:space="preserve"> and PSEG-LIPA to reflect most recent five-year history </w:t>
            </w:r>
          </w:p>
        </w:tc>
        <w:tc>
          <w:tcPr>
            <w:tcW w:w="1187" w:type="pct"/>
            <w:tcBorders>
              <w:top w:val="nil"/>
              <w:left w:val="nil"/>
              <w:bottom w:val="single" w:sz="4" w:space="0" w:color="000000"/>
              <w:right w:val="single" w:sz="8" w:space="0" w:color="000000"/>
            </w:tcBorders>
          </w:tcPr>
          <w:p w14:paraId="1F3A301D"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nil"/>
              <w:left w:val="nil"/>
              <w:bottom w:val="single" w:sz="4" w:space="0" w:color="000000"/>
              <w:right w:val="single" w:sz="8" w:space="0" w:color="000000"/>
            </w:tcBorders>
          </w:tcPr>
          <w:p w14:paraId="16548874"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44037B4B" w14:textId="77777777" w:rsidR="00944AD5" w:rsidRPr="00EE00DF" w:rsidRDefault="00944AD5" w:rsidP="00944AD5">
            <w:pPr>
              <w:spacing w:after="0"/>
              <w:ind w:left="0" w:firstLine="0"/>
              <w:rPr>
                <w:rFonts w:asciiTheme="majorHAnsi" w:hAnsiTheme="majorHAnsi" w:cs="Arial"/>
                <w:b/>
                <w:color w:val="365F91" w:themeColor="accent1" w:themeShade="BF"/>
                <w:sz w:val="18"/>
                <w:szCs w:val="18"/>
                <w:lang w:bidi="ar-SA"/>
              </w:rPr>
            </w:pPr>
          </w:p>
        </w:tc>
      </w:tr>
      <w:tr w:rsidR="00944AD5" w:rsidRPr="00EE00DF" w14:paraId="5AE70373" w14:textId="77777777" w:rsidTr="00EE00DF">
        <w:trPr>
          <w:trHeight w:val="431"/>
        </w:trPr>
        <w:tc>
          <w:tcPr>
            <w:tcW w:w="303" w:type="pct"/>
            <w:tcBorders>
              <w:top w:val="single" w:sz="4" w:space="0" w:color="000000"/>
              <w:left w:val="single" w:sz="8" w:space="0" w:color="000000"/>
              <w:bottom w:val="single" w:sz="8" w:space="0" w:color="000000"/>
              <w:right w:val="single" w:sz="4" w:space="0" w:color="000000"/>
            </w:tcBorders>
            <w:shd w:val="clear" w:color="auto" w:fill="auto"/>
            <w:noWrap/>
            <w:hideMark/>
          </w:tcPr>
          <w:p w14:paraId="44AB0151"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4</w:t>
            </w:r>
          </w:p>
        </w:tc>
        <w:tc>
          <w:tcPr>
            <w:tcW w:w="892" w:type="pct"/>
            <w:tcBorders>
              <w:top w:val="single" w:sz="4" w:space="0" w:color="000000"/>
              <w:left w:val="nil"/>
              <w:bottom w:val="single" w:sz="8" w:space="0" w:color="000000"/>
              <w:right w:val="single" w:sz="4" w:space="0" w:color="000000"/>
            </w:tcBorders>
            <w:shd w:val="clear" w:color="auto" w:fill="auto"/>
            <w:noWrap/>
            <w:hideMark/>
          </w:tcPr>
          <w:p w14:paraId="6F5E6966"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UDR unavailability</w:t>
            </w:r>
          </w:p>
        </w:tc>
        <w:tc>
          <w:tcPr>
            <w:tcW w:w="1391" w:type="pct"/>
            <w:tcBorders>
              <w:top w:val="single" w:sz="4" w:space="0" w:color="000000"/>
              <w:left w:val="nil"/>
              <w:bottom w:val="single" w:sz="8" w:space="0" w:color="000000"/>
              <w:right w:val="single" w:sz="8" w:space="0" w:color="000000"/>
            </w:tcBorders>
            <w:shd w:val="clear" w:color="auto" w:fill="auto"/>
            <w:hideMark/>
          </w:tcPr>
          <w:p w14:paraId="13FE5A41" w14:textId="77777777" w:rsidR="00944AD5" w:rsidRPr="00EE00DF" w:rsidRDefault="00944AD5" w:rsidP="00944AD5">
            <w:pPr>
              <w:autoSpaceDE w:val="0"/>
              <w:autoSpaceDN w:val="0"/>
              <w:adjustRightInd w:val="0"/>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Five-year history of forced outages </w:t>
            </w:r>
          </w:p>
          <w:p w14:paraId="1FD92E2E" w14:textId="77777777" w:rsidR="00944AD5" w:rsidRPr="00EE00DF" w:rsidRDefault="00944AD5" w:rsidP="00944AD5">
            <w:pPr>
              <w:spacing w:after="0"/>
              <w:ind w:left="0" w:firstLine="0"/>
              <w:rPr>
                <w:rFonts w:asciiTheme="majorHAnsi" w:hAnsiTheme="majorHAnsi" w:cs="Arial"/>
                <w:b/>
                <w:bCs/>
                <w:sz w:val="18"/>
                <w:szCs w:val="18"/>
                <w:lang w:bidi="ar-SA"/>
              </w:rPr>
            </w:pPr>
          </w:p>
        </w:tc>
        <w:tc>
          <w:tcPr>
            <w:tcW w:w="1187" w:type="pct"/>
            <w:tcBorders>
              <w:top w:val="single" w:sz="4" w:space="0" w:color="000000"/>
              <w:left w:val="nil"/>
              <w:bottom w:val="single" w:sz="4" w:space="0" w:color="000000"/>
              <w:right w:val="single" w:sz="8" w:space="0" w:color="000000"/>
            </w:tcBorders>
          </w:tcPr>
          <w:p w14:paraId="69CD67E3" w14:textId="77777777" w:rsidR="00944AD5" w:rsidRPr="00EE00DF" w:rsidRDefault="00944AD5" w:rsidP="00944AD5">
            <w:pPr>
              <w:autoSpaceDE w:val="0"/>
              <w:autoSpaceDN w:val="0"/>
              <w:adjustRightInd w:val="0"/>
              <w:spacing w:after="0"/>
              <w:ind w:left="0" w:firstLine="0"/>
              <w:rPr>
                <w:rFonts w:asciiTheme="majorHAnsi" w:hAnsiTheme="majorHAnsi" w:cs="Arial"/>
                <w:sz w:val="18"/>
                <w:szCs w:val="18"/>
                <w:lang w:bidi="ar-SA"/>
              </w:rPr>
            </w:pPr>
            <w:r w:rsidRPr="00EE00DF">
              <w:rPr>
                <w:rFonts w:asciiTheme="majorHAnsi" w:hAnsiTheme="majorHAnsi" w:cs="Arial"/>
                <w:color w:val="000000"/>
                <w:sz w:val="18"/>
                <w:szCs w:val="18"/>
                <w:lang w:bidi="ar-SA"/>
              </w:rPr>
              <w:t>Similar method</w:t>
            </w:r>
            <w:r w:rsidRPr="00EE00DF">
              <w:rPr>
                <w:rFonts w:asciiTheme="majorHAnsi" w:hAnsiTheme="majorHAnsi" w:cs="Arial"/>
                <w:sz w:val="18"/>
                <w:szCs w:val="18"/>
                <w:lang w:bidi="ar-SA"/>
              </w:rPr>
              <w:t xml:space="preserve"> </w:t>
            </w:r>
          </w:p>
          <w:p w14:paraId="08174CC1" w14:textId="77777777" w:rsidR="00944AD5" w:rsidRPr="00EE00DF" w:rsidRDefault="00944AD5" w:rsidP="00944AD5">
            <w:pPr>
              <w:autoSpaceDE w:val="0"/>
              <w:autoSpaceDN w:val="0"/>
              <w:adjustRightInd w:val="0"/>
              <w:spacing w:after="0"/>
              <w:ind w:left="0" w:firstLine="0"/>
              <w:rPr>
                <w:rFonts w:asciiTheme="majorHAnsi" w:hAnsiTheme="majorHAnsi" w:cs="Arial"/>
                <w:color w:val="000000"/>
                <w:sz w:val="18"/>
                <w:szCs w:val="18"/>
                <w:lang w:bidi="ar-SA"/>
              </w:rPr>
            </w:pPr>
          </w:p>
        </w:tc>
        <w:tc>
          <w:tcPr>
            <w:tcW w:w="1228" w:type="pct"/>
            <w:tcBorders>
              <w:top w:val="single" w:sz="4" w:space="0" w:color="000000"/>
              <w:left w:val="nil"/>
              <w:bottom w:val="single" w:sz="4" w:space="0" w:color="000000"/>
              <w:right w:val="single" w:sz="8" w:space="0" w:color="000000"/>
            </w:tcBorders>
          </w:tcPr>
          <w:p w14:paraId="00E84110"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6914B816" w14:textId="77777777" w:rsidR="00944AD5" w:rsidRPr="00EE00DF" w:rsidRDefault="00944AD5" w:rsidP="00944AD5">
            <w:pPr>
              <w:spacing w:after="0"/>
              <w:ind w:left="0" w:firstLine="0"/>
              <w:rPr>
                <w:rFonts w:asciiTheme="majorHAnsi" w:hAnsiTheme="majorHAnsi" w:cs="Arial"/>
                <w:b/>
                <w:color w:val="365F91" w:themeColor="accent1" w:themeShade="BF"/>
                <w:sz w:val="18"/>
                <w:szCs w:val="18"/>
                <w:lang w:bidi="ar-SA"/>
              </w:rPr>
            </w:pPr>
          </w:p>
        </w:tc>
      </w:tr>
      <w:tr w:rsidR="00944AD5" w:rsidRPr="00EE00DF" w14:paraId="5DC01A86" w14:textId="77777777" w:rsidTr="00EE00DF">
        <w:trPr>
          <w:trHeight w:val="440"/>
        </w:trPr>
        <w:tc>
          <w:tcPr>
            <w:tcW w:w="2585" w:type="pct"/>
            <w:gridSpan w:val="3"/>
            <w:tcBorders>
              <w:top w:val="single" w:sz="4" w:space="0" w:color="auto"/>
              <w:left w:val="single" w:sz="4" w:space="0" w:color="auto"/>
              <w:bottom w:val="single" w:sz="4" w:space="0" w:color="auto"/>
            </w:tcBorders>
            <w:shd w:val="clear" w:color="auto" w:fill="F2F2F2" w:themeFill="background1" w:themeFillShade="F2"/>
          </w:tcPr>
          <w:p w14:paraId="6B7C47D0" w14:textId="77777777" w:rsidR="00944AD5" w:rsidRPr="00EE00DF" w:rsidRDefault="00944AD5" w:rsidP="00944AD5">
            <w:pPr>
              <w:spacing w:after="0"/>
              <w:ind w:left="0" w:firstLine="0"/>
              <w:rPr>
                <w:rFonts w:asciiTheme="majorHAnsi" w:hAnsiTheme="majorHAnsi" w:cs="Arial"/>
                <w:b/>
                <w:bCs/>
                <w:sz w:val="18"/>
                <w:szCs w:val="18"/>
                <w:lang w:bidi="ar-SA"/>
              </w:rPr>
            </w:pPr>
            <w:r w:rsidRPr="00EE00DF">
              <w:rPr>
                <w:rFonts w:asciiTheme="majorHAnsi" w:hAnsiTheme="majorHAnsi" w:cs="Arial"/>
                <w:b/>
                <w:bCs/>
                <w:sz w:val="18"/>
                <w:szCs w:val="18"/>
                <w:lang w:bidi="ar-SA"/>
              </w:rPr>
              <w:t>Emergency Operating Procedures</w:t>
            </w:r>
          </w:p>
          <w:p w14:paraId="19DBEC21" w14:textId="77777777" w:rsidR="00944AD5" w:rsidRPr="00EE00DF" w:rsidRDefault="00944AD5" w:rsidP="00944AD5">
            <w:pPr>
              <w:spacing w:after="0"/>
              <w:ind w:left="0" w:firstLine="0"/>
              <w:rPr>
                <w:rFonts w:asciiTheme="majorHAnsi" w:hAnsiTheme="majorHAnsi" w:cs="Arial"/>
                <w:sz w:val="18"/>
                <w:szCs w:val="18"/>
                <w:lang w:bidi="ar-SA"/>
              </w:rPr>
            </w:pPr>
          </w:p>
        </w:tc>
        <w:tc>
          <w:tcPr>
            <w:tcW w:w="1187" w:type="pct"/>
            <w:tcBorders>
              <w:top w:val="single" w:sz="4" w:space="0" w:color="auto"/>
              <w:bottom w:val="single" w:sz="4" w:space="0" w:color="auto"/>
              <w:right w:val="single" w:sz="4" w:space="0" w:color="auto"/>
            </w:tcBorders>
            <w:shd w:val="clear" w:color="auto" w:fill="F2F2F2" w:themeFill="background1" w:themeFillShade="F2"/>
          </w:tcPr>
          <w:p w14:paraId="24FE6151" w14:textId="77777777" w:rsidR="00944AD5" w:rsidRPr="00EE00DF" w:rsidRDefault="00944AD5" w:rsidP="00944AD5">
            <w:pPr>
              <w:spacing w:after="0"/>
              <w:ind w:left="0" w:firstLine="0"/>
              <w:rPr>
                <w:rFonts w:asciiTheme="majorHAnsi" w:hAnsiTheme="majorHAnsi" w:cs="Arial"/>
                <w:sz w:val="18"/>
                <w:szCs w:val="18"/>
                <w:lang w:bidi="ar-SA"/>
              </w:rPr>
            </w:pPr>
          </w:p>
        </w:tc>
        <w:tc>
          <w:tcPr>
            <w:tcW w:w="1228" w:type="pct"/>
            <w:tcBorders>
              <w:top w:val="single" w:sz="4" w:space="0" w:color="auto"/>
              <w:bottom w:val="single" w:sz="4" w:space="0" w:color="auto"/>
              <w:right w:val="single" w:sz="4" w:space="0" w:color="auto"/>
            </w:tcBorders>
            <w:shd w:val="clear" w:color="auto" w:fill="F2F2F2" w:themeFill="background1" w:themeFillShade="F2"/>
          </w:tcPr>
          <w:p w14:paraId="4DE82429"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7C7E1940" w14:textId="77777777" w:rsidTr="00EE00DF">
        <w:trPr>
          <w:trHeight w:val="1610"/>
        </w:trPr>
        <w:tc>
          <w:tcPr>
            <w:tcW w:w="303" w:type="pct"/>
            <w:tcBorders>
              <w:top w:val="nil"/>
              <w:left w:val="single" w:sz="8" w:space="0" w:color="000000"/>
              <w:bottom w:val="single" w:sz="4" w:space="0" w:color="000000"/>
              <w:right w:val="single" w:sz="4" w:space="0" w:color="000000"/>
            </w:tcBorders>
            <w:shd w:val="clear" w:color="auto" w:fill="auto"/>
            <w:hideMark/>
          </w:tcPr>
          <w:p w14:paraId="2DC67A85"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1</w:t>
            </w:r>
          </w:p>
        </w:tc>
        <w:tc>
          <w:tcPr>
            <w:tcW w:w="892" w:type="pct"/>
            <w:tcBorders>
              <w:top w:val="nil"/>
              <w:left w:val="nil"/>
              <w:bottom w:val="single" w:sz="4" w:space="0" w:color="000000"/>
              <w:right w:val="single" w:sz="4" w:space="0" w:color="000000"/>
            </w:tcBorders>
            <w:shd w:val="clear" w:color="auto" w:fill="auto"/>
            <w:hideMark/>
          </w:tcPr>
          <w:p w14:paraId="3257131D"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Special Case Resources</w:t>
            </w:r>
          </w:p>
        </w:tc>
        <w:tc>
          <w:tcPr>
            <w:tcW w:w="1391" w:type="pct"/>
            <w:tcBorders>
              <w:top w:val="nil"/>
              <w:left w:val="nil"/>
              <w:bottom w:val="single" w:sz="4" w:space="0" w:color="000000"/>
              <w:right w:val="single" w:sz="8" w:space="0" w:color="000000"/>
            </w:tcBorders>
            <w:shd w:val="clear" w:color="auto" w:fill="auto"/>
            <w:hideMark/>
          </w:tcPr>
          <w:p w14:paraId="51850E5C"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SCRs sold for the program discounted to historic availability (“effective capacity”). Summer values calculated from the latest available </w:t>
            </w:r>
            <w:r w:rsidRPr="00EE00DF">
              <w:rPr>
                <w:rFonts w:asciiTheme="majorHAnsi" w:hAnsiTheme="majorHAnsi" w:cs="Arial"/>
                <w:bCs/>
                <w:sz w:val="18"/>
                <w:szCs w:val="18"/>
                <w:lang w:bidi="ar-SA"/>
              </w:rPr>
              <w:t>July registrations</w:t>
            </w:r>
            <w:r w:rsidRPr="00EE00DF">
              <w:rPr>
                <w:rFonts w:asciiTheme="majorHAnsi" w:hAnsiTheme="majorHAnsi" w:cs="Arial"/>
                <w:sz w:val="18"/>
                <w:szCs w:val="18"/>
                <w:lang w:bidi="ar-SA"/>
              </w:rPr>
              <w:t xml:space="preserve">, held </w:t>
            </w:r>
            <w:proofErr w:type="gramStart"/>
            <w:r w:rsidRPr="00EE00DF">
              <w:rPr>
                <w:rFonts w:asciiTheme="majorHAnsi" w:hAnsiTheme="majorHAnsi" w:cs="Arial"/>
                <w:sz w:val="18"/>
                <w:szCs w:val="18"/>
                <w:lang w:bidi="ar-SA"/>
              </w:rPr>
              <w:t>constant</w:t>
            </w:r>
            <w:proofErr w:type="gramEnd"/>
            <w:r w:rsidRPr="00EE00DF">
              <w:rPr>
                <w:rFonts w:asciiTheme="majorHAnsi" w:hAnsiTheme="majorHAnsi" w:cs="Arial"/>
                <w:sz w:val="18"/>
                <w:szCs w:val="18"/>
                <w:lang w:bidi="ar-SA"/>
              </w:rPr>
              <w:t xml:space="preserve"> for all years of study. 5 calls/month</w:t>
            </w:r>
          </w:p>
          <w:p w14:paraId="7884BC8E" w14:textId="77777777" w:rsidR="00944AD5" w:rsidRPr="00EE00DF" w:rsidRDefault="00944AD5" w:rsidP="00944AD5">
            <w:pPr>
              <w:keepNext/>
              <w:keepLines/>
              <w:spacing w:after="0"/>
              <w:ind w:left="0" w:firstLine="0"/>
              <w:outlineLvl w:val="1"/>
              <w:rPr>
                <w:rFonts w:asciiTheme="majorHAnsi" w:hAnsiTheme="majorHAnsi" w:cs="Arial"/>
                <w:sz w:val="18"/>
                <w:szCs w:val="18"/>
                <w:lang w:bidi="ar-SA"/>
              </w:rPr>
            </w:pPr>
          </w:p>
        </w:tc>
        <w:tc>
          <w:tcPr>
            <w:tcW w:w="1187" w:type="pct"/>
            <w:tcBorders>
              <w:top w:val="nil"/>
              <w:left w:val="nil"/>
              <w:bottom w:val="single" w:sz="4" w:space="0" w:color="000000"/>
              <w:right w:val="single" w:sz="8" w:space="0" w:color="000000"/>
            </w:tcBorders>
          </w:tcPr>
          <w:p w14:paraId="17428B53"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 but with 15 calls/year</w:t>
            </w:r>
          </w:p>
          <w:p w14:paraId="6EE7ACD1" w14:textId="77777777" w:rsidR="00944AD5" w:rsidRPr="00EE00DF" w:rsidRDefault="00944AD5" w:rsidP="00944AD5">
            <w:pPr>
              <w:spacing w:after="0"/>
              <w:ind w:left="0" w:firstLine="0"/>
              <w:rPr>
                <w:rFonts w:asciiTheme="majorHAnsi" w:hAnsiTheme="majorHAnsi" w:cs="Arial"/>
                <w:sz w:val="18"/>
                <w:szCs w:val="18"/>
                <w:lang w:bidi="ar-SA"/>
              </w:rPr>
            </w:pPr>
          </w:p>
          <w:p w14:paraId="48DDBA92"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 xml:space="preserve">Note: also, combined the two SCR steps (generation and load zonal MW) </w:t>
            </w:r>
          </w:p>
        </w:tc>
        <w:tc>
          <w:tcPr>
            <w:tcW w:w="1228" w:type="pct"/>
            <w:tcBorders>
              <w:top w:val="nil"/>
              <w:left w:val="nil"/>
              <w:bottom w:val="single" w:sz="4" w:space="0" w:color="000000"/>
              <w:right w:val="single" w:sz="8" w:space="0" w:color="000000"/>
            </w:tcBorders>
          </w:tcPr>
          <w:p w14:paraId="7D4B5B90"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4F048C10" w14:textId="77777777" w:rsidR="00944AD5" w:rsidRPr="00EE00DF" w:rsidRDefault="00944AD5" w:rsidP="00944AD5">
            <w:pPr>
              <w:spacing w:after="0"/>
              <w:ind w:left="0" w:firstLine="0"/>
              <w:rPr>
                <w:rFonts w:asciiTheme="majorHAnsi" w:hAnsiTheme="majorHAnsi" w:cs="Arial"/>
                <w:b/>
                <w:color w:val="365F91" w:themeColor="accent1" w:themeShade="BF"/>
                <w:sz w:val="18"/>
                <w:szCs w:val="18"/>
                <w:lang w:bidi="ar-SA"/>
              </w:rPr>
            </w:pPr>
          </w:p>
        </w:tc>
      </w:tr>
      <w:tr w:rsidR="00944AD5" w:rsidRPr="00EE00DF" w14:paraId="52DD9153" w14:textId="77777777" w:rsidTr="00EE00DF">
        <w:trPr>
          <w:trHeight w:val="845"/>
        </w:trPr>
        <w:tc>
          <w:tcPr>
            <w:tcW w:w="303" w:type="pct"/>
            <w:tcBorders>
              <w:top w:val="nil"/>
              <w:left w:val="single" w:sz="8" w:space="0" w:color="000000"/>
              <w:bottom w:val="single" w:sz="4" w:space="0" w:color="000000"/>
              <w:right w:val="single" w:sz="4" w:space="0" w:color="000000"/>
            </w:tcBorders>
            <w:shd w:val="clear" w:color="auto" w:fill="auto"/>
            <w:hideMark/>
          </w:tcPr>
          <w:p w14:paraId="0C9BAB7B"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2</w:t>
            </w:r>
          </w:p>
        </w:tc>
        <w:tc>
          <w:tcPr>
            <w:tcW w:w="892" w:type="pct"/>
            <w:tcBorders>
              <w:top w:val="nil"/>
              <w:left w:val="nil"/>
              <w:bottom w:val="single" w:sz="4" w:space="0" w:color="000000"/>
              <w:right w:val="single" w:sz="4" w:space="0" w:color="000000"/>
            </w:tcBorders>
            <w:shd w:val="clear" w:color="auto" w:fill="auto"/>
            <w:hideMark/>
          </w:tcPr>
          <w:p w14:paraId="4B0E51A5"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EDRP Resources</w:t>
            </w:r>
          </w:p>
        </w:tc>
        <w:tc>
          <w:tcPr>
            <w:tcW w:w="1391" w:type="pct"/>
            <w:tcBorders>
              <w:top w:val="nil"/>
              <w:left w:val="nil"/>
              <w:bottom w:val="single" w:sz="4" w:space="0" w:color="000000"/>
              <w:right w:val="single" w:sz="8" w:space="0" w:color="000000"/>
            </w:tcBorders>
            <w:shd w:val="clear" w:color="auto" w:fill="auto"/>
            <w:hideMark/>
          </w:tcPr>
          <w:p w14:paraId="7F5EF71C" w14:textId="77777777" w:rsidR="00944AD5" w:rsidRPr="00EE00DF" w:rsidRDefault="00944AD5" w:rsidP="00944AD5">
            <w:pPr>
              <w:spacing w:after="0"/>
              <w:ind w:left="0" w:firstLine="0"/>
              <w:rPr>
                <w:rFonts w:asciiTheme="majorHAnsi" w:hAnsiTheme="majorHAnsi" w:cs="Arial"/>
                <w:color w:val="FF0000"/>
                <w:sz w:val="18"/>
                <w:szCs w:val="18"/>
                <w:lang w:bidi="ar-SA"/>
              </w:rPr>
            </w:pPr>
            <w:r w:rsidRPr="00EE00DF">
              <w:rPr>
                <w:rFonts w:asciiTheme="majorHAnsi" w:hAnsiTheme="majorHAnsi" w:cs="Arial"/>
                <w:sz w:val="18"/>
                <w:szCs w:val="18"/>
                <w:lang w:bidi="ar-SA"/>
              </w:rPr>
              <w:t xml:space="preserve">2018 Gold Book with </w:t>
            </w:r>
            <w:r w:rsidRPr="00EE00DF">
              <w:rPr>
                <w:rFonts w:asciiTheme="majorHAnsi" w:hAnsiTheme="majorHAnsi" w:cs="Arial"/>
                <w:bCs/>
                <w:sz w:val="18"/>
                <w:szCs w:val="18"/>
                <w:lang w:bidi="ar-SA"/>
              </w:rPr>
              <w:t>effective capacity modeled.</w:t>
            </w:r>
            <w:r w:rsidRPr="00EE00DF">
              <w:rPr>
                <w:rFonts w:asciiTheme="majorHAnsi" w:hAnsiTheme="majorHAnsi" w:cs="Arial"/>
                <w:sz w:val="18"/>
                <w:szCs w:val="18"/>
                <w:lang w:bidi="ar-SA"/>
              </w:rPr>
              <w:t xml:space="preserve"> </w:t>
            </w:r>
            <w:r w:rsidRPr="00EE00DF">
              <w:rPr>
                <w:rFonts w:asciiTheme="majorHAnsi" w:hAnsiTheme="majorHAnsi" w:cs="Arial"/>
                <w:sz w:val="18"/>
                <w:szCs w:val="18"/>
                <w:lang w:bidi="ar-SA"/>
              </w:rPr>
              <w:br/>
            </w:r>
            <w:r w:rsidRPr="00EE00DF">
              <w:rPr>
                <w:rFonts w:asciiTheme="majorHAnsi" w:hAnsiTheme="majorHAnsi" w:cs="Arial"/>
                <w:sz w:val="18"/>
                <w:szCs w:val="18"/>
                <w:lang w:bidi="ar-SA"/>
              </w:rPr>
              <w:br/>
              <w:t xml:space="preserve">Resources sold for the program and </w:t>
            </w:r>
            <w:r w:rsidRPr="00EE00DF">
              <w:rPr>
                <w:rFonts w:asciiTheme="majorHAnsi" w:hAnsiTheme="majorHAnsi" w:cs="Arial"/>
                <w:bCs/>
                <w:sz w:val="18"/>
                <w:szCs w:val="18"/>
                <w:lang w:bidi="ar-SA"/>
              </w:rPr>
              <w:t>discounted to historic availabilit</w:t>
            </w:r>
            <w:r w:rsidRPr="00EE00DF">
              <w:rPr>
                <w:rFonts w:asciiTheme="majorHAnsi" w:hAnsiTheme="majorHAnsi" w:cs="Arial"/>
                <w:sz w:val="18"/>
                <w:szCs w:val="18"/>
                <w:lang w:bidi="ar-SA"/>
              </w:rPr>
              <w:t>y.  Summer values calculated from</w:t>
            </w:r>
            <w:r w:rsidRPr="00EE00DF">
              <w:rPr>
                <w:rFonts w:asciiTheme="majorHAnsi" w:hAnsiTheme="majorHAnsi" w:cs="Arial"/>
                <w:bCs/>
                <w:sz w:val="18"/>
                <w:szCs w:val="18"/>
                <w:lang w:bidi="ar-SA"/>
              </w:rPr>
              <w:t xml:space="preserve"> July 2018 registrations </w:t>
            </w:r>
            <w:r w:rsidRPr="00EE00DF">
              <w:rPr>
                <w:rFonts w:asciiTheme="majorHAnsi" w:hAnsiTheme="majorHAnsi" w:cs="Arial"/>
                <w:sz w:val="18"/>
                <w:szCs w:val="18"/>
                <w:lang w:bidi="ar-SA"/>
              </w:rPr>
              <w:t xml:space="preserve">and forecast growth. Values held </w:t>
            </w:r>
            <w:proofErr w:type="gramStart"/>
            <w:r w:rsidRPr="00EE00DF">
              <w:rPr>
                <w:rFonts w:asciiTheme="majorHAnsi" w:hAnsiTheme="majorHAnsi" w:cs="Arial"/>
                <w:sz w:val="18"/>
                <w:szCs w:val="18"/>
                <w:lang w:bidi="ar-SA"/>
              </w:rPr>
              <w:t>constant</w:t>
            </w:r>
            <w:proofErr w:type="gramEnd"/>
            <w:r w:rsidRPr="00EE00DF">
              <w:rPr>
                <w:rFonts w:asciiTheme="majorHAnsi" w:hAnsiTheme="majorHAnsi" w:cs="Arial"/>
                <w:sz w:val="18"/>
                <w:szCs w:val="18"/>
                <w:lang w:bidi="ar-SA"/>
              </w:rPr>
              <w:t xml:space="preserve"> for all years of study.</w:t>
            </w:r>
          </w:p>
          <w:p w14:paraId="793AFB02" w14:textId="77777777" w:rsidR="00944AD5" w:rsidRPr="00EE00DF" w:rsidRDefault="00944AD5" w:rsidP="00944AD5">
            <w:pPr>
              <w:spacing w:after="0"/>
              <w:ind w:left="0" w:firstLine="0"/>
              <w:rPr>
                <w:rFonts w:asciiTheme="majorHAnsi" w:hAnsiTheme="majorHAnsi" w:cs="Arial"/>
                <w:sz w:val="18"/>
                <w:szCs w:val="18"/>
                <w:lang w:bidi="ar-SA"/>
              </w:rPr>
            </w:pPr>
          </w:p>
        </w:tc>
        <w:tc>
          <w:tcPr>
            <w:tcW w:w="1187" w:type="pct"/>
            <w:tcBorders>
              <w:top w:val="nil"/>
              <w:left w:val="single" w:sz="4" w:space="0" w:color="000000"/>
              <w:bottom w:val="single" w:sz="4" w:space="0" w:color="000000"/>
              <w:right w:val="single" w:sz="8" w:space="0" w:color="000000"/>
            </w:tcBorders>
          </w:tcPr>
          <w:p w14:paraId="66BC7615"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Not modeled: the values are less than 2 MW.</w:t>
            </w:r>
          </w:p>
        </w:tc>
        <w:tc>
          <w:tcPr>
            <w:tcW w:w="1228" w:type="pct"/>
            <w:tcBorders>
              <w:top w:val="nil"/>
              <w:left w:val="single" w:sz="4" w:space="0" w:color="000000"/>
              <w:bottom w:val="single" w:sz="4" w:space="0" w:color="000000"/>
              <w:right w:val="single" w:sz="8" w:space="0" w:color="000000"/>
            </w:tcBorders>
          </w:tcPr>
          <w:p w14:paraId="670AF54B"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2A712D24" w14:textId="77777777" w:rsidR="00944AD5" w:rsidRPr="00EE00DF" w:rsidRDefault="00944AD5" w:rsidP="00944AD5">
            <w:pPr>
              <w:spacing w:after="0"/>
              <w:ind w:left="0" w:firstLine="0"/>
              <w:rPr>
                <w:rFonts w:asciiTheme="majorHAnsi" w:hAnsiTheme="majorHAnsi" w:cs="Arial"/>
                <w:b/>
                <w:color w:val="365F91" w:themeColor="accent1" w:themeShade="BF"/>
                <w:sz w:val="18"/>
                <w:szCs w:val="18"/>
                <w:lang w:bidi="ar-SA"/>
              </w:rPr>
            </w:pPr>
          </w:p>
        </w:tc>
      </w:tr>
      <w:tr w:rsidR="00944AD5" w:rsidRPr="00EE00DF" w14:paraId="531BB773" w14:textId="77777777" w:rsidTr="00EE00DF">
        <w:trPr>
          <w:trHeight w:val="683"/>
        </w:trPr>
        <w:tc>
          <w:tcPr>
            <w:tcW w:w="303" w:type="pct"/>
            <w:tcBorders>
              <w:top w:val="nil"/>
              <w:left w:val="single" w:sz="8" w:space="0" w:color="000000"/>
              <w:bottom w:val="single" w:sz="4" w:space="0" w:color="000000"/>
              <w:right w:val="single" w:sz="4" w:space="0" w:color="000000"/>
            </w:tcBorders>
            <w:shd w:val="clear" w:color="auto" w:fill="auto"/>
            <w:hideMark/>
          </w:tcPr>
          <w:p w14:paraId="191CEF6D"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3</w:t>
            </w:r>
          </w:p>
        </w:tc>
        <w:tc>
          <w:tcPr>
            <w:tcW w:w="892" w:type="pct"/>
            <w:tcBorders>
              <w:top w:val="nil"/>
              <w:left w:val="nil"/>
              <w:bottom w:val="single" w:sz="4" w:space="0" w:color="000000"/>
              <w:right w:val="single" w:sz="4" w:space="0" w:color="000000"/>
            </w:tcBorders>
            <w:shd w:val="clear" w:color="auto" w:fill="auto"/>
            <w:hideMark/>
          </w:tcPr>
          <w:p w14:paraId="0619ED03"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Other EOPs</w:t>
            </w:r>
            <w:r w:rsidRPr="00EE00DF">
              <w:rPr>
                <w:rFonts w:asciiTheme="majorHAnsi" w:hAnsiTheme="majorHAnsi" w:cs="Arial"/>
                <w:sz w:val="18"/>
                <w:szCs w:val="18"/>
                <w:lang w:bidi="ar-SA"/>
              </w:rPr>
              <w:br/>
            </w:r>
          </w:p>
        </w:tc>
        <w:tc>
          <w:tcPr>
            <w:tcW w:w="1391" w:type="pct"/>
            <w:tcBorders>
              <w:top w:val="nil"/>
              <w:left w:val="nil"/>
              <w:bottom w:val="single" w:sz="4" w:space="0" w:color="000000"/>
              <w:right w:val="single" w:sz="8" w:space="0" w:color="000000"/>
            </w:tcBorders>
            <w:shd w:val="clear" w:color="auto" w:fill="auto"/>
            <w:hideMark/>
          </w:tcPr>
          <w:p w14:paraId="2BA63959"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Based on TO information, measured data, and NYISO forecasts</w:t>
            </w:r>
          </w:p>
        </w:tc>
        <w:tc>
          <w:tcPr>
            <w:tcW w:w="1187" w:type="pct"/>
            <w:tcBorders>
              <w:top w:val="nil"/>
              <w:left w:val="single" w:sz="4" w:space="0" w:color="000000"/>
              <w:bottom w:val="single" w:sz="4" w:space="0" w:color="000000"/>
              <w:right w:val="single" w:sz="8" w:space="0" w:color="000000"/>
            </w:tcBorders>
          </w:tcPr>
          <w:p w14:paraId="22F2DA15"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nil"/>
              <w:left w:val="single" w:sz="4" w:space="0" w:color="000000"/>
              <w:bottom w:val="single" w:sz="4" w:space="0" w:color="000000"/>
              <w:right w:val="single" w:sz="8" w:space="0" w:color="000000"/>
            </w:tcBorders>
          </w:tcPr>
          <w:p w14:paraId="59A52DCC"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30DAC09B" w14:textId="77777777" w:rsidR="00944AD5" w:rsidRPr="00EE00DF" w:rsidRDefault="00944AD5" w:rsidP="00944AD5">
            <w:pPr>
              <w:spacing w:after="0"/>
              <w:ind w:left="0" w:firstLine="0"/>
              <w:rPr>
                <w:rFonts w:asciiTheme="majorHAnsi" w:hAnsiTheme="majorHAnsi" w:cs="Arial"/>
                <w:b/>
                <w:color w:val="365F91" w:themeColor="accent1" w:themeShade="BF"/>
                <w:sz w:val="18"/>
                <w:szCs w:val="18"/>
                <w:lang w:bidi="ar-SA"/>
              </w:rPr>
            </w:pPr>
          </w:p>
        </w:tc>
      </w:tr>
      <w:tr w:rsidR="00944AD5" w:rsidRPr="00EE00DF" w14:paraId="44C12B04" w14:textId="77777777" w:rsidTr="00EE00DF">
        <w:trPr>
          <w:trHeight w:val="440"/>
        </w:trPr>
        <w:tc>
          <w:tcPr>
            <w:tcW w:w="2585" w:type="pct"/>
            <w:gridSpan w:val="3"/>
            <w:tcBorders>
              <w:top w:val="single" w:sz="4" w:space="0" w:color="auto"/>
              <w:left w:val="single" w:sz="4" w:space="0" w:color="auto"/>
              <w:bottom w:val="single" w:sz="4" w:space="0" w:color="auto"/>
            </w:tcBorders>
            <w:shd w:val="clear" w:color="auto" w:fill="F2F2F2" w:themeFill="background1" w:themeFillShade="F2"/>
          </w:tcPr>
          <w:p w14:paraId="69599902" w14:textId="77777777" w:rsidR="00944AD5" w:rsidRPr="00EE00DF" w:rsidRDefault="00944AD5" w:rsidP="00944AD5">
            <w:pPr>
              <w:spacing w:after="0"/>
              <w:ind w:left="0" w:firstLine="0"/>
              <w:rPr>
                <w:rFonts w:asciiTheme="majorHAnsi" w:hAnsiTheme="majorHAnsi" w:cs="Arial"/>
                <w:b/>
                <w:bCs/>
                <w:sz w:val="18"/>
                <w:szCs w:val="18"/>
                <w:lang w:bidi="ar-SA"/>
              </w:rPr>
            </w:pPr>
            <w:r w:rsidRPr="00EE00DF">
              <w:rPr>
                <w:rFonts w:asciiTheme="majorHAnsi" w:hAnsiTheme="majorHAnsi" w:cs="Arial"/>
                <w:b/>
                <w:bCs/>
                <w:sz w:val="18"/>
                <w:szCs w:val="18"/>
                <w:lang w:bidi="ar-SA"/>
              </w:rPr>
              <w:t>External Control Areas</w:t>
            </w:r>
          </w:p>
          <w:p w14:paraId="2D4FC096" w14:textId="77777777" w:rsidR="00944AD5" w:rsidRPr="00EE00DF" w:rsidRDefault="00944AD5" w:rsidP="00944AD5">
            <w:pPr>
              <w:spacing w:after="0"/>
              <w:ind w:left="0" w:firstLine="0"/>
              <w:rPr>
                <w:rFonts w:asciiTheme="majorHAnsi" w:hAnsiTheme="majorHAnsi" w:cs="Arial"/>
                <w:sz w:val="18"/>
                <w:szCs w:val="18"/>
                <w:lang w:bidi="ar-SA"/>
              </w:rPr>
            </w:pPr>
          </w:p>
        </w:tc>
        <w:tc>
          <w:tcPr>
            <w:tcW w:w="1187" w:type="pct"/>
            <w:tcBorders>
              <w:top w:val="single" w:sz="4" w:space="0" w:color="auto"/>
              <w:bottom w:val="single" w:sz="4" w:space="0" w:color="auto"/>
              <w:right w:val="single" w:sz="4" w:space="0" w:color="auto"/>
            </w:tcBorders>
            <w:shd w:val="clear" w:color="auto" w:fill="F2F2F2" w:themeFill="background1" w:themeFillShade="F2"/>
          </w:tcPr>
          <w:p w14:paraId="679C12AE" w14:textId="77777777" w:rsidR="00944AD5" w:rsidRPr="00EE00DF" w:rsidRDefault="00944AD5" w:rsidP="00944AD5">
            <w:pPr>
              <w:spacing w:after="0"/>
              <w:ind w:left="0" w:firstLine="0"/>
              <w:rPr>
                <w:rFonts w:asciiTheme="majorHAnsi" w:hAnsiTheme="majorHAnsi" w:cs="Arial"/>
                <w:sz w:val="18"/>
                <w:szCs w:val="18"/>
                <w:lang w:bidi="ar-SA"/>
              </w:rPr>
            </w:pPr>
          </w:p>
        </w:tc>
        <w:tc>
          <w:tcPr>
            <w:tcW w:w="1228" w:type="pct"/>
            <w:tcBorders>
              <w:top w:val="single" w:sz="4" w:space="0" w:color="auto"/>
              <w:bottom w:val="single" w:sz="4" w:space="0" w:color="auto"/>
              <w:right w:val="single" w:sz="4" w:space="0" w:color="auto"/>
            </w:tcBorders>
            <w:shd w:val="clear" w:color="auto" w:fill="F2F2F2" w:themeFill="background1" w:themeFillShade="F2"/>
          </w:tcPr>
          <w:p w14:paraId="69859565"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7A02AA90" w14:textId="77777777" w:rsidTr="00EE00DF">
        <w:trPr>
          <w:trHeight w:val="1853"/>
        </w:trPr>
        <w:tc>
          <w:tcPr>
            <w:tcW w:w="303" w:type="pct"/>
            <w:tcBorders>
              <w:top w:val="nil"/>
              <w:left w:val="single" w:sz="8" w:space="0" w:color="000000"/>
              <w:bottom w:val="single" w:sz="4" w:space="0" w:color="000000"/>
              <w:right w:val="single" w:sz="4" w:space="0" w:color="000000"/>
            </w:tcBorders>
            <w:shd w:val="clear" w:color="auto" w:fill="auto"/>
            <w:hideMark/>
          </w:tcPr>
          <w:p w14:paraId="419C24CD"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lastRenderedPageBreak/>
              <w:t>1</w:t>
            </w:r>
          </w:p>
        </w:tc>
        <w:tc>
          <w:tcPr>
            <w:tcW w:w="892" w:type="pct"/>
            <w:tcBorders>
              <w:top w:val="nil"/>
              <w:left w:val="nil"/>
              <w:bottom w:val="single" w:sz="4" w:space="0" w:color="000000"/>
              <w:right w:val="single" w:sz="4" w:space="0" w:color="000000"/>
            </w:tcBorders>
            <w:shd w:val="clear" w:color="auto" w:fill="auto"/>
            <w:hideMark/>
          </w:tcPr>
          <w:p w14:paraId="1E3C98FA"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PJM</w:t>
            </w:r>
          </w:p>
        </w:tc>
        <w:tc>
          <w:tcPr>
            <w:tcW w:w="1391" w:type="pct"/>
            <w:tcBorders>
              <w:top w:val="nil"/>
              <w:left w:val="nil"/>
              <w:bottom w:val="single" w:sz="4" w:space="0" w:color="000000"/>
              <w:right w:val="single" w:sz="8" w:space="0" w:color="000000"/>
            </w:tcBorders>
            <w:shd w:val="clear" w:color="auto" w:fill="auto"/>
            <w:hideMark/>
          </w:tcPr>
          <w:p w14:paraId="15C573C2"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As per RNA Procedure</w:t>
            </w:r>
            <w:r w:rsidRPr="00EE00DF">
              <w:rPr>
                <w:rFonts w:asciiTheme="majorHAnsi" w:hAnsiTheme="majorHAnsi" w:cs="Arial"/>
                <w:sz w:val="18"/>
                <w:szCs w:val="18"/>
                <w:lang w:bidi="ar-SA"/>
              </w:rPr>
              <w:br/>
              <w:t xml:space="preserve">External model (load, capacity, topology) provided by PJM/NPCC </w:t>
            </w:r>
            <w:r w:rsidRPr="00EE00DF">
              <w:rPr>
                <w:rFonts w:asciiTheme="majorHAnsi" w:hAnsiTheme="majorHAnsi" w:cs="Arial"/>
                <w:bCs/>
                <w:sz w:val="18"/>
                <w:szCs w:val="18"/>
                <w:lang w:bidi="ar-SA"/>
              </w:rPr>
              <w:t>CP-8 WG</w:t>
            </w:r>
            <w:r w:rsidRPr="00EE00DF">
              <w:rPr>
                <w:rFonts w:asciiTheme="majorHAnsi" w:hAnsiTheme="majorHAnsi" w:cs="Arial"/>
                <w:sz w:val="18"/>
                <w:szCs w:val="18"/>
                <w:lang w:bidi="ar-SA"/>
              </w:rPr>
              <w:t xml:space="preserve">. PJM is a 5-zone model. </w:t>
            </w:r>
            <w:r w:rsidRPr="00EE00DF">
              <w:rPr>
                <w:rFonts w:asciiTheme="majorHAnsi" w:hAnsiTheme="majorHAnsi" w:cs="Arial"/>
                <w:bCs/>
                <w:sz w:val="18"/>
                <w:szCs w:val="18"/>
                <w:lang w:bidi="ar-SA"/>
              </w:rPr>
              <w:t>LOLE of pool adjusted to be between 0.10 and 0.15</w:t>
            </w:r>
            <w:r w:rsidRPr="00EE00DF">
              <w:rPr>
                <w:rFonts w:asciiTheme="majorHAnsi" w:hAnsiTheme="majorHAnsi" w:cs="Arial"/>
                <w:sz w:val="18"/>
                <w:szCs w:val="18"/>
                <w:lang w:bidi="ar-SA"/>
              </w:rPr>
              <w:t xml:space="preserve"> days per year by adjusting capacity pro-rata in all areas.</w:t>
            </w:r>
          </w:p>
        </w:tc>
        <w:tc>
          <w:tcPr>
            <w:tcW w:w="1187" w:type="pct"/>
            <w:tcBorders>
              <w:top w:val="nil"/>
              <w:left w:val="single" w:sz="4" w:space="0" w:color="000000"/>
              <w:bottom w:val="single" w:sz="4" w:space="0" w:color="000000"/>
              <w:right w:val="single" w:sz="8" w:space="0" w:color="000000"/>
            </w:tcBorders>
          </w:tcPr>
          <w:p w14:paraId="52F69126" w14:textId="77777777" w:rsidR="00944AD5" w:rsidRPr="00EE00DF" w:rsidRDefault="00944AD5" w:rsidP="00944AD5">
            <w:pPr>
              <w:spacing w:after="0"/>
              <w:ind w:left="0" w:firstLine="0"/>
              <w:rPr>
                <w:rFonts w:asciiTheme="majorHAnsi" w:hAnsiTheme="majorHAnsi" w:cs="Arial"/>
                <w:b/>
                <w:sz w:val="18"/>
                <w:szCs w:val="18"/>
                <w:lang w:bidi="ar-SA"/>
              </w:rPr>
            </w:pPr>
            <w:r w:rsidRPr="00EE00DF">
              <w:rPr>
                <w:rFonts w:asciiTheme="majorHAnsi" w:hAnsiTheme="majorHAnsi" w:cs="Arial"/>
                <w:b/>
                <w:sz w:val="18"/>
                <w:szCs w:val="18"/>
                <w:lang w:bidi="ar-SA"/>
              </w:rPr>
              <w:t>New model:</w:t>
            </w:r>
          </w:p>
          <w:p w14:paraId="582B3712" w14:textId="77777777" w:rsidR="00944AD5" w:rsidRPr="00EE00DF" w:rsidRDefault="0008271B" w:rsidP="00944AD5">
            <w:pPr>
              <w:spacing w:after="0"/>
              <w:ind w:left="0" w:firstLine="0"/>
              <w:rPr>
                <w:rFonts w:asciiTheme="majorHAnsi" w:hAnsiTheme="majorHAnsi" w:cs="Arial"/>
                <w:sz w:val="18"/>
                <w:szCs w:val="18"/>
                <w:lang w:bidi="ar-SA"/>
              </w:rPr>
            </w:pPr>
            <w:hyperlink r:id="rId104" w:history="1">
              <w:r w:rsidR="00944AD5" w:rsidRPr="00EE00DF">
                <w:rPr>
                  <w:rFonts w:asciiTheme="majorHAnsi" w:hAnsiTheme="majorHAnsi" w:cs="Arial"/>
                  <w:color w:val="0563C1"/>
                  <w:sz w:val="18"/>
                  <w:szCs w:val="18"/>
                  <w:u w:val="single"/>
                  <w:lang w:bidi="ar-SA"/>
                </w:rPr>
                <w:t xml:space="preserve">Simplified </w:t>
              </w:r>
            </w:hyperlink>
            <w:r w:rsidR="00944AD5" w:rsidRPr="00EE00DF">
              <w:rPr>
                <w:rFonts w:asciiTheme="majorHAnsi" w:hAnsiTheme="majorHAnsi" w:cs="Arial"/>
                <w:sz w:val="18"/>
                <w:szCs w:val="18"/>
                <w:lang w:bidi="ar-SA"/>
              </w:rPr>
              <w:t>model: The 5 PJM MARS areas (bubbles) were consolidated into one</w:t>
            </w:r>
          </w:p>
        </w:tc>
        <w:tc>
          <w:tcPr>
            <w:tcW w:w="1228" w:type="pct"/>
            <w:tcBorders>
              <w:top w:val="nil"/>
              <w:left w:val="single" w:sz="4" w:space="0" w:color="000000"/>
              <w:bottom w:val="single" w:sz="4" w:space="0" w:color="000000"/>
              <w:right w:val="single" w:sz="8" w:space="0" w:color="000000"/>
            </w:tcBorders>
          </w:tcPr>
          <w:p w14:paraId="0CEC8655"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68EA27B8" w14:textId="77777777" w:rsidR="00944AD5" w:rsidRPr="00EE00DF" w:rsidRDefault="00944AD5" w:rsidP="00944AD5">
            <w:pPr>
              <w:spacing w:after="0"/>
              <w:ind w:left="0" w:firstLine="0"/>
              <w:rPr>
                <w:rFonts w:asciiTheme="majorHAnsi" w:hAnsiTheme="majorHAnsi" w:cs="Arial"/>
                <w:b/>
                <w:color w:val="365F91" w:themeColor="accent1" w:themeShade="BF"/>
                <w:sz w:val="18"/>
                <w:szCs w:val="18"/>
                <w:lang w:bidi="ar-SA"/>
              </w:rPr>
            </w:pPr>
          </w:p>
        </w:tc>
      </w:tr>
      <w:tr w:rsidR="00944AD5" w:rsidRPr="00EE00DF" w14:paraId="381A86D8" w14:textId="77777777" w:rsidTr="00EE00DF">
        <w:trPr>
          <w:trHeight w:val="1781"/>
        </w:trPr>
        <w:tc>
          <w:tcPr>
            <w:tcW w:w="303" w:type="pct"/>
            <w:tcBorders>
              <w:top w:val="nil"/>
              <w:left w:val="single" w:sz="8" w:space="0" w:color="000000"/>
              <w:bottom w:val="single" w:sz="4" w:space="0" w:color="000000"/>
              <w:right w:val="single" w:sz="4" w:space="0" w:color="000000"/>
            </w:tcBorders>
            <w:shd w:val="clear" w:color="auto" w:fill="auto"/>
            <w:hideMark/>
          </w:tcPr>
          <w:p w14:paraId="535645A8"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2</w:t>
            </w:r>
          </w:p>
        </w:tc>
        <w:tc>
          <w:tcPr>
            <w:tcW w:w="892" w:type="pct"/>
            <w:tcBorders>
              <w:top w:val="nil"/>
              <w:left w:val="nil"/>
              <w:bottom w:val="single" w:sz="4" w:space="0" w:color="000000"/>
              <w:right w:val="single" w:sz="4" w:space="0" w:color="000000"/>
            </w:tcBorders>
            <w:shd w:val="clear" w:color="auto" w:fill="auto"/>
            <w:hideMark/>
          </w:tcPr>
          <w:p w14:paraId="2FBB14E0"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ISONE</w:t>
            </w:r>
          </w:p>
        </w:tc>
        <w:tc>
          <w:tcPr>
            <w:tcW w:w="1391" w:type="pct"/>
            <w:tcBorders>
              <w:top w:val="nil"/>
              <w:left w:val="nil"/>
              <w:bottom w:val="single" w:sz="4" w:space="0" w:color="000000"/>
              <w:right w:val="single" w:sz="8" w:space="0" w:color="000000"/>
            </w:tcBorders>
            <w:shd w:val="clear" w:color="auto" w:fill="auto"/>
            <w:hideMark/>
          </w:tcPr>
          <w:p w14:paraId="371C9CDC"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As per RNA Procedure</w:t>
            </w:r>
            <w:r w:rsidRPr="00EE00DF">
              <w:rPr>
                <w:rFonts w:asciiTheme="majorHAnsi" w:hAnsiTheme="majorHAnsi" w:cs="Arial"/>
                <w:sz w:val="18"/>
                <w:szCs w:val="18"/>
                <w:lang w:bidi="ar-SA"/>
              </w:rPr>
              <w:br/>
              <w:t>External model (load, capacity, topology) provided by PJM/NPCC CP-8 WG. LOLE of pool adjusted to be between 0.10 and 0.15 days per year by adjusting capacity pro-rata in all areas.</w:t>
            </w:r>
          </w:p>
        </w:tc>
        <w:tc>
          <w:tcPr>
            <w:tcW w:w="1187" w:type="pct"/>
            <w:tcBorders>
              <w:top w:val="nil"/>
              <w:left w:val="single" w:sz="4" w:space="0" w:color="000000"/>
              <w:bottom w:val="single" w:sz="4" w:space="0" w:color="000000"/>
              <w:right w:val="single" w:sz="8" w:space="0" w:color="000000"/>
            </w:tcBorders>
          </w:tcPr>
          <w:p w14:paraId="5FBA6256" w14:textId="77777777" w:rsidR="00944AD5" w:rsidRPr="00EE00DF" w:rsidRDefault="00944AD5" w:rsidP="00944AD5">
            <w:pPr>
              <w:spacing w:after="0"/>
              <w:ind w:left="0" w:firstLine="0"/>
              <w:rPr>
                <w:rFonts w:asciiTheme="majorHAnsi" w:hAnsiTheme="majorHAnsi" w:cs="Arial"/>
                <w:b/>
                <w:sz w:val="18"/>
                <w:szCs w:val="18"/>
                <w:lang w:bidi="ar-SA"/>
              </w:rPr>
            </w:pPr>
            <w:r w:rsidRPr="00EE00DF">
              <w:rPr>
                <w:rFonts w:asciiTheme="majorHAnsi" w:hAnsiTheme="majorHAnsi" w:cs="Arial"/>
                <w:b/>
                <w:sz w:val="18"/>
                <w:szCs w:val="18"/>
                <w:lang w:bidi="ar-SA"/>
              </w:rPr>
              <w:t>New model:</w:t>
            </w:r>
          </w:p>
          <w:p w14:paraId="0C5B62D9" w14:textId="77777777" w:rsidR="00944AD5" w:rsidRPr="00EE00DF" w:rsidRDefault="0008271B" w:rsidP="00944AD5">
            <w:pPr>
              <w:spacing w:after="0"/>
              <w:ind w:left="0" w:firstLine="0"/>
              <w:rPr>
                <w:rFonts w:asciiTheme="majorHAnsi" w:hAnsiTheme="majorHAnsi" w:cs="Arial"/>
                <w:sz w:val="18"/>
                <w:szCs w:val="18"/>
                <w:lang w:bidi="ar-SA"/>
              </w:rPr>
            </w:pPr>
            <w:hyperlink r:id="rId105" w:history="1">
              <w:r w:rsidR="00944AD5" w:rsidRPr="00EE00DF">
                <w:rPr>
                  <w:rFonts w:asciiTheme="majorHAnsi" w:hAnsiTheme="majorHAnsi" w:cs="Arial"/>
                  <w:color w:val="0563C1"/>
                  <w:sz w:val="18"/>
                  <w:szCs w:val="18"/>
                  <w:u w:val="single"/>
                  <w:lang w:bidi="ar-SA"/>
                </w:rPr>
                <w:t xml:space="preserve">Simplified </w:t>
              </w:r>
            </w:hyperlink>
            <w:r w:rsidR="00944AD5" w:rsidRPr="00EE00DF">
              <w:rPr>
                <w:rFonts w:asciiTheme="majorHAnsi" w:hAnsiTheme="majorHAnsi" w:cs="Arial"/>
                <w:sz w:val="18"/>
                <w:szCs w:val="18"/>
                <w:lang w:bidi="ar-SA"/>
              </w:rPr>
              <w:t>model: The 8 ISO-NE MARS areas (bubbles) were consolidated into one</w:t>
            </w:r>
          </w:p>
        </w:tc>
        <w:tc>
          <w:tcPr>
            <w:tcW w:w="1228" w:type="pct"/>
            <w:tcBorders>
              <w:top w:val="nil"/>
              <w:left w:val="single" w:sz="4" w:space="0" w:color="000000"/>
              <w:bottom w:val="single" w:sz="4" w:space="0" w:color="000000"/>
              <w:right w:val="single" w:sz="8" w:space="0" w:color="000000"/>
            </w:tcBorders>
          </w:tcPr>
          <w:p w14:paraId="28EBDE00"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7BB05E31" w14:textId="77777777" w:rsidR="00944AD5" w:rsidRPr="00EE00DF" w:rsidRDefault="00944AD5" w:rsidP="00944AD5">
            <w:pPr>
              <w:spacing w:after="0"/>
              <w:ind w:left="0" w:firstLine="0"/>
              <w:rPr>
                <w:rFonts w:asciiTheme="majorHAnsi" w:hAnsiTheme="majorHAnsi" w:cs="Arial"/>
                <w:b/>
                <w:color w:val="365F91" w:themeColor="accent1" w:themeShade="BF"/>
                <w:sz w:val="18"/>
                <w:szCs w:val="18"/>
                <w:lang w:bidi="ar-SA"/>
              </w:rPr>
            </w:pPr>
          </w:p>
        </w:tc>
      </w:tr>
      <w:tr w:rsidR="00944AD5" w:rsidRPr="00EE00DF" w14:paraId="3B5A26DA" w14:textId="77777777" w:rsidTr="00EE00DF">
        <w:trPr>
          <w:trHeight w:val="557"/>
        </w:trPr>
        <w:tc>
          <w:tcPr>
            <w:tcW w:w="303" w:type="pct"/>
            <w:tcBorders>
              <w:top w:val="nil"/>
              <w:left w:val="single" w:sz="8" w:space="0" w:color="000000"/>
              <w:bottom w:val="single" w:sz="4" w:space="0" w:color="000000"/>
              <w:right w:val="single" w:sz="4" w:space="0" w:color="000000"/>
            </w:tcBorders>
            <w:shd w:val="clear" w:color="auto" w:fill="auto"/>
            <w:hideMark/>
          </w:tcPr>
          <w:p w14:paraId="6CB3EED9"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3</w:t>
            </w:r>
          </w:p>
        </w:tc>
        <w:tc>
          <w:tcPr>
            <w:tcW w:w="892" w:type="pct"/>
            <w:tcBorders>
              <w:top w:val="nil"/>
              <w:left w:val="nil"/>
              <w:bottom w:val="single" w:sz="4" w:space="0" w:color="000000"/>
              <w:right w:val="single" w:sz="4" w:space="0" w:color="000000"/>
            </w:tcBorders>
            <w:shd w:val="clear" w:color="auto" w:fill="auto"/>
            <w:hideMark/>
          </w:tcPr>
          <w:p w14:paraId="4DDEE7A1"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HQ</w:t>
            </w:r>
          </w:p>
        </w:tc>
        <w:tc>
          <w:tcPr>
            <w:tcW w:w="1391" w:type="pct"/>
            <w:tcBorders>
              <w:top w:val="nil"/>
              <w:left w:val="nil"/>
              <w:bottom w:val="single" w:sz="4" w:space="0" w:color="000000"/>
              <w:right w:val="single" w:sz="8" w:space="0" w:color="000000"/>
            </w:tcBorders>
            <w:shd w:val="clear" w:color="auto" w:fill="auto"/>
            <w:hideMark/>
          </w:tcPr>
          <w:p w14:paraId="7B68DB6F"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As per RNA Procedure</w:t>
            </w:r>
            <w:r w:rsidRPr="00EE00DF">
              <w:rPr>
                <w:rFonts w:asciiTheme="majorHAnsi" w:hAnsiTheme="majorHAnsi" w:cs="Arial"/>
                <w:sz w:val="18"/>
                <w:szCs w:val="18"/>
                <w:lang w:bidi="ar-SA"/>
              </w:rPr>
              <w:br/>
              <w:t>External model (load, capacity, topology) provided by PJM/NPCC CP-8 WG. LOLE of pool adjusted to be between 0.10 and 0.15 days per year by adjusting capacity pro-rata in all areas.</w:t>
            </w:r>
          </w:p>
        </w:tc>
        <w:tc>
          <w:tcPr>
            <w:tcW w:w="1187" w:type="pct"/>
            <w:tcBorders>
              <w:top w:val="nil"/>
              <w:left w:val="single" w:sz="4" w:space="0" w:color="000000"/>
              <w:bottom w:val="single" w:sz="4" w:space="0" w:color="000000"/>
              <w:right w:val="single" w:sz="8" w:space="0" w:color="000000"/>
            </w:tcBorders>
          </w:tcPr>
          <w:p w14:paraId="00B72A43"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nil"/>
              <w:left w:val="single" w:sz="4" w:space="0" w:color="000000"/>
              <w:bottom w:val="single" w:sz="4" w:space="0" w:color="000000"/>
              <w:right w:val="single" w:sz="8" w:space="0" w:color="000000"/>
            </w:tcBorders>
          </w:tcPr>
          <w:p w14:paraId="0DDD066A"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734BBB37" w14:textId="77777777" w:rsidR="00944AD5" w:rsidRPr="00EE00DF" w:rsidRDefault="00944AD5" w:rsidP="00944AD5">
            <w:pPr>
              <w:spacing w:after="0"/>
              <w:ind w:left="0" w:firstLine="0"/>
              <w:rPr>
                <w:rFonts w:asciiTheme="majorHAnsi" w:hAnsiTheme="majorHAnsi" w:cs="Arial"/>
                <w:b/>
                <w:color w:val="365F91" w:themeColor="accent1" w:themeShade="BF"/>
                <w:sz w:val="18"/>
                <w:szCs w:val="18"/>
                <w:lang w:bidi="ar-SA"/>
              </w:rPr>
            </w:pPr>
          </w:p>
        </w:tc>
      </w:tr>
      <w:tr w:rsidR="00944AD5" w:rsidRPr="00EE00DF" w14:paraId="5CB9EF7D" w14:textId="77777777" w:rsidTr="00EE00DF">
        <w:trPr>
          <w:trHeight w:val="1790"/>
        </w:trPr>
        <w:tc>
          <w:tcPr>
            <w:tcW w:w="303" w:type="pct"/>
            <w:tcBorders>
              <w:top w:val="nil"/>
              <w:left w:val="single" w:sz="8" w:space="0" w:color="000000"/>
              <w:bottom w:val="single" w:sz="4" w:space="0" w:color="000000"/>
              <w:right w:val="single" w:sz="4" w:space="0" w:color="000000"/>
            </w:tcBorders>
            <w:shd w:val="clear" w:color="auto" w:fill="auto"/>
            <w:hideMark/>
          </w:tcPr>
          <w:p w14:paraId="0C9150CA"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4</w:t>
            </w:r>
          </w:p>
        </w:tc>
        <w:tc>
          <w:tcPr>
            <w:tcW w:w="892" w:type="pct"/>
            <w:tcBorders>
              <w:top w:val="nil"/>
              <w:left w:val="nil"/>
              <w:bottom w:val="single" w:sz="4" w:space="0" w:color="000000"/>
              <w:right w:val="single" w:sz="4" w:space="0" w:color="000000"/>
            </w:tcBorders>
            <w:shd w:val="clear" w:color="auto" w:fill="auto"/>
            <w:hideMark/>
          </w:tcPr>
          <w:p w14:paraId="3DD515D2"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IESO</w:t>
            </w:r>
          </w:p>
        </w:tc>
        <w:tc>
          <w:tcPr>
            <w:tcW w:w="1391" w:type="pct"/>
            <w:tcBorders>
              <w:top w:val="nil"/>
              <w:left w:val="nil"/>
              <w:bottom w:val="single" w:sz="4" w:space="0" w:color="000000"/>
              <w:right w:val="single" w:sz="8" w:space="0" w:color="000000"/>
            </w:tcBorders>
            <w:shd w:val="clear" w:color="auto" w:fill="auto"/>
            <w:hideMark/>
          </w:tcPr>
          <w:p w14:paraId="32B2FB39"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As per RNA Procedure</w:t>
            </w:r>
            <w:r w:rsidRPr="00EE00DF">
              <w:rPr>
                <w:rFonts w:asciiTheme="majorHAnsi" w:hAnsiTheme="majorHAnsi" w:cs="Arial"/>
                <w:sz w:val="18"/>
                <w:szCs w:val="18"/>
                <w:lang w:bidi="ar-SA"/>
              </w:rPr>
              <w:br/>
              <w:t>External model (load, capacity, topology) provided by PJM/NPCC CP-8 WG. LOLE of pool adjusted to be between 0.10 and 0.15 days per year by adjusting capacity pro-rata in all areas.</w:t>
            </w:r>
          </w:p>
        </w:tc>
        <w:tc>
          <w:tcPr>
            <w:tcW w:w="1187" w:type="pct"/>
            <w:tcBorders>
              <w:top w:val="nil"/>
              <w:left w:val="single" w:sz="4" w:space="0" w:color="000000"/>
              <w:bottom w:val="single" w:sz="4" w:space="0" w:color="000000"/>
              <w:right w:val="single" w:sz="8" w:space="0" w:color="000000"/>
            </w:tcBorders>
          </w:tcPr>
          <w:p w14:paraId="175C7CB2"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nil"/>
              <w:left w:val="single" w:sz="4" w:space="0" w:color="000000"/>
              <w:bottom w:val="single" w:sz="4" w:space="0" w:color="000000"/>
              <w:right w:val="single" w:sz="8" w:space="0" w:color="000000"/>
            </w:tcBorders>
          </w:tcPr>
          <w:p w14:paraId="52287AFA"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76029924" w14:textId="77777777" w:rsidR="00944AD5" w:rsidRPr="00EE00DF" w:rsidRDefault="00944AD5" w:rsidP="00944AD5">
            <w:pPr>
              <w:spacing w:after="0"/>
              <w:ind w:left="0" w:firstLine="0"/>
              <w:rPr>
                <w:rFonts w:asciiTheme="majorHAnsi" w:hAnsiTheme="majorHAnsi" w:cs="Arial"/>
                <w:b/>
                <w:color w:val="365F91" w:themeColor="accent1" w:themeShade="BF"/>
                <w:sz w:val="18"/>
                <w:szCs w:val="18"/>
                <w:lang w:bidi="ar-SA"/>
              </w:rPr>
            </w:pPr>
          </w:p>
        </w:tc>
      </w:tr>
      <w:tr w:rsidR="00944AD5" w:rsidRPr="00EE00DF" w14:paraId="47B168B0" w14:textId="77777777" w:rsidTr="00EE00DF">
        <w:trPr>
          <w:trHeight w:val="1160"/>
        </w:trPr>
        <w:tc>
          <w:tcPr>
            <w:tcW w:w="303" w:type="pct"/>
            <w:tcBorders>
              <w:top w:val="nil"/>
              <w:left w:val="single" w:sz="8" w:space="0" w:color="000000"/>
              <w:bottom w:val="single" w:sz="4" w:space="0" w:color="000000"/>
              <w:right w:val="single" w:sz="4" w:space="0" w:color="000000"/>
            </w:tcBorders>
            <w:shd w:val="clear" w:color="auto" w:fill="auto"/>
            <w:hideMark/>
          </w:tcPr>
          <w:p w14:paraId="64258086"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5</w:t>
            </w:r>
          </w:p>
        </w:tc>
        <w:tc>
          <w:tcPr>
            <w:tcW w:w="892" w:type="pct"/>
            <w:tcBorders>
              <w:top w:val="nil"/>
              <w:left w:val="nil"/>
              <w:bottom w:val="single" w:sz="4" w:space="0" w:color="000000"/>
              <w:right w:val="single" w:sz="4" w:space="0" w:color="000000"/>
            </w:tcBorders>
            <w:shd w:val="clear" w:color="auto" w:fill="auto"/>
            <w:hideMark/>
          </w:tcPr>
          <w:p w14:paraId="0DC08706"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Reserve Sharing</w:t>
            </w:r>
          </w:p>
        </w:tc>
        <w:tc>
          <w:tcPr>
            <w:tcW w:w="1391" w:type="pct"/>
            <w:tcBorders>
              <w:top w:val="nil"/>
              <w:left w:val="nil"/>
              <w:bottom w:val="single" w:sz="4" w:space="0" w:color="000000"/>
              <w:right w:val="single" w:sz="8" w:space="0" w:color="000000"/>
            </w:tcBorders>
            <w:shd w:val="clear" w:color="auto" w:fill="auto"/>
            <w:hideMark/>
          </w:tcPr>
          <w:p w14:paraId="2E08ABB3" w14:textId="77777777" w:rsidR="00944AD5" w:rsidRPr="00EE00DF" w:rsidRDefault="00944AD5" w:rsidP="00944AD5">
            <w:pPr>
              <w:spacing w:after="0"/>
              <w:ind w:left="0" w:firstLine="0"/>
              <w:rPr>
                <w:rFonts w:asciiTheme="majorHAnsi" w:hAnsiTheme="majorHAnsi" w:cs="Arial"/>
                <w:bCs/>
                <w:sz w:val="18"/>
                <w:szCs w:val="18"/>
                <w:lang w:bidi="ar-SA"/>
              </w:rPr>
            </w:pPr>
            <w:r w:rsidRPr="00EE00DF">
              <w:rPr>
                <w:rFonts w:asciiTheme="majorHAnsi" w:hAnsiTheme="majorHAnsi" w:cs="Arial"/>
                <w:sz w:val="18"/>
                <w:szCs w:val="18"/>
                <w:lang w:bidi="ar-SA"/>
              </w:rPr>
              <w:t xml:space="preserve">All NPCC Control Areas indicate that they </w:t>
            </w:r>
            <w:r w:rsidRPr="00EE00DF">
              <w:rPr>
                <w:rFonts w:asciiTheme="majorHAnsi" w:hAnsiTheme="majorHAnsi" w:cs="Arial"/>
                <w:bCs/>
                <w:sz w:val="18"/>
                <w:szCs w:val="18"/>
                <w:lang w:bidi="ar-SA"/>
              </w:rPr>
              <w:t xml:space="preserve">will share reserves </w:t>
            </w:r>
            <w:r w:rsidRPr="00EE00DF">
              <w:rPr>
                <w:rFonts w:asciiTheme="majorHAnsi" w:hAnsiTheme="majorHAnsi" w:cs="Arial"/>
                <w:b/>
                <w:bCs/>
                <w:sz w:val="18"/>
                <w:szCs w:val="18"/>
                <w:lang w:bidi="ar-SA"/>
              </w:rPr>
              <w:t>equally</w:t>
            </w:r>
            <w:r w:rsidRPr="00EE00DF">
              <w:rPr>
                <w:rFonts w:asciiTheme="majorHAnsi" w:hAnsiTheme="majorHAnsi" w:cs="Arial"/>
                <w:bCs/>
                <w:sz w:val="18"/>
                <w:szCs w:val="18"/>
                <w:lang w:bidi="ar-SA"/>
              </w:rPr>
              <w:t xml:space="preserve"> among all members before sharing with PJM.</w:t>
            </w:r>
          </w:p>
        </w:tc>
        <w:tc>
          <w:tcPr>
            <w:tcW w:w="1187" w:type="pct"/>
            <w:tcBorders>
              <w:top w:val="nil"/>
              <w:left w:val="single" w:sz="4" w:space="0" w:color="000000"/>
              <w:bottom w:val="single" w:sz="4" w:space="0" w:color="000000"/>
              <w:right w:val="single" w:sz="8" w:space="0" w:color="000000"/>
            </w:tcBorders>
          </w:tcPr>
          <w:p w14:paraId="1DAFC68D"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nil"/>
              <w:left w:val="single" w:sz="4" w:space="0" w:color="000000"/>
              <w:bottom w:val="single" w:sz="4" w:space="0" w:color="000000"/>
              <w:right w:val="single" w:sz="8" w:space="0" w:color="000000"/>
            </w:tcBorders>
          </w:tcPr>
          <w:p w14:paraId="7B60BE80"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497925F1" w14:textId="77777777" w:rsidR="00944AD5" w:rsidRPr="00EE00DF" w:rsidRDefault="00944AD5" w:rsidP="00944AD5">
            <w:pPr>
              <w:spacing w:after="0"/>
              <w:ind w:left="0" w:firstLine="0"/>
              <w:rPr>
                <w:rFonts w:asciiTheme="majorHAnsi" w:hAnsiTheme="majorHAnsi" w:cs="Arial"/>
                <w:b/>
                <w:color w:val="365F91" w:themeColor="accent1" w:themeShade="BF"/>
                <w:sz w:val="18"/>
                <w:szCs w:val="18"/>
                <w:lang w:bidi="ar-SA"/>
              </w:rPr>
            </w:pPr>
          </w:p>
        </w:tc>
      </w:tr>
      <w:tr w:rsidR="00944AD5" w:rsidRPr="00EE00DF" w14:paraId="639424D2" w14:textId="77777777" w:rsidTr="00EE00DF">
        <w:trPr>
          <w:trHeight w:val="674"/>
        </w:trPr>
        <w:tc>
          <w:tcPr>
            <w:tcW w:w="303" w:type="pct"/>
            <w:tcBorders>
              <w:top w:val="nil"/>
              <w:left w:val="single" w:sz="8" w:space="0" w:color="000000"/>
              <w:bottom w:val="single" w:sz="4" w:space="0" w:color="000000"/>
              <w:right w:val="single" w:sz="4" w:space="0" w:color="000000"/>
            </w:tcBorders>
            <w:shd w:val="clear" w:color="auto" w:fill="auto"/>
            <w:hideMark/>
          </w:tcPr>
          <w:p w14:paraId="7C0A157B"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6</w:t>
            </w:r>
          </w:p>
        </w:tc>
        <w:tc>
          <w:tcPr>
            <w:tcW w:w="892" w:type="pct"/>
            <w:tcBorders>
              <w:top w:val="nil"/>
              <w:left w:val="nil"/>
              <w:bottom w:val="single" w:sz="4" w:space="0" w:color="000000"/>
              <w:right w:val="single" w:sz="4" w:space="0" w:color="000000"/>
            </w:tcBorders>
            <w:shd w:val="clear" w:color="auto" w:fill="auto"/>
            <w:hideMark/>
          </w:tcPr>
          <w:p w14:paraId="29E6FEF4"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NYCA Emergency Assistance Limit</w:t>
            </w:r>
          </w:p>
        </w:tc>
        <w:tc>
          <w:tcPr>
            <w:tcW w:w="1391" w:type="pct"/>
            <w:tcBorders>
              <w:top w:val="nil"/>
              <w:left w:val="nil"/>
              <w:bottom w:val="single" w:sz="4" w:space="0" w:color="000000"/>
              <w:right w:val="single" w:sz="8" w:space="0" w:color="000000"/>
            </w:tcBorders>
            <w:shd w:val="clear" w:color="auto" w:fill="auto"/>
            <w:hideMark/>
          </w:tcPr>
          <w:p w14:paraId="1DCFA671"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eastAsiaTheme="minorHAnsi" w:hAnsiTheme="majorHAnsi" w:cstheme="minorBidi"/>
                <w:sz w:val="18"/>
                <w:szCs w:val="18"/>
                <w:lang w:bidi="ar-SA"/>
              </w:rPr>
              <w:t xml:space="preserve">Implemented a statewide limit of 3,500 MW </w:t>
            </w:r>
          </w:p>
        </w:tc>
        <w:tc>
          <w:tcPr>
            <w:tcW w:w="1187" w:type="pct"/>
            <w:tcBorders>
              <w:top w:val="nil"/>
              <w:left w:val="single" w:sz="4" w:space="0" w:color="000000"/>
              <w:bottom w:val="single" w:sz="4" w:space="0" w:color="000000"/>
              <w:right w:val="single" w:sz="8" w:space="0" w:color="000000"/>
            </w:tcBorders>
          </w:tcPr>
          <w:p w14:paraId="423101AF"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Similar method</w:t>
            </w:r>
          </w:p>
        </w:tc>
        <w:tc>
          <w:tcPr>
            <w:tcW w:w="1228" w:type="pct"/>
            <w:tcBorders>
              <w:top w:val="nil"/>
              <w:left w:val="single" w:sz="4" w:space="0" w:color="000000"/>
              <w:bottom w:val="single" w:sz="4" w:space="0" w:color="000000"/>
              <w:right w:val="single" w:sz="8" w:space="0" w:color="000000"/>
            </w:tcBorders>
          </w:tcPr>
          <w:p w14:paraId="6D1A7F19"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No change from 2020 RNA</w:t>
            </w:r>
          </w:p>
          <w:p w14:paraId="2C8ACAD5" w14:textId="77777777" w:rsidR="00944AD5" w:rsidRPr="00EE00DF" w:rsidRDefault="00944AD5" w:rsidP="00944AD5">
            <w:pPr>
              <w:spacing w:after="0"/>
              <w:ind w:left="0" w:firstLine="0"/>
              <w:rPr>
                <w:rFonts w:asciiTheme="majorHAnsi" w:hAnsiTheme="majorHAnsi" w:cs="Arial"/>
                <w:b/>
                <w:color w:val="365F91" w:themeColor="accent1" w:themeShade="BF"/>
                <w:sz w:val="18"/>
                <w:szCs w:val="18"/>
                <w:lang w:bidi="ar-SA"/>
              </w:rPr>
            </w:pPr>
          </w:p>
        </w:tc>
      </w:tr>
      <w:tr w:rsidR="00944AD5" w:rsidRPr="00EE00DF" w14:paraId="2D9906D8" w14:textId="77777777" w:rsidTr="00EE00DF">
        <w:trPr>
          <w:trHeight w:val="440"/>
        </w:trPr>
        <w:tc>
          <w:tcPr>
            <w:tcW w:w="2585" w:type="pct"/>
            <w:gridSpan w:val="3"/>
            <w:tcBorders>
              <w:top w:val="single" w:sz="4" w:space="0" w:color="auto"/>
              <w:left w:val="single" w:sz="4" w:space="0" w:color="auto"/>
              <w:bottom w:val="single" w:sz="4" w:space="0" w:color="auto"/>
            </w:tcBorders>
            <w:shd w:val="clear" w:color="auto" w:fill="F2F2F2" w:themeFill="background1" w:themeFillShade="F2"/>
          </w:tcPr>
          <w:p w14:paraId="45556527" w14:textId="77777777" w:rsidR="00944AD5" w:rsidRPr="00EE00DF" w:rsidRDefault="00944AD5" w:rsidP="00944AD5">
            <w:pPr>
              <w:spacing w:after="0"/>
              <w:ind w:left="0" w:firstLine="0"/>
              <w:rPr>
                <w:rFonts w:asciiTheme="majorHAnsi" w:hAnsiTheme="majorHAnsi" w:cs="Arial"/>
                <w:b/>
                <w:bCs/>
                <w:sz w:val="18"/>
                <w:szCs w:val="18"/>
                <w:lang w:bidi="ar-SA"/>
              </w:rPr>
            </w:pPr>
            <w:r w:rsidRPr="00EE00DF">
              <w:rPr>
                <w:rFonts w:asciiTheme="majorHAnsi" w:hAnsiTheme="majorHAnsi" w:cs="Arial"/>
                <w:b/>
                <w:bCs/>
                <w:sz w:val="18"/>
                <w:szCs w:val="18"/>
                <w:lang w:bidi="ar-SA"/>
              </w:rPr>
              <w:t>Miscellaneous</w:t>
            </w:r>
          </w:p>
          <w:p w14:paraId="78167357" w14:textId="77777777" w:rsidR="00944AD5" w:rsidRPr="00EE00DF" w:rsidRDefault="00944AD5" w:rsidP="00944AD5">
            <w:pPr>
              <w:spacing w:after="0"/>
              <w:ind w:left="0" w:firstLine="0"/>
              <w:rPr>
                <w:rFonts w:asciiTheme="majorHAnsi" w:hAnsiTheme="majorHAnsi" w:cs="Arial"/>
                <w:sz w:val="18"/>
                <w:szCs w:val="18"/>
                <w:lang w:bidi="ar-SA"/>
              </w:rPr>
            </w:pPr>
          </w:p>
        </w:tc>
        <w:tc>
          <w:tcPr>
            <w:tcW w:w="1187" w:type="pct"/>
            <w:tcBorders>
              <w:top w:val="single" w:sz="4" w:space="0" w:color="auto"/>
              <w:bottom w:val="single" w:sz="4" w:space="0" w:color="auto"/>
              <w:right w:val="single" w:sz="4" w:space="0" w:color="auto"/>
            </w:tcBorders>
            <w:shd w:val="clear" w:color="auto" w:fill="F2F2F2" w:themeFill="background1" w:themeFillShade="F2"/>
          </w:tcPr>
          <w:p w14:paraId="1053B935" w14:textId="77777777" w:rsidR="00944AD5" w:rsidRPr="00EE00DF" w:rsidRDefault="00944AD5" w:rsidP="00944AD5">
            <w:pPr>
              <w:spacing w:after="0"/>
              <w:ind w:left="0" w:firstLine="0"/>
              <w:rPr>
                <w:rFonts w:asciiTheme="majorHAnsi" w:hAnsiTheme="majorHAnsi" w:cs="Arial"/>
                <w:sz w:val="18"/>
                <w:szCs w:val="18"/>
                <w:lang w:bidi="ar-SA"/>
              </w:rPr>
            </w:pPr>
          </w:p>
        </w:tc>
        <w:tc>
          <w:tcPr>
            <w:tcW w:w="1228" w:type="pct"/>
            <w:tcBorders>
              <w:top w:val="single" w:sz="4" w:space="0" w:color="auto"/>
              <w:bottom w:val="single" w:sz="4" w:space="0" w:color="auto"/>
              <w:right w:val="single" w:sz="4" w:space="0" w:color="auto"/>
            </w:tcBorders>
            <w:shd w:val="clear" w:color="auto" w:fill="F2F2F2" w:themeFill="background1" w:themeFillShade="F2"/>
          </w:tcPr>
          <w:p w14:paraId="76F4EF9B" w14:textId="77777777" w:rsidR="00944AD5" w:rsidRPr="00EE00DF" w:rsidRDefault="00944AD5" w:rsidP="00944AD5">
            <w:pPr>
              <w:spacing w:after="0"/>
              <w:ind w:left="0" w:firstLine="0"/>
              <w:rPr>
                <w:rFonts w:asciiTheme="majorHAnsi" w:hAnsiTheme="majorHAnsi" w:cs="Arial"/>
                <w:sz w:val="18"/>
                <w:szCs w:val="18"/>
                <w:lang w:bidi="ar-SA"/>
              </w:rPr>
            </w:pPr>
          </w:p>
        </w:tc>
      </w:tr>
      <w:tr w:rsidR="00944AD5" w:rsidRPr="00EE00DF" w14:paraId="18AAEC00" w14:textId="77777777" w:rsidTr="00EE00DF">
        <w:trPr>
          <w:trHeight w:val="629"/>
        </w:trPr>
        <w:tc>
          <w:tcPr>
            <w:tcW w:w="303" w:type="pct"/>
            <w:tcBorders>
              <w:top w:val="nil"/>
              <w:left w:val="single" w:sz="8" w:space="0" w:color="000000"/>
              <w:bottom w:val="single" w:sz="4" w:space="0" w:color="000000"/>
              <w:right w:val="single" w:sz="4" w:space="0" w:color="000000"/>
            </w:tcBorders>
            <w:shd w:val="clear" w:color="auto" w:fill="auto"/>
            <w:hideMark/>
          </w:tcPr>
          <w:p w14:paraId="62A857EB" w14:textId="77777777" w:rsidR="00944AD5" w:rsidRPr="00EE00DF" w:rsidRDefault="00944AD5" w:rsidP="00944AD5">
            <w:pPr>
              <w:spacing w:after="0"/>
              <w:ind w:left="0" w:firstLine="0"/>
              <w:jc w:val="center"/>
              <w:rPr>
                <w:rFonts w:asciiTheme="majorHAnsi" w:hAnsiTheme="majorHAnsi" w:cs="Arial"/>
                <w:sz w:val="18"/>
                <w:szCs w:val="18"/>
                <w:lang w:bidi="ar-SA"/>
              </w:rPr>
            </w:pPr>
            <w:r w:rsidRPr="00EE00DF">
              <w:rPr>
                <w:rFonts w:asciiTheme="majorHAnsi" w:hAnsiTheme="majorHAnsi" w:cs="Arial"/>
                <w:sz w:val="18"/>
                <w:szCs w:val="18"/>
                <w:lang w:bidi="ar-SA"/>
              </w:rPr>
              <w:t>1</w:t>
            </w:r>
          </w:p>
        </w:tc>
        <w:tc>
          <w:tcPr>
            <w:tcW w:w="892" w:type="pct"/>
            <w:tcBorders>
              <w:top w:val="nil"/>
              <w:left w:val="nil"/>
              <w:bottom w:val="single" w:sz="4" w:space="0" w:color="000000"/>
              <w:right w:val="single" w:sz="4" w:space="0" w:color="000000"/>
            </w:tcBorders>
            <w:shd w:val="clear" w:color="auto" w:fill="auto"/>
            <w:hideMark/>
          </w:tcPr>
          <w:p w14:paraId="6F41CF33"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MARS Model Version</w:t>
            </w:r>
          </w:p>
        </w:tc>
        <w:tc>
          <w:tcPr>
            <w:tcW w:w="1391" w:type="pct"/>
            <w:tcBorders>
              <w:top w:val="nil"/>
              <w:left w:val="nil"/>
              <w:bottom w:val="single" w:sz="4" w:space="0" w:color="000000"/>
              <w:right w:val="single" w:sz="8" w:space="0" w:color="000000"/>
            </w:tcBorders>
            <w:shd w:val="clear" w:color="auto" w:fill="auto"/>
            <w:hideMark/>
          </w:tcPr>
          <w:p w14:paraId="4AB6C8E5"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hAnsiTheme="majorHAnsi" w:cs="Arial"/>
                <w:sz w:val="18"/>
                <w:szCs w:val="18"/>
                <w:lang w:bidi="ar-SA"/>
              </w:rPr>
              <w:t>Version 3.22.6</w:t>
            </w:r>
          </w:p>
        </w:tc>
        <w:tc>
          <w:tcPr>
            <w:tcW w:w="1187" w:type="pct"/>
            <w:tcBorders>
              <w:top w:val="nil"/>
              <w:left w:val="single" w:sz="4" w:space="0" w:color="000000"/>
              <w:bottom w:val="single" w:sz="4" w:space="0" w:color="000000"/>
              <w:right w:val="single" w:sz="8" w:space="0" w:color="000000"/>
            </w:tcBorders>
          </w:tcPr>
          <w:p w14:paraId="6145CC49" w14:textId="77777777" w:rsidR="00944AD5" w:rsidRPr="00EE00DF" w:rsidRDefault="00944AD5" w:rsidP="00944AD5">
            <w:pPr>
              <w:spacing w:after="0"/>
              <w:ind w:left="0" w:firstLine="0"/>
              <w:rPr>
                <w:rFonts w:asciiTheme="majorHAnsi" w:hAnsiTheme="majorHAnsi" w:cs="Arial"/>
                <w:sz w:val="18"/>
                <w:szCs w:val="18"/>
                <w:lang w:bidi="ar-SA"/>
              </w:rPr>
            </w:pPr>
            <w:r w:rsidRPr="00EE00DF">
              <w:rPr>
                <w:rFonts w:asciiTheme="majorHAnsi" w:eastAsiaTheme="minorHAnsi" w:hAnsiTheme="majorHAnsi" w:cstheme="minorBidi"/>
                <w:sz w:val="18"/>
                <w:szCs w:val="18"/>
                <w:lang w:bidi="ar-SA"/>
              </w:rPr>
              <w:t>3.29.1499</w:t>
            </w:r>
          </w:p>
        </w:tc>
        <w:tc>
          <w:tcPr>
            <w:tcW w:w="1228" w:type="pct"/>
            <w:tcBorders>
              <w:top w:val="nil"/>
              <w:left w:val="single" w:sz="4" w:space="0" w:color="000000"/>
              <w:bottom w:val="single" w:sz="4" w:space="0" w:color="000000"/>
              <w:right w:val="single" w:sz="8" w:space="0" w:color="000000"/>
            </w:tcBorders>
          </w:tcPr>
          <w:p w14:paraId="4DBAF738" w14:textId="77777777" w:rsidR="00944AD5" w:rsidRPr="00EE00DF" w:rsidRDefault="00944AD5" w:rsidP="00944AD5">
            <w:pPr>
              <w:spacing w:after="0"/>
              <w:ind w:left="0" w:firstLine="0"/>
              <w:rPr>
                <w:rFonts w:asciiTheme="majorHAnsi" w:eastAsiaTheme="minorHAnsi" w:hAnsiTheme="majorHAnsi" w:cstheme="minorBidi"/>
                <w:sz w:val="18"/>
                <w:szCs w:val="18"/>
                <w:lang w:bidi="ar-SA"/>
              </w:rPr>
            </w:pPr>
            <w:r w:rsidRPr="00EE00DF">
              <w:rPr>
                <w:rFonts w:asciiTheme="majorHAnsi" w:eastAsiaTheme="minorHAnsi" w:hAnsiTheme="majorHAnsi" w:cstheme="minorBidi"/>
                <w:sz w:val="18"/>
                <w:szCs w:val="18"/>
                <w:lang w:bidi="ar-SA"/>
              </w:rPr>
              <w:t xml:space="preserve">3.29.1499 (also </w:t>
            </w:r>
            <w:proofErr w:type="gramStart"/>
            <w:r w:rsidRPr="00EE00DF">
              <w:rPr>
                <w:rFonts w:asciiTheme="majorHAnsi" w:eastAsiaTheme="minorHAnsi" w:hAnsiTheme="majorHAnsi" w:cstheme="minorBidi"/>
                <w:sz w:val="18"/>
                <w:szCs w:val="18"/>
                <w:lang w:bidi="ar-SA"/>
              </w:rPr>
              <w:t>run on</w:t>
            </w:r>
            <w:proofErr w:type="gramEnd"/>
            <w:r w:rsidRPr="00EE00DF">
              <w:rPr>
                <w:rFonts w:asciiTheme="majorHAnsi" w:eastAsiaTheme="minorHAnsi" w:hAnsiTheme="majorHAnsi" w:cstheme="minorBidi"/>
                <w:sz w:val="18"/>
                <w:szCs w:val="18"/>
                <w:lang w:bidi="ar-SA"/>
              </w:rPr>
              <w:t xml:space="preserve"> new MARS rev with no significant change in results)</w:t>
            </w:r>
          </w:p>
        </w:tc>
      </w:tr>
    </w:tbl>
    <w:p w14:paraId="5DA7403F" w14:textId="035C3D1B" w:rsidR="00381E1E" w:rsidRDefault="00381E1E" w:rsidP="00944AD5"/>
    <w:p w14:paraId="04A0DEEC" w14:textId="77777777" w:rsidR="00381E1E" w:rsidRDefault="00381E1E">
      <w:r>
        <w:br w:type="page"/>
      </w:r>
    </w:p>
    <w:p w14:paraId="4E385BCA" w14:textId="264159EC" w:rsidR="00F970BF" w:rsidRDefault="00F970BF" w:rsidP="00F970BF">
      <w:pPr>
        <w:pStyle w:val="Heading1"/>
      </w:pPr>
      <w:bookmarkStart w:id="127" w:name="_Toc81138710"/>
      <w:r>
        <w:lastRenderedPageBreak/>
        <w:t xml:space="preserve">Appendix </w:t>
      </w:r>
      <w:r w:rsidR="00914033">
        <w:t>D</w:t>
      </w:r>
      <w:r>
        <w:t xml:space="preserve"> – </w:t>
      </w:r>
      <w:r w:rsidR="00247748">
        <w:t>Transmission Security Margins (“</w:t>
      </w:r>
      <w:r>
        <w:t>Tipping Points</w:t>
      </w:r>
      <w:bookmarkEnd w:id="122"/>
      <w:r w:rsidR="00247748">
        <w:t>”)</w:t>
      </w:r>
      <w:bookmarkEnd w:id="127"/>
      <w:r>
        <w:t xml:space="preserve"> </w:t>
      </w:r>
    </w:p>
    <w:p w14:paraId="24938477" w14:textId="111B8122" w:rsidR="00FF49F1" w:rsidRDefault="00FF49F1" w:rsidP="00FF49F1">
      <w:pPr>
        <w:pStyle w:val="BodyText"/>
      </w:pPr>
      <w:r>
        <w:t>The purpose of this assessment is to identify plausible changes in conditions or assumptions that might adversely impact the reliability of the Bulk Power Transmission Facilities (“BPTF”) or “tip” the system into violation of a transmission security criterion.  This assessment is performed using a deterministic approach through a spreadsheet-based methods based on input from the 2021 Load and Capacity Data Report (“Gold Book”) and CRP base case updates.  For this assessment, “tipping points” are evaluated for the NYCA as well as the G-J, J, and K localities.  For this evaluation the system tips when the transmission security margin is less than 0 or when a condition could change that is larger than the security margin.</w:t>
      </w:r>
    </w:p>
    <w:p w14:paraId="4A4D974E" w14:textId="77777777" w:rsidR="00FF49F1" w:rsidRDefault="00FF49F1" w:rsidP="00FF49F1"/>
    <w:p w14:paraId="1DB26F84" w14:textId="77777777" w:rsidR="00FF49F1" w:rsidRDefault="00FF49F1" w:rsidP="00FF49F1">
      <w:pPr>
        <w:pStyle w:val="Heading2"/>
      </w:pPr>
      <w:bookmarkStart w:id="128" w:name="_Toc80124488"/>
      <w:bookmarkStart w:id="129" w:name="_Toc81138711"/>
      <w:r>
        <w:t>New York Control Area (NYCA) Tipping Points</w:t>
      </w:r>
      <w:bookmarkEnd w:id="128"/>
      <w:bookmarkEnd w:id="129"/>
    </w:p>
    <w:p w14:paraId="616CEF2C" w14:textId="6735BBDB" w:rsidR="00FF49F1" w:rsidRDefault="00FF49F1" w:rsidP="00FF49F1">
      <w:pPr>
        <w:pStyle w:val="BodyText"/>
        <w:rPr>
          <w:bCs w:val="0"/>
        </w:rPr>
      </w:pPr>
      <w:r w:rsidRPr="00C4567A">
        <w:rPr>
          <w:bCs w:val="0"/>
        </w:rPr>
        <w:t>The tipping point</w:t>
      </w:r>
      <w:r>
        <w:rPr>
          <w:bCs w:val="0"/>
        </w:rPr>
        <w:t>s</w:t>
      </w:r>
      <w:r w:rsidRPr="00C4567A">
        <w:rPr>
          <w:bCs w:val="0"/>
        </w:rPr>
        <w:t xml:space="preserve"> for the NYCA </w:t>
      </w:r>
      <w:r>
        <w:rPr>
          <w:bCs w:val="0"/>
        </w:rPr>
        <w:t>are</w:t>
      </w:r>
      <w:r w:rsidRPr="00C4567A">
        <w:rPr>
          <w:bCs w:val="0"/>
        </w:rPr>
        <w:t xml:space="preserve"> evaluated under summer peak conditions.  </w:t>
      </w:r>
      <w:r>
        <w:rPr>
          <w:bCs w:val="0"/>
        </w:rPr>
        <w:t xml:space="preserve">A tipping point occurs when the transmission security margin is a negative value.  </w:t>
      </w:r>
      <w:r w:rsidRPr="00C4567A">
        <w:rPr>
          <w:bCs w:val="0"/>
        </w:rPr>
        <w:t>The transmission security margin is the ability to meet</w:t>
      </w:r>
      <w:r>
        <w:rPr>
          <w:bCs w:val="0"/>
        </w:rPr>
        <w:t xml:space="preserve"> </w:t>
      </w:r>
      <w:r w:rsidRPr="00C4567A">
        <w:rPr>
          <w:bCs w:val="0"/>
        </w:rPr>
        <w:t>load plus losses and system reserve (</w:t>
      </w:r>
      <w:r w:rsidRPr="008135FA">
        <w:rPr>
          <w:i/>
        </w:rPr>
        <w:t>i.e</w:t>
      </w:r>
      <w:r w:rsidRPr="008135FA">
        <w:rPr>
          <w:bCs w:val="0"/>
          <w:i/>
        </w:rPr>
        <w:t>.,</w:t>
      </w:r>
      <w:r w:rsidRPr="00C4567A">
        <w:rPr>
          <w:bCs w:val="0"/>
        </w:rPr>
        <w:t xml:space="preserve"> total capacity requirement) against the NYCA generation, interchanges, and </w:t>
      </w:r>
      <w:proofErr w:type="gramStart"/>
      <w:r w:rsidRPr="00C4567A">
        <w:rPr>
          <w:bCs w:val="0"/>
        </w:rPr>
        <w:t>temperature based</w:t>
      </w:r>
      <w:proofErr w:type="gramEnd"/>
      <w:r w:rsidRPr="00C4567A">
        <w:rPr>
          <w:bCs w:val="0"/>
        </w:rPr>
        <w:t xml:space="preserve"> generation de-rates (“total resources”).  </w:t>
      </w:r>
      <w:r>
        <w:rPr>
          <w:bCs w:val="0"/>
        </w:rPr>
        <w:t>The NYCA generation (</w:t>
      </w:r>
      <w:r w:rsidR="006C747E">
        <w:rPr>
          <w:bCs w:val="0"/>
        </w:rPr>
        <w:t xml:space="preserve">from </w:t>
      </w:r>
      <w:proofErr w:type="gramStart"/>
      <w:r w:rsidR="006C747E">
        <w:rPr>
          <w:bCs w:val="0"/>
        </w:rPr>
        <w:t>l</w:t>
      </w:r>
      <w:r>
        <w:rPr>
          <w:bCs w:val="0"/>
        </w:rPr>
        <w:t>ine item</w:t>
      </w:r>
      <w:proofErr w:type="gramEnd"/>
      <w:r>
        <w:rPr>
          <w:bCs w:val="0"/>
        </w:rPr>
        <w:t xml:space="preserve"> A) is comprised of the existing generation plus additions of future generation resources that meet the reliability planning process base case inclusion rules as well as the removals of deactivating generation and </w:t>
      </w:r>
      <w:proofErr w:type="spellStart"/>
      <w:r>
        <w:rPr>
          <w:bCs w:val="0"/>
        </w:rPr>
        <w:t>peaker</w:t>
      </w:r>
      <w:proofErr w:type="spellEnd"/>
      <w:r>
        <w:rPr>
          <w:bCs w:val="0"/>
        </w:rPr>
        <w:t xml:space="preserve"> units.  Consistent with transmission planning practices for transmission security, (</w:t>
      </w:r>
      <w:proofErr w:type="spellStart"/>
      <w:r>
        <w:rPr>
          <w:bCs w:val="0"/>
        </w:rPr>
        <w:t>i</w:t>
      </w:r>
      <w:proofErr w:type="spellEnd"/>
      <w:r>
        <w:rPr>
          <w:bCs w:val="0"/>
        </w:rPr>
        <w:t xml:space="preserve">) wind generation is assumed at a 0 MW output, (ii) run-of-river hydro is reduced consistent with its average capacity factor, and (iii) is solar dispatched based on the ratio of its nameplate capacity and solar PV peak reductions stated in the 2021 Gold Book.  Additionally, the NYCA generation includes the Oswego export limit for all lines </w:t>
      </w:r>
      <w:proofErr w:type="gramStart"/>
      <w:r>
        <w:rPr>
          <w:bCs w:val="0"/>
        </w:rPr>
        <w:t>in-service</w:t>
      </w:r>
      <w:proofErr w:type="gramEnd"/>
      <w:r>
        <w:rPr>
          <w:bCs w:val="0"/>
        </w:rPr>
        <w:t xml:space="preserve">.  </w:t>
      </w:r>
      <w:r w:rsidRPr="00932EFE">
        <w:rPr>
          <w:bCs w:val="0"/>
          <w:highlight w:val="yellow"/>
        </w:rPr>
        <w:t>Figure XX</w:t>
      </w:r>
      <w:r>
        <w:rPr>
          <w:bCs w:val="0"/>
        </w:rPr>
        <w:t xml:space="preserve"> provides a summary of the NYCA transmission security margin.</w:t>
      </w:r>
    </w:p>
    <w:p w14:paraId="2B204B1E" w14:textId="77777777" w:rsidR="00FF49F1" w:rsidRDefault="00FF49F1" w:rsidP="00FF49F1">
      <w:pPr>
        <w:spacing w:after="120" w:line="360" w:lineRule="auto"/>
        <w:ind w:left="0" w:firstLine="432"/>
        <w:rPr>
          <w:rFonts w:ascii="Cambria" w:eastAsia="Arial Narrow" w:hAnsi="Cambria"/>
          <w:sz w:val="22"/>
          <w:lang w:bidi="ar-SA"/>
        </w:rPr>
      </w:pPr>
      <w:r w:rsidRPr="00932EFE">
        <w:rPr>
          <w:rFonts w:ascii="Cambria" w:eastAsia="Arial Narrow" w:hAnsi="Cambria"/>
          <w:sz w:val="22"/>
          <w:lang w:bidi="ar-SA"/>
        </w:rPr>
        <w:t xml:space="preserve">As shown in </w:t>
      </w:r>
      <w:r w:rsidRPr="00DE0FCC">
        <w:rPr>
          <w:rFonts w:ascii="Cambria" w:eastAsia="Arial Narrow" w:hAnsi="Cambria"/>
          <w:sz w:val="22"/>
          <w:highlight w:val="yellow"/>
        </w:rPr>
        <w:t>Figure XX</w:t>
      </w:r>
      <w:r w:rsidRPr="00932EFE">
        <w:rPr>
          <w:rFonts w:ascii="Cambria" w:eastAsia="Arial Narrow" w:hAnsi="Cambria"/>
          <w:sz w:val="22"/>
          <w:lang w:bidi="ar-SA"/>
        </w:rPr>
        <w:t>, under baseline load conditions the transmission security margin (</w:t>
      </w:r>
      <w:proofErr w:type="gramStart"/>
      <w:r w:rsidRPr="00932EFE">
        <w:rPr>
          <w:rFonts w:ascii="Cambria" w:eastAsia="Arial Narrow" w:hAnsi="Cambria"/>
          <w:sz w:val="22"/>
          <w:lang w:bidi="ar-SA"/>
        </w:rPr>
        <w:t>Line item</w:t>
      </w:r>
      <w:proofErr w:type="gramEnd"/>
      <w:r w:rsidRPr="00932EFE">
        <w:rPr>
          <w:rFonts w:ascii="Cambria" w:eastAsia="Arial Narrow" w:hAnsi="Cambria"/>
          <w:sz w:val="22"/>
          <w:lang w:bidi="ar-SA"/>
        </w:rPr>
        <w:t xml:space="preserve"> H) ranges between 2,303 MW in 2022 to 1,318 MW in 2031.  </w:t>
      </w:r>
      <w:r>
        <w:rPr>
          <w:rFonts w:ascii="Cambria" w:eastAsia="Arial Narrow" w:hAnsi="Cambria"/>
          <w:sz w:val="22"/>
          <w:lang w:bidi="ar-SA"/>
        </w:rPr>
        <w:t>The annual fluctuations are driven by the decreases in NYCA generation (</w:t>
      </w:r>
      <w:proofErr w:type="gramStart"/>
      <w:r>
        <w:rPr>
          <w:rFonts w:ascii="Cambria" w:eastAsia="Arial Narrow" w:hAnsi="Cambria"/>
          <w:sz w:val="22"/>
          <w:lang w:bidi="ar-SA"/>
        </w:rPr>
        <w:t>line item</w:t>
      </w:r>
      <w:proofErr w:type="gramEnd"/>
      <w:r>
        <w:rPr>
          <w:rFonts w:ascii="Cambria" w:eastAsia="Arial Narrow" w:hAnsi="Cambria"/>
          <w:sz w:val="22"/>
          <w:lang w:bidi="ar-SA"/>
        </w:rPr>
        <w:t xml:space="preserve"> A) and in the load forecast (line item E)</w:t>
      </w:r>
      <w:r w:rsidRPr="00932EFE">
        <w:rPr>
          <w:rFonts w:ascii="Cambria" w:eastAsia="Arial Narrow" w:hAnsi="Cambria"/>
          <w:sz w:val="22"/>
          <w:lang w:bidi="ar-SA"/>
        </w:rPr>
        <w:t xml:space="preserve">.   </w:t>
      </w:r>
      <w:r>
        <w:rPr>
          <w:rFonts w:ascii="Cambria" w:eastAsia="Arial Narrow" w:hAnsi="Cambria"/>
          <w:sz w:val="22"/>
          <w:lang w:bidi="ar-SA"/>
        </w:rPr>
        <w:t>In consideration of the transmission security margin (</w:t>
      </w:r>
      <w:proofErr w:type="gramStart"/>
      <w:r>
        <w:rPr>
          <w:rFonts w:ascii="Cambria" w:eastAsia="Arial Narrow" w:hAnsi="Cambria"/>
          <w:sz w:val="22"/>
          <w:lang w:bidi="ar-SA"/>
        </w:rPr>
        <w:t>line item</w:t>
      </w:r>
      <w:proofErr w:type="gramEnd"/>
      <w:r>
        <w:rPr>
          <w:rFonts w:ascii="Cambria" w:eastAsia="Arial Narrow" w:hAnsi="Cambria"/>
          <w:sz w:val="22"/>
          <w:lang w:bidi="ar-SA"/>
        </w:rPr>
        <w:t xml:space="preserve"> H), the values show that it is feasible to not tip into</w:t>
      </w:r>
      <w:r w:rsidRPr="00152610">
        <w:rPr>
          <w:rFonts w:ascii="Cambria" w:eastAsia="Arial Narrow" w:hAnsi="Cambria"/>
          <w:sz w:val="22"/>
          <w:lang w:bidi="ar-SA"/>
        </w:rPr>
        <w:t xml:space="preserve"> the largest source of 1,310 MW (loss of Nine Mile Unit 2</w:t>
      </w:r>
      <w:r>
        <w:rPr>
          <w:rFonts w:ascii="Cambria" w:eastAsia="Arial Narrow" w:hAnsi="Cambria"/>
          <w:sz w:val="22"/>
          <w:lang w:bidi="ar-SA"/>
        </w:rPr>
        <w:t>).</w:t>
      </w:r>
      <w:r w:rsidRPr="00090B67">
        <w:rPr>
          <w:rFonts w:ascii="Cambria" w:eastAsia="Arial Narrow" w:hAnsi="Cambria"/>
          <w:sz w:val="22"/>
          <w:vertAlign w:val="superscript"/>
          <w:lang w:bidi="ar-SA"/>
        </w:rPr>
        <w:footnoteReference w:id="32"/>
      </w:r>
      <w:r w:rsidRPr="00152610">
        <w:rPr>
          <w:rFonts w:ascii="Cambria" w:eastAsia="Arial Narrow" w:hAnsi="Cambria"/>
          <w:sz w:val="22"/>
          <w:lang w:bidi="ar-SA"/>
        </w:rPr>
        <w:t xml:space="preserve"> However, </w:t>
      </w:r>
      <w:r>
        <w:rPr>
          <w:rFonts w:ascii="Cambria" w:eastAsia="Arial Narrow" w:hAnsi="Cambria"/>
          <w:sz w:val="22"/>
          <w:lang w:bidi="ar-SA"/>
        </w:rPr>
        <w:t>in 2031 this combination of conditions results in a transmission security margin of 8 MW.</w:t>
      </w:r>
      <w:r>
        <w:rPr>
          <w:rStyle w:val="FootnoteReference"/>
          <w:rFonts w:eastAsia="Arial Narrow"/>
          <w:sz w:val="22"/>
          <w:lang w:bidi="ar-SA"/>
        </w:rPr>
        <w:footnoteReference w:id="33"/>
      </w:r>
    </w:p>
    <w:p w14:paraId="10EE9977" w14:textId="77777777" w:rsidR="00FF49F1" w:rsidRDefault="00FF49F1" w:rsidP="00FF49F1">
      <w:pPr>
        <w:spacing w:after="120" w:line="360" w:lineRule="auto"/>
        <w:ind w:left="0" w:firstLine="432"/>
      </w:pPr>
      <w:r>
        <w:rPr>
          <w:rFonts w:ascii="Cambria" w:eastAsia="Arial Narrow" w:hAnsi="Cambria"/>
          <w:sz w:val="22"/>
          <w:lang w:bidi="ar-SA"/>
        </w:rPr>
        <w:t xml:space="preserve">It is </w:t>
      </w:r>
      <w:r w:rsidRPr="00152610">
        <w:rPr>
          <w:rFonts w:ascii="Cambria" w:eastAsia="Arial Narrow" w:hAnsi="Cambria"/>
          <w:sz w:val="22"/>
          <w:lang w:bidi="ar-SA"/>
        </w:rPr>
        <w:t xml:space="preserve">feasible for other combinations of events to tip the system </w:t>
      </w:r>
      <w:r>
        <w:rPr>
          <w:rFonts w:ascii="Cambria" w:eastAsia="Arial Narrow" w:hAnsi="Cambria"/>
          <w:sz w:val="22"/>
          <w:lang w:bidi="ar-SA"/>
        </w:rPr>
        <w:t xml:space="preserve">over its margin, </w:t>
      </w:r>
      <w:r w:rsidRPr="00152610">
        <w:rPr>
          <w:rFonts w:ascii="Cambria" w:eastAsia="Arial Narrow" w:hAnsi="Cambria"/>
          <w:sz w:val="22"/>
          <w:lang w:bidi="ar-SA"/>
        </w:rPr>
        <w:t xml:space="preserve">such as increased load or a combination of reductions in total resources and load.  </w:t>
      </w:r>
      <w:r w:rsidRPr="00090B67">
        <w:rPr>
          <w:rFonts w:ascii="Cambria" w:eastAsia="Arial Narrow" w:hAnsi="Cambria"/>
          <w:sz w:val="22"/>
          <w:lang w:bidi="ar-SA"/>
        </w:rPr>
        <w:t xml:space="preserve">An additional evaluation shown in </w:t>
      </w:r>
      <w:r w:rsidRPr="00932EFE">
        <w:rPr>
          <w:rFonts w:ascii="Cambria" w:eastAsia="Arial Narrow" w:hAnsi="Cambria"/>
          <w:sz w:val="22"/>
          <w:highlight w:val="yellow"/>
          <w:lang w:bidi="ar-SA"/>
        </w:rPr>
        <w:t>Figure XX</w:t>
      </w:r>
      <w:r w:rsidRPr="00090B67">
        <w:rPr>
          <w:rFonts w:ascii="Cambria" w:eastAsia="Arial Narrow" w:hAnsi="Cambria"/>
          <w:sz w:val="22"/>
          <w:lang w:bidi="ar-SA"/>
        </w:rPr>
        <w:t xml:space="preserve"> is </w:t>
      </w:r>
      <w:r w:rsidRPr="00090B67">
        <w:rPr>
          <w:rFonts w:ascii="Cambria" w:eastAsia="Arial Narrow" w:hAnsi="Cambria"/>
          <w:sz w:val="22"/>
          <w:lang w:bidi="ar-SA"/>
        </w:rPr>
        <w:lastRenderedPageBreak/>
        <w:t xml:space="preserve">the impact of the forced outage rate of NYCA thermal generation on the transmission security margin.  </w:t>
      </w:r>
      <w:r w:rsidRPr="00E5617A">
        <w:rPr>
          <w:rFonts w:ascii="Cambria" w:eastAsia="Arial Narrow" w:hAnsi="Cambria"/>
          <w:sz w:val="22"/>
          <w:lang w:bidi="ar-SA"/>
        </w:rPr>
        <w:t xml:space="preserve">Also, while SCRs are not included for </w:t>
      </w:r>
      <w:r>
        <w:rPr>
          <w:rFonts w:ascii="Cambria" w:eastAsia="Arial Narrow" w:hAnsi="Cambria"/>
          <w:sz w:val="22"/>
          <w:lang w:bidi="ar-SA"/>
        </w:rPr>
        <w:t>transmission security analysis under normal conditions</w:t>
      </w:r>
      <w:r w:rsidRPr="00E5617A">
        <w:rPr>
          <w:rFonts w:ascii="Cambria" w:eastAsia="Arial Narrow" w:hAnsi="Cambria"/>
          <w:sz w:val="22"/>
          <w:lang w:bidi="ar-SA"/>
        </w:rPr>
        <w:t>, they are used for this forced outage rate evaluation.</w:t>
      </w:r>
      <w:r w:rsidRPr="00090B67">
        <w:rPr>
          <w:rFonts w:ascii="Cambria" w:eastAsia="Arial Narrow" w:hAnsi="Cambria"/>
          <w:sz w:val="22"/>
          <w:lang w:bidi="ar-SA"/>
        </w:rPr>
        <w:t xml:space="preserve"> </w:t>
      </w:r>
      <w:r>
        <w:rPr>
          <w:rFonts w:ascii="Cambria" w:eastAsia="Arial Narrow" w:hAnsi="Cambria"/>
          <w:sz w:val="22"/>
          <w:lang w:bidi="ar-SA"/>
        </w:rPr>
        <w:t xml:space="preserve"> </w:t>
      </w:r>
      <w:r w:rsidRPr="00090B67">
        <w:rPr>
          <w:rFonts w:ascii="Cambria" w:eastAsia="Arial Narrow" w:hAnsi="Cambria"/>
          <w:sz w:val="22"/>
          <w:lang w:bidi="ar-SA"/>
        </w:rPr>
        <w:t>The adjusted transmission security margin (</w:t>
      </w:r>
      <w:proofErr w:type="gramStart"/>
      <w:r w:rsidRPr="00090B67">
        <w:rPr>
          <w:rFonts w:ascii="Cambria" w:eastAsia="Arial Narrow" w:hAnsi="Cambria"/>
          <w:sz w:val="22"/>
          <w:lang w:bidi="ar-SA"/>
        </w:rPr>
        <w:t>line item</w:t>
      </w:r>
      <w:proofErr w:type="gramEnd"/>
      <w:r w:rsidRPr="00090B67">
        <w:rPr>
          <w:rFonts w:ascii="Cambria" w:eastAsia="Arial Narrow" w:hAnsi="Cambria"/>
          <w:sz w:val="22"/>
          <w:lang w:bidi="ar-SA"/>
        </w:rPr>
        <w:t xml:space="preserve"> K) shows that </w:t>
      </w:r>
      <w:r>
        <w:rPr>
          <w:rFonts w:ascii="Cambria" w:eastAsia="Arial Narrow" w:hAnsi="Cambria"/>
          <w:sz w:val="22"/>
          <w:lang w:bidi="ar-SA"/>
        </w:rPr>
        <w:t>sufficient</w:t>
      </w:r>
      <w:r w:rsidRPr="00090B67">
        <w:rPr>
          <w:rFonts w:ascii="Cambria" w:eastAsia="Arial Narrow" w:hAnsi="Cambria"/>
          <w:sz w:val="22"/>
          <w:lang w:bidi="ar-SA"/>
        </w:rPr>
        <w:t xml:space="preserve"> margi</w:t>
      </w:r>
      <w:r>
        <w:rPr>
          <w:rFonts w:ascii="Cambria" w:eastAsia="Arial Narrow" w:hAnsi="Cambria"/>
          <w:sz w:val="22"/>
          <w:lang w:bidi="ar-SA"/>
        </w:rPr>
        <w:t>n</w:t>
      </w:r>
      <w:r w:rsidRPr="00090B67">
        <w:rPr>
          <w:rFonts w:ascii="Cambria" w:eastAsia="Arial Narrow" w:hAnsi="Cambria"/>
          <w:sz w:val="22"/>
          <w:lang w:bidi="ar-SA"/>
        </w:rPr>
        <w:t xml:space="preserve"> exist</w:t>
      </w:r>
      <w:r>
        <w:rPr>
          <w:rFonts w:ascii="Cambria" w:eastAsia="Arial Narrow" w:hAnsi="Cambria"/>
          <w:sz w:val="22"/>
          <w:lang w:bidi="ar-SA"/>
        </w:rPr>
        <w:t>s under this condition</w:t>
      </w:r>
      <w:r w:rsidRPr="00090B67">
        <w:rPr>
          <w:rFonts w:ascii="Cambria" w:eastAsia="Arial Narrow" w:hAnsi="Cambria"/>
          <w:sz w:val="22"/>
          <w:lang w:bidi="ar-SA"/>
        </w:rPr>
        <w:t>.</w:t>
      </w:r>
      <w:r>
        <w:rPr>
          <w:rFonts w:ascii="Cambria" w:eastAsia="Arial Narrow" w:hAnsi="Cambria"/>
          <w:sz w:val="22"/>
          <w:lang w:bidi="ar-SA"/>
        </w:rPr>
        <w:t xml:space="preserve">  </w:t>
      </w:r>
    </w:p>
    <w:p w14:paraId="2C821C5C" w14:textId="77777777" w:rsidR="00FF49F1" w:rsidRDefault="00FF49F1" w:rsidP="00FF49F1"/>
    <w:p w14:paraId="1686BCC2" w14:textId="77777777" w:rsidR="00FF49F1" w:rsidRDefault="00FF49F1" w:rsidP="00FF49F1">
      <w:pPr>
        <w:pStyle w:val="BodyText"/>
        <w:jc w:val="left"/>
        <w:rPr>
          <w:rFonts w:ascii="Franklin Gothic Demi" w:hAnsi="Franklin Gothic Demi"/>
          <w:sz w:val="20"/>
        </w:rPr>
      </w:pPr>
      <w:r w:rsidRPr="000A2B46">
        <w:rPr>
          <w:rFonts w:ascii="Franklin Gothic Demi" w:hAnsi="Franklin Gothic Demi"/>
          <w:sz w:val="20"/>
          <w:highlight w:val="yellow"/>
        </w:rPr>
        <w:t>Figure XX</w:t>
      </w:r>
      <w:r w:rsidRPr="00603CF4">
        <w:rPr>
          <w:rFonts w:ascii="Franklin Gothic Demi" w:hAnsi="Franklin Gothic Demi"/>
          <w:sz w:val="20"/>
        </w:rPr>
        <w:t>:  NYCA Summer Transmission Security Margin (</w:t>
      </w:r>
      <w:r>
        <w:rPr>
          <w:rFonts w:ascii="Franklin Gothic Demi" w:hAnsi="Franklin Gothic Demi"/>
          <w:sz w:val="20"/>
        </w:rPr>
        <w:t>NYCA Summer Baseline Peak Forecast - Normal</w:t>
      </w:r>
      <w:r w:rsidRPr="00603CF4">
        <w:rPr>
          <w:rFonts w:ascii="Franklin Gothic Demi" w:hAnsi="Franklin Gothic Demi"/>
          <w:sz w:val="20"/>
        </w:rPr>
        <w:t xml:space="preserve">) </w:t>
      </w:r>
    </w:p>
    <w:p w14:paraId="4A040EF4" w14:textId="77777777" w:rsidR="00FF49F1" w:rsidRDefault="00FF49F1" w:rsidP="00FF49F1">
      <w:pPr>
        <w:spacing w:after="120" w:line="360" w:lineRule="auto"/>
        <w:ind w:left="0" w:firstLine="0"/>
        <w:jc w:val="both"/>
        <w:rPr>
          <w:rFonts w:ascii="Cambria" w:eastAsia="Arial Narrow" w:hAnsi="Cambria"/>
          <w:sz w:val="22"/>
          <w:lang w:bidi="ar-SA"/>
        </w:rPr>
      </w:pPr>
      <w:r w:rsidRPr="00C926B0">
        <w:rPr>
          <w:rFonts w:eastAsia="Arial Narrow"/>
          <w:noProof/>
          <w:lang w:bidi="ar-SA"/>
        </w:rPr>
        <w:drawing>
          <wp:inline distT="0" distB="0" distL="0" distR="0" wp14:anchorId="0BD612BB" wp14:editId="2E994FB3">
            <wp:extent cx="5943600" cy="2274225"/>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43600" cy="2274225"/>
                    </a:xfrm>
                    <a:prstGeom prst="rect">
                      <a:avLst/>
                    </a:prstGeom>
                    <a:noFill/>
                    <a:ln>
                      <a:noFill/>
                    </a:ln>
                  </pic:spPr>
                </pic:pic>
              </a:graphicData>
            </a:graphic>
          </wp:inline>
        </w:drawing>
      </w:r>
    </w:p>
    <w:p w14:paraId="18BE947D" w14:textId="77777777" w:rsidR="00FF49F1" w:rsidRDefault="00FF49F1" w:rsidP="00FF49F1">
      <w:pPr>
        <w:pStyle w:val="BodyText"/>
      </w:pPr>
      <w:r w:rsidRPr="00F11D53">
        <w:rPr>
          <w:highlight w:val="yellow"/>
        </w:rPr>
        <w:t>Figure XX</w:t>
      </w:r>
      <w:r>
        <w:t xml:space="preserve"> shows the transmission security margin for the 1-in-</w:t>
      </w:r>
      <w:proofErr w:type="gramStart"/>
      <w:r>
        <w:t>10 year</w:t>
      </w:r>
      <w:proofErr w:type="gramEnd"/>
      <w:r>
        <w:t xml:space="preserve"> load conditions (also known as 90/10 or 90</w:t>
      </w:r>
      <w:r w:rsidRPr="004E7A90">
        <w:rPr>
          <w:vertAlign w:val="superscript"/>
        </w:rPr>
        <w:t>th</w:t>
      </w:r>
      <w:r>
        <w:t xml:space="preserve"> percentile load) under the assumption that the system is in an emergency condition.  Although the system is not designed under Transmission Security for </w:t>
      </w:r>
      <w:r w:rsidRPr="00152610">
        <w:t>the 90th percentile forecast</w:t>
      </w:r>
      <w:r>
        <w:t xml:space="preserve">, </w:t>
      </w:r>
      <w:r w:rsidRPr="000A2B46">
        <w:rPr>
          <w:highlight w:val="yellow"/>
        </w:rPr>
        <w:t>Figure XX</w:t>
      </w:r>
      <w:r w:rsidRPr="00152610">
        <w:t xml:space="preserve"> </w:t>
      </w:r>
      <w:r>
        <w:t xml:space="preserve">shows the margin that would exist (Line item I).  As shown in </w:t>
      </w:r>
      <w:r w:rsidRPr="00E973D8">
        <w:rPr>
          <w:highlight w:val="yellow"/>
        </w:rPr>
        <w:t>Figure XX</w:t>
      </w:r>
      <w:r>
        <w:t>, under the 90</w:t>
      </w:r>
      <w:r w:rsidRPr="00E973D8">
        <w:rPr>
          <w:vertAlign w:val="superscript"/>
        </w:rPr>
        <w:t>th</w:t>
      </w:r>
      <w:r>
        <w:t xml:space="preserve"> percentile load conditions the inclusion of additional thermal unit forced outages (</w:t>
      </w:r>
      <w:proofErr w:type="gramStart"/>
      <w:r>
        <w:t>line item</w:t>
      </w:r>
      <w:proofErr w:type="gramEnd"/>
      <w:r>
        <w:t xml:space="preserve"> J) shows that the system tips in 2022 (line item K).  </w:t>
      </w:r>
    </w:p>
    <w:p w14:paraId="62533DD3" w14:textId="77777777" w:rsidR="00FF49F1" w:rsidRDefault="00FF49F1" w:rsidP="00FF49F1">
      <w:pPr>
        <w:spacing w:after="120" w:line="360" w:lineRule="auto"/>
        <w:ind w:left="0" w:firstLine="432"/>
      </w:pPr>
    </w:p>
    <w:p w14:paraId="2E77AD42" w14:textId="77777777" w:rsidR="00FF49F1" w:rsidRDefault="00FF49F1" w:rsidP="00FF49F1">
      <w:pPr>
        <w:pStyle w:val="Caption"/>
        <w:rPr>
          <w:iCs w:val="0"/>
        </w:rPr>
      </w:pPr>
      <w:r w:rsidRPr="000A2B46">
        <w:rPr>
          <w:rFonts w:ascii="Franklin Gothic Demi" w:eastAsia="Arial Narrow" w:hAnsi="Franklin Gothic Demi" w:cs="Times New Roman"/>
          <w:bCs/>
          <w:iCs w:val="0"/>
          <w:sz w:val="20"/>
          <w:highlight w:val="yellow"/>
        </w:rPr>
        <w:lastRenderedPageBreak/>
        <w:t>Figure XX</w:t>
      </w:r>
      <w:r w:rsidRPr="00152610">
        <w:rPr>
          <w:rFonts w:ascii="Franklin Gothic Demi" w:eastAsia="Arial Narrow" w:hAnsi="Franklin Gothic Demi" w:cs="Times New Roman"/>
          <w:bCs/>
          <w:iCs w:val="0"/>
          <w:sz w:val="20"/>
        </w:rPr>
        <w:t>:  NYCA Summer Transmission Security Margin (</w:t>
      </w:r>
      <w:r>
        <w:rPr>
          <w:rFonts w:ascii="Franklin Gothic Demi" w:hAnsi="Franklin Gothic Demi"/>
          <w:sz w:val="20"/>
        </w:rPr>
        <w:t>NYCA 1-in-10 (90/10) Peak Forecast - Emergency</w:t>
      </w:r>
      <w:r w:rsidRPr="00152610">
        <w:rPr>
          <w:rFonts w:ascii="Franklin Gothic Demi" w:eastAsia="Arial Narrow" w:hAnsi="Franklin Gothic Demi" w:cs="Times New Roman"/>
          <w:bCs/>
          <w:iCs w:val="0"/>
          <w:sz w:val="20"/>
        </w:rPr>
        <w:t>)</w:t>
      </w:r>
      <w:r w:rsidRPr="005E4293">
        <w:rPr>
          <w:iCs w:val="0"/>
        </w:rPr>
        <w:t xml:space="preserve"> </w:t>
      </w:r>
      <w:r w:rsidRPr="00C926B0">
        <w:rPr>
          <w:noProof/>
        </w:rPr>
        <w:drawing>
          <wp:inline distT="0" distB="0" distL="0" distR="0" wp14:anchorId="4A934F9B" wp14:editId="1061D563">
            <wp:extent cx="5943600" cy="2267718"/>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43600" cy="2267718"/>
                    </a:xfrm>
                    <a:prstGeom prst="rect">
                      <a:avLst/>
                    </a:prstGeom>
                    <a:noFill/>
                    <a:ln>
                      <a:noFill/>
                    </a:ln>
                  </pic:spPr>
                </pic:pic>
              </a:graphicData>
            </a:graphic>
          </wp:inline>
        </w:drawing>
      </w:r>
    </w:p>
    <w:p w14:paraId="403E7C24" w14:textId="77777777" w:rsidR="00FF49F1" w:rsidRDefault="00FF49F1" w:rsidP="00FF49F1">
      <w:pPr>
        <w:pStyle w:val="Caption"/>
        <w:rPr>
          <w:lang w:bidi="en-US"/>
        </w:rPr>
      </w:pPr>
    </w:p>
    <w:p w14:paraId="382D4FA3" w14:textId="77777777" w:rsidR="00FF49F1" w:rsidRPr="00281D88" w:rsidRDefault="00FF49F1" w:rsidP="00FF49F1">
      <w:pPr>
        <w:pStyle w:val="BodyText"/>
      </w:pPr>
      <w:r w:rsidRPr="00281D88">
        <w:rPr>
          <w:bCs w:val="0"/>
        </w:rPr>
        <w:t xml:space="preserve">Under transmission security for the 1 in </w:t>
      </w:r>
      <w:proofErr w:type="gramStart"/>
      <w:r w:rsidRPr="00281D88">
        <w:rPr>
          <w:bCs w:val="0"/>
        </w:rPr>
        <w:t>100 year</w:t>
      </w:r>
      <w:proofErr w:type="gramEnd"/>
      <w:r w:rsidRPr="00281D88">
        <w:rPr>
          <w:bCs w:val="0"/>
        </w:rPr>
        <w:t xml:space="preserve"> forecast, </w:t>
      </w:r>
      <w:r w:rsidRPr="00932EFE">
        <w:rPr>
          <w:bCs w:val="0"/>
          <w:highlight w:val="yellow"/>
        </w:rPr>
        <w:t>Figure XX</w:t>
      </w:r>
      <w:r w:rsidRPr="00281D88">
        <w:rPr>
          <w:bCs w:val="0"/>
        </w:rPr>
        <w:t xml:space="preserve"> shows that there is insufficient transmission security margin as early as 2022 (line item I).  This deficiency is exacerbated with the inclusion of forced outages (</w:t>
      </w:r>
      <w:proofErr w:type="gramStart"/>
      <w:r w:rsidRPr="00281D88">
        <w:rPr>
          <w:bCs w:val="0"/>
        </w:rPr>
        <w:t>line item</w:t>
      </w:r>
      <w:proofErr w:type="gramEnd"/>
      <w:r w:rsidRPr="00281D88">
        <w:rPr>
          <w:bCs w:val="0"/>
        </w:rPr>
        <w:t xml:space="preserve"> K).  The adjusted transmission security margin is deficient beyond the point of meeting the total capability requirement without reserve</w:t>
      </w:r>
      <w:r>
        <w:rPr>
          <w:bCs w:val="0"/>
        </w:rPr>
        <w:t>s</w:t>
      </w:r>
      <w:r w:rsidRPr="00281D88">
        <w:rPr>
          <w:bCs w:val="0"/>
        </w:rPr>
        <w:t>.  For example, changing the operating reserve requirement to 0 MW, the adjusted transmission security margin ranges from 175 MW deficient in 2022 to 724 MW deficient in 2031.</w:t>
      </w:r>
    </w:p>
    <w:p w14:paraId="3D5502E5" w14:textId="77777777" w:rsidR="00FF49F1" w:rsidRDefault="00FF49F1" w:rsidP="00FF49F1">
      <w:pPr>
        <w:pStyle w:val="Caption"/>
        <w:rPr>
          <w:iCs w:val="0"/>
        </w:rPr>
      </w:pPr>
      <w:r w:rsidRPr="000A2B46">
        <w:rPr>
          <w:rFonts w:ascii="Franklin Gothic Demi" w:eastAsia="Arial Narrow" w:hAnsi="Franklin Gothic Demi" w:cs="Times New Roman"/>
          <w:bCs/>
          <w:iCs w:val="0"/>
          <w:sz w:val="20"/>
          <w:highlight w:val="yellow"/>
        </w:rPr>
        <w:t>Figure XX</w:t>
      </w:r>
      <w:r w:rsidRPr="00152610">
        <w:rPr>
          <w:rFonts w:ascii="Franklin Gothic Demi" w:eastAsia="Arial Narrow" w:hAnsi="Franklin Gothic Demi" w:cs="Times New Roman"/>
          <w:bCs/>
          <w:iCs w:val="0"/>
          <w:sz w:val="20"/>
        </w:rPr>
        <w:t>:  NYCA Summer Transmission Security Margin (</w:t>
      </w:r>
      <w:r>
        <w:rPr>
          <w:rFonts w:ascii="Franklin Gothic Demi" w:eastAsia="Arial Narrow" w:hAnsi="Franklin Gothic Demi" w:cs="Times New Roman"/>
          <w:bCs/>
          <w:iCs w:val="0"/>
          <w:sz w:val="20"/>
        </w:rPr>
        <w:t>NYCA Summer 1-in-100 Peak Forecast - Emergency</w:t>
      </w:r>
      <w:r w:rsidRPr="00152610">
        <w:rPr>
          <w:rFonts w:ascii="Franklin Gothic Demi" w:eastAsia="Arial Narrow" w:hAnsi="Franklin Gothic Demi" w:cs="Times New Roman"/>
          <w:bCs/>
          <w:iCs w:val="0"/>
          <w:sz w:val="20"/>
        </w:rPr>
        <w:t>)</w:t>
      </w:r>
      <w:r w:rsidRPr="005E4293">
        <w:rPr>
          <w:iCs w:val="0"/>
        </w:rPr>
        <w:t xml:space="preserve"> </w:t>
      </w:r>
      <w:r w:rsidRPr="00C926B0">
        <w:rPr>
          <w:noProof/>
        </w:rPr>
        <w:drawing>
          <wp:inline distT="0" distB="0" distL="0" distR="0" wp14:anchorId="1443F5E8" wp14:editId="0E3D8EF0">
            <wp:extent cx="5943600" cy="2251623"/>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43600" cy="2251623"/>
                    </a:xfrm>
                    <a:prstGeom prst="rect">
                      <a:avLst/>
                    </a:prstGeom>
                    <a:noFill/>
                    <a:ln>
                      <a:noFill/>
                    </a:ln>
                  </pic:spPr>
                </pic:pic>
              </a:graphicData>
            </a:graphic>
          </wp:inline>
        </w:drawing>
      </w:r>
    </w:p>
    <w:p w14:paraId="015CED80" w14:textId="77777777" w:rsidR="00FF49F1" w:rsidRDefault="00FF49F1" w:rsidP="00FF49F1">
      <w:pPr>
        <w:spacing w:after="120" w:line="360" w:lineRule="auto"/>
        <w:ind w:left="0" w:firstLine="0"/>
        <w:rPr>
          <w:rFonts w:ascii="Cambria" w:eastAsia="Arial Narrow" w:hAnsi="Cambria"/>
          <w:sz w:val="22"/>
          <w:lang w:bidi="ar-SA"/>
        </w:rPr>
      </w:pPr>
    </w:p>
    <w:p w14:paraId="651006F6" w14:textId="77777777" w:rsidR="00FF49F1" w:rsidRDefault="00FF49F1" w:rsidP="00FF49F1">
      <w:pPr>
        <w:pStyle w:val="Caption"/>
        <w:rPr>
          <w:rFonts w:ascii="Cambria" w:eastAsia="Arial Narrow" w:hAnsi="Cambria"/>
          <w:sz w:val="22"/>
        </w:rPr>
      </w:pPr>
      <w:r w:rsidRPr="000A2B46">
        <w:rPr>
          <w:rFonts w:ascii="Franklin Gothic Demi" w:eastAsia="Arial Narrow" w:hAnsi="Franklin Gothic Demi" w:cs="Times New Roman"/>
          <w:bCs/>
          <w:iCs w:val="0"/>
          <w:sz w:val="20"/>
          <w:highlight w:val="yellow"/>
        </w:rPr>
        <w:lastRenderedPageBreak/>
        <w:t>Figure XX</w:t>
      </w:r>
      <w:r w:rsidRPr="00152610">
        <w:rPr>
          <w:rFonts w:ascii="Franklin Gothic Demi" w:eastAsia="Arial Narrow" w:hAnsi="Franklin Gothic Demi" w:cs="Times New Roman"/>
          <w:bCs/>
          <w:iCs w:val="0"/>
          <w:sz w:val="20"/>
        </w:rPr>
        <w:t xml:space="preserve">:  </w:t>
      </w:r>
      <w:r>
        <w:rPr>
          <w:rFonts w:ascii="Franklin Gothic Demi" w:eastAsia="Arial Narrow" w:hAnsi="Franklin Gothic Demi" w:cs="Times New Roman"/>
          <w:bCs/>
          <w:iCs w:val="0"/>
          <w:sz w:val="20"/>
        </w:rPr>
        <w:t>Summary of NYCA Transmission Security Margin</w:t>
      </w:r>
      <w:r>
        <w:rPr>
          <w:rFonts w:ascii="Franklin Gothic Demi" w:eastAsia="Arial Narrow" w:hAnsi="Franklin Gothic Demi" w:cs="Times New Roman"/>
          <w:bCs/>
          <w:iCs w:val="0"/>
          <w:noProof/>
          <w:sz w:val="20"/>
        </w:rPr>
        <w:drawing>
          <wp:inline distT="0" distB="0" distL="0" distR="0" wp14:anchorId="6AA155DE" wp14:editId="4A6806D5">
            <wp:extent cx="6486781" cy="2743200"/>
            <wp:effectExtent l="0" t="0" r="9525"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486781" cy="2743200"/>
                    </a:xfrm>
                    <a:prstGeom prst="rect">
                      <a:avLst/>
                    </a:prstGeom>
                    <a:noFill/>
                  </pic:spPr>
                </pic:pic>
              </a:graphicData>
            </a:graphic>
          </wp:inline>
        </w:drawing>
      </w:r>
    </w:p>
    <w:p w14:paraId="32E805CD" w14:textId="77777777" w:rsidR="00FF49F1" w:rsidRDefault="00FF49F1" w:rsidP="00FF49F1">
      <w:pPr>
        <w:pStyle w:val="BodyText"/>
        <w:ind w:firstLine="0"/>
      </w:pPr>
    </w:p>
    <w:p w14:paraId="0A336723" w14:textId="77777777" w:rsidR="00FF49F1" w:rsidRDefault="00FF49F1" w:rsidP="00FF49F1">
      <w:pPr>
        <w:pStyle w:val="Heading2"/>
      </w:pPr>
      <w:bookmarkStart w:id="130" w:name="_Toc80124489"/>
      <w:bookmarkStart w:id="131" w:name="_Toc81138712"/>
      <w:r>
        <w:t>Lower Hudson Valley (Zones G-J) Tipping Points</w:t>
      </w:r>
      <w:bookmarkEnd w:id="130"/>
      <w:bookmarkEnd w:id="131"/>
    </w:p>
    <w:p w14:paraId="71085F23" w14:textId="1374BDD7" w:rsidR="00FF49F1" w:rsidRDefault="00FF49F1" w:rsidP="00FF49F1">
      <w:pPr>
        <w:pStyle w:val="BodyText"/>
      </w:pPr>
      <w:r>
        <w:t xml:space="preserve">The Lower Hudson Valley, or southeastern New York (SENY) region, is comprised of </w:t>
      </w:r>
      <w:r w:rsidR="006C747E">
        <w:t>Z</w:t>
      </w:r>
      <w:r>
        <w:t xml:space="preserve">ones G-J and includes the electrical connections to the RECO load in PJM.  To determine the tipping point for this area, the most limiting combination of two non-simultaneous contingency events (N-1-1) to the transmission security margin was determined.  Design criteria N-1-1 combinations include various combinations of losses of generation and transmission. As the system changes the limiting contingency combination may also change.  </w:t>
      </w:r>
      <w:r w:rsidRPr="005E6267">
        <w:rPr>
          <w:highlight w:val="yellow"/>
        </w:rPr>
        <w:t>Figure XX</w:t>
      </w:r>
      <w:r>
        <w:t xml:space="preserve"> shows how the transmissions security margin changes through time in consideration of the most limiting contingency combination for the year being evaluated.   In years 2022 and 2023 (prior to the completion of the Segment B public policy project) the most limiting contingency combination to the transmission security margin under peak load conditions is the loss of Leeds-Pleasant Valley (92) 345 kV followed by the loss of Dolson – Rock Tavern (DART44) 345 kV and Coopers Corners – Rock Tavern (CCRT34).  For the remainder of the years the contingency combination changes to the loss of Ravenswood 3 followed by the loss of Pleasant Valley-Wood St. 345 kV (F30/F31).  </w:t>
      </w:r>
    </w:p>
    <w:p w14:paraId="26C41626" w14:textId="77777777" w:rsidR="00923CD3" w:rsidRDefault="00923CD3">
      <w:pPr>
        <w:rPr>
          <w:rFonts w:ascii="Franklin Gothic Demi" w:eastAsia="Arial Narrow" w:hAnsi="Franklin Gothic Demi"/>
          <w:bCs/>
          <w:iCs/>
          <w:sz w:val="22"/>
          <w:highlight w:val="yellow"/>
          <w:lang w:bidi="ar-SA"/>
        </w:rPr>
      </w:pPr>
      <w:r>
        <w:rPr>
          <w:rFonts w:ascii="Franklin Gothic Demi" w:hAnsi="Franklin Gothic Demi"/>
          <w:iCs/>
          <w:highlight w:val="yellow"/>
        </w:rPr>
        <w:br w:type="page"/>
      </w:r>
    </w:p>
    <w:p w14:paraId="4940C2AD" w14:textId="5F85B02A" w:rsidR="00FF49F1" w:rsidRDefault="00FF49F1" w:rsidP="00FF49F1">
      <w:pPr>
        <w:pStyle w:val="BodyText"/>
      </w:pPr>
      <w:r w:rsidRPr="0056107A">
        <w:rPr>
          <w:rFonts w:ascii="Franklin Gothic Demi" w:hAnsi="Franklin Gothic Demi"/>
          <w:iCs/>
          <w:highlight w:val="yellow"/>
        </w:rPr>
        <w:lastRenderedPageBreak/>
        <w:t>Figure XX:</w:t>
      </w:r>
      <w:r w:rsidRPr="006B16B9">
        <w:rPr>
          <w:rFonts w:ascii="Franklin Gothic Demi" w:hAnsi="Franklin Gothic Demi"/>
          <w:iCs/>
        </w:rPr>
        <w:t xml:space="preserve">  </w:t>
      </w:r>
      <w:r>
        <w:rPr>
          <w:rFonts w:ascii="Franklin Gothic Demi" w:hAnsi="Franklin Gothic Demi"/>
          <w:iCs/>
        </w:rPr>
        <w:t>Lower Hudson Valley</w:t>
      </w:r>
      <w:r w:rsidRPr="006B16B9">
        <w:rPr>
          <w:rFonts w:ascii="Franklin Gothic Demi" w:hAnsi="Franklin Gothic Demi"/>
          <w:iCs/>
        </w:rPr>
        <w:t xml:space="preserve"> Summer Transmission Security Margin (</w:t>
      </w:r>
      <w:r>
        <w:rPr>
          <w:rFonts w:ascii="Franklin Gothic Demi" w:hAnsi="Franklin Gothic Demi"/>
          <w:iCs/>
        </w:rPr>
        <w:t>Summer Baseline Peak Forecast - Normal</w:t>
      </w:r>
      <w:r w:rsidRPr="006B16B9">
        <w:rPr>
          <w:rFonts w:ascii="Franklin Gothic Demi" w:hAnsi="Franklin Gothic Demi"/>
          <w:iCs/>
        </w:rPr>
        <w:t>)</w:t>
      </w:r>
      <w:r w:rsidRPr="00A375D2">
        <w:rPr>
          <w:i/>
          <w:iCs/>
          <w:color w:val="1F497D" w:themeColor="text2"/>
          <w:sz w:val="18"/>
          <w:szCs w:val="18"/>
        </w:rPr>
        <w:t xml:space="preserve"> </w:t>
      </w:r>
    </w:p>
    <w:p w14:paraId="547949D4" w14:textId="77777777" w:rsidR="00FF49F1" w:rsidRDefault="00FF49F1" w:rsidP="00FF49F1">
      <w:pPr>
        <w:pStyle w:val="BodyText"/>
        <w:ind w:firstLine="0"/>
      </w:pPr>
      <w:r>
        <w:rPr>
          <w:noProof/>
        </w:rPr>
        <w:drawing>
          <wp:inline distT="0" distB="0" distL="0" distR="0" wp14:anchorId="13DAE369" wp14:editId="4F52F84E">
            <wp:extent cx="5916127" cy="1920240"/>
            <wp:effectExtent l="0" t="0" r="8890" b="381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16127" cy="1920240"/>
                    </a:xfrm>
                    <a:prstGeom prst="rect">
                      <a:avLst/>
                    </a:prstGeom>
                    <a:noFill/>
                  </pic:spPr>
                </pic:pic>
              </a:graphicData>
            </a:graphic>
          </wp:inline>
        </w:drawing>
      </w:r>
    </w:p>
    <w:p w14:paraId="4C1221D5" w14:textId="77777777" w:rsidR="00FF49F1" w:rsidRDefault="00FF49F1" w:rsidP="00FF49F1">
      <w:pPr>
        <w:pStyle w:val="BodyText"/>
      </w:pPr>
      <w:r w:rsidRPr="006B16B9">
        <w:rPr>
          <w:highlight w:val="yellow"/>
        </w:rPr>
        <w:t>Figure XX</w:t>
      </w:r>
      <w:r>
        <w:t xml:space="preserve"> shows the calculation of the lower Hudson Valley transmission security margin for summer baseline peak load (normal) conditions.  The transmission security margin ranges from 2,325 MW (2022) to 2,260 MW (2031).  In consideration of the transmission security margin (</w:t>
      </w:r>
      <w:proofErr w:type="gramStart"/>
      <w:r>
        <w:t>line item</w:t>
      </w:r>
      <w:proofErr w:type="gramEnd"/>
      <w:r>
        <w:t xml:space="preserve"> P), the values show that it is feasible to not tip in consideration of the potential outage of any generator in the area. The largest generator in the area is Cricket Valley with a summer capability of 1,088 MW.  With the outage of this entire plant, the transmission security margin in 2031 reduces to 1,172 MW.</w:t>
      </w:r>
    </w:p>
    <w:p w14:paraId="6EA8BDB8" w14:textId="77777777" w:rsidR="00FF49F1" w:rsidRDefault="00FF49F1" w:rsidP="00FF49F1">
      <w:pPr>
        <w:pStyle w:val="BodyText"/>
      </w:pPr>
      <w:r>
        <w:t xml:space="preserve">  An additional evaluation shown in </w:t>
      </w:r>
      <w:r w:rsidRPr="00932EFE">
        <w:rPr>
          <w:highlight w:val="yellow"/>
        </w:rPr>
        <w:t>Figure XX</w:t>
      </w:r>
      <w:r>
        <w:t xml:space="preserve"> is the impact of the forced outage rate of NYCA thermal generation on the transmission security margin. Also, while SCRs are generally not included for a Transmission Security evaluation, they are used for this forced outage rate evaluation. The adjusted transmission security margin (</w:t>
      </w:r>
      <w:proofErr w:type="gramStart"/>
      <w:r>
        <w:t>line item</w:t>
      </w:r>
      <w:proofErr w:type="gramEnd"/>
      <w:r>
        <w:t xml:space="preserve"> S) shows that sufficient margin exists under this condition. In consideration of the outage of Cricket Valley (1,088 MW) on top of the adjusted transmission security margin (</w:t>
      </w:r>
      <w:proofErr w:type="gramStart"/>
      <w:r>
        <w:t>line item</w:t>
      </w:r>
      <w:proofErr w:type="gramEnd"/>
      <w:r>
        <w:t xml:space="preserve"> S), in 2031 the margin reduces to 362 MW.</w:t>
      </w:r>
    </w:p>
    <w:p w14:paraId="3B3F5335" w14:textId="3DDADFB4" w:rsidR="009F19A7" w:rsidRDefault="009F19A7">
      <w:pPr>
        <w:rPr>
          <w:rFonts w:ascii="Franklin Gothic Demi" w:eastAsia="Arial Narrow" w:hAnsi="Franklin Gothic Demi"/>
          <w:bCs/>
          <w:iCs/>
          <w:sz w:val="22"/>
          <w:highlight w:val="yellow"/>
          <w:lang w:bidi="ar-SA"/>
        </w:rPr>
      </w:pPr>
      <w:r>
        <w:rPr>
          <w:rFonts w:ascii="Franklin Gothic Demi" w:hAnsi="Franklin Gothic Demi"/>
          <w:iCs/>
          <w:highlight w:val="yellow"/>
        </w:rPr>
        <w:br w:type="page"/>
      </w:r>
    </w:p>
    <w:p w14:paraId="5A8337C6" w14:textId="59725A1E" w:rsidR="00FF49F1" w:rsidRDefault="00FF49F1" w:rsidP="00FF49F1">
      <w:pPr>
        <w:pStyle w:val="BodyText"/>
      </w:pPr>
      <w:r w:rsidRPr="0056107A">
        <w:rPr>
          <w:rFonts w:ascii="Franklin Gothic Demi" w:hAnsi="Franklin Gothic Demi"/>
          <w:iCs/>
          <w:highlight w:val="yellow"/>
        </w:rPr>
        <w:lastRenderedPageBreak/>
        <w:t>Figure XX:</w:t>
      </w:r>
      <w:r w:rsidRPr="006B16B9">
        <w:rPr>
          <w:rFonts w:ascii="Franklin Gothic Demi" w:hAnsi="Franklin Gothic Demi"/>
          <w:iCs/>
        </w:rPr>
        <w:t xml:space="preserve">  </w:t>
      </w:r>
      <w:r>
        <w:rPr>
          <w:rFonts w:ascii="Franklin Gothic Demi" w:hAnsi="Franklin Gothic Demi"/>
          <w:iCs/>
        </w:rPr>
        <w:t>G-J</w:t>
      </w:r>
      <w:r w:rsidRPr="006B16B9">
        <w:rPr>
          <w:rFonts w:ascii="Franklin Gothic Demi" w:hAnsi="Franklin Gothic Demi"/>
          <w:iCs/>
        </w:rPr>
        <w:t xml:space="preserve"> Summer Transmission Security Margin (</w:t>
      </w:r>
      <w:r>
        <w:rPr>
          <w:rFonts w:ascii="Franklin Gothic Demi" w:hAnsi="Franklin Gothic Demi"/>
          <w:iCs/>
        </w:rPr>
        <w:t>Summer Baseline Peak Forecast - Normal</w:t>
      </w:r>
      <w:r w:rsidRPr="006B16B9">
        <w:rPr>
          <w:rFonts w:ascii="Franklin Gothic Demi" w:hAnsi="Franklin Gothic Demi"/>
          <w:iCs/>
        </w:rPr>
        <w:t>)</w:t>
      </w:r>
      <w:r w:rsidRPr="00A375D2">
        <w:rPr>
          <w:i/>
          <w:iCs/>
          <w:color w:val="1F497D" w:themeColor="text2"/>
          <w:sz w:val="18"/>
          <w:szCs w:val="18"/>
        </w:rPr>
        <w:t xml:space="preserve"> </w:t>
      </w:r>
      <w:r w:rsidRPr="005426FE">
        <w:rPr>
          <w:noProof/>
        </w:rPr>
        <w:drawing>
          <wp:inline distT="0" distB="0" distL="0" distR="0" wp14:anchorId="3D0C94EA" wp14:editId="26B9A0E9">
            <wp:extent cx="5943600" cy="2471032"/>
            <wp:effectExtent l="0" t="0" r="0" b="571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43600" cy="2471032"/>
                    </a:xfrm>
                    <a:prstGeom prst="rect">
                      <a:avLst/>
                    </a:prstGeom>
                    <a:noFill/>
                    <a:ln>
                      <a:noFill/>
                    </a:ln>
                  </pic:spPr>
                </pic:pic>
              </a:graphicData>
            </a:graphic>
          </wp:inline>
        </w:drawing>
      </w:r>
    </w:p>
    <w:p w14:paraId="76FF918D" w14:textId="77777777" w:rsidR="00FF49F1" w:rsidRDefault="00FF49F1" w:rsidP="00FF49F1">
      <w:pPr>
        <w:pStyle w:val="BodyText"/>
      </w:pPr>
      <w:r w:rsidRPr="00CA65AD">
        <w:rPr>
          <w:highlight w:val="yellow"/>
        </w:rPr>
        <w:t>Figure XX</w:t>
      </w:r>
      <w:r>
        <w:t xml:space="preserve"> and Figure XX show the transmission security margin for the 1-in-</w:t>
      </w:r>
      <w:proofErr w:type="gramStart"/>
      <w:r>
        <w:t>10 year</w:t>
      </w:r>
      <w:proofErr w:type="gramEnd"/>
      <w:r>
        <w:t xml:space="preserve"> load conditions (also known as 90/10 or 90</w:t>
      </w:r>
      <w:r w:rsidRPr="004E7A90">
        <w:rPr>
          <w:vertAlign w:val="superscript"/>
        </w:rPr>
        <w:t>th</w:t>
      </w:r>
      <w:r>
        <w:t xml:space="preserve"> percentile load) and 1-in-100 year load conditions (respectively) under the assumption that the system is in an emergency condition.  An additional evaluation shown in each figure is the impacted of the forced outage rate of G-J generation on the transmission security margin.  The adjusted transmission security margin (</w:t>
      </w:r>
      <w:proofErr w:type="gramStart"/>
      <w:r>
        <w:t>line item</w:t>
      </w:r>
      <w:proofErr w:type="gramEnd"/>
      <w:r>
        <w:t xml:space="preserve"> S) shows that under 90/10 the system does not tip under these conditions.  However, under 1-in-100 load conditions the system does tip under the adjusted transmission security margin (</w:t>
      </w:r>
      <w:proofErr w:type="gramStart"/>
      <w:r>
        <w:t>line item</w:t>
      </w:r>
      <w:proofErr w:type="gramEnd"/>
      <w:r>
        <w:t xml:space="preserve"> S) in 2023.  </w:t>
      </w:r>
    </w:p>
    <w:p w14:paraId="457FBA45" w14:textId="77777777" w:rsidR="00FF49F1" w:rsidRDefault="00FF49F1" w:rsidP="00FF49F1">
      <w:pPr>
        <w:pStyle w:val="BodyText"/>
      </w:pPr>
      <w:r>
        <w:rPr>
          <w:rFonts w:ascii="Franklin Gothic Demi" w:hAnsi="Franklin Gothic Demi"/>
          <w:sz w:val="20"/>
          <w:highlight w:val="yellow"/>
          <w:lang w:bidi="en-US"/>
        </w:rPr>
        <w:t>Figure XX</w:t>
      </w:r>
      <w:r w:rsidRPr="001F0469">
        <w:rPr>
          <w:rFonts w:ascii="Franklin Gothic Demi" w:hAnsi="Franklin Gothic Demi"/>
          <w:sz w:val="20"/>
          <w:lang w:bidi="en-US"/>
        </w:rPr>
        <w:t xml:space="preserve">:  </w:t>
      </w:r>
      <w:r>
        <w:rPr>
          <w:rFonts w:ascii="Franklin Gothic Demi" w:hAnsi="Franklin Gothic Demi"/>
          <w:sz w:val="20"/>
          <w:lang w:bidi="en-US"/>
        </w:rPr>
        <w:t>G-J</w:t>
      </w:r>
      <w:r w:rsidRPr="001F0469">
        <w:rPr>
          <w:rFonts w:ascii="Franklin Gothic Demi" w:hAnsi="Franklin Gothic Demi"/>
          <w:sz w:val="20"/>
          <w:lang w:bidi="en-US"/>
        </w:rPr>
        <w:t xml:space="preserve"> Summer Transmission Security Margin (</w:t>
      </w:r>
      <w:r>
        <w:rPr>
          <w:rFonts w:ascii="Franklin Gothic Demi" w:hAnsi="Franklin Gothic Demi"/>
          <w:sz w:val="20"/>
          <w:lang w:bidi="en-US"/>
        </w:rPr>
        <w:t>Summer 1-in-10 (90/10) Peak Forecast - Emergency</w:t>
      </w:r>
      <w:r w:rsidRPr="001F0469">
        <w:rPr>
          <w:rFonts w:ascii="Franklin Gothic Demi" w:hAnsi="Franklin Gothic Demi"/>
          <w:sz w:val="20"/>
          <w:lang w:bidi="en-US"/>
        </w:rPr>
        <w:t>)</w:t>
      </w:r>
      <w:r w:rsidRPr="00021E65">
        <w:t xml:space="preserve"> </w:t>
      </w:r>
      <w:r w:rsidRPr="00C331BF">
        <w:rPr>
          <w:noProof/>
        </w:rPr>
        <w:drawing>
          <wp:inline distT="0" distB="0" distL="0" distR="0" wp14:anchorId="3A5EE48F" wp14:editId="65731A96">
            <wp:extent cx="5943600" cy="2486486"/>
            <wp:effectExtent l="0" t="0" r="0" b="952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43600" cy="2486486"/>
                    </a:xfrm>
                    <a:prstGeom prst="rect">
                      <a:avLst/>
                    </a:prstGeom>
                    <a:noFill/>
                    <a:ln>
                      <a:noFill/>
                    </a:ln>
                  </pic:spPr>
                </pic:pic>
              </a:graphicData>
            </a:graphic>
          </wp:inline>
        </w:drawing>
      </w:r>
    </w:p>
    <w:p w14:paraId="5019C035" w14:textId="77777777" w:rsidR="00FF49F1" w:rsidRDefault="00FF49F1" w:rsidP="00FF49F1">
      <w:pPr>
        <w:pStyle w:val="BodyText"/>
        <w:rPr>
          <w:bCs w:val="0"/>
        </w:rPr>
      </w:pPr>
    </w:p>
    <w:p w14:paraId="3024F8F8" w14:textId="77777777" w:rsidR="00FF49F1" w:rsidRDefault="00FF49F1" w:rsidP="00FF49F1">
      <w:pPr>
        <w:pStyle w:val="Caption"/>
      </w:pPr>
      <w:r>
        <w:rPr>
          <w:rFonts w:ascii="Franklin Gothic Demi" w:eastAsia="Arial Narrow" w:hAnsi="Franklin Gothic Demi" w:cs="Times New Roman"/>
          <w:bCs/>
          <w:sz w:val="20"/>
          <w:szCs w:val="22"/>
          <w:highlight w:val="yellow"/>
          <w:lang w:bidi="en-US"/>
        </w:rPr>
        <w:lastRenderedPageBreak/>
        <w:t>Figure XX</w:t>
      </w:r>
      <w:r w:rsidRPr="001F0469">
        <w:rPr>
          <w:rFonts w:ascii="Franklin Gothic Demi" w:eastAsia="Arial Narrow" w:hAnsi="Franklin Gothic Demi" w:cs="Times New Roman"/>
          <w:bCs/>
          <w:sz w:val="20"/>
          <w:szCs w:val="22"/>
          <w:lang w:bidi="en-US"/>
        </w:rPr>
        <w:t xml:space="preserve">:  </w:t>
      </w:r>
      <w:r>
        <w:rPr>
          <w:rFonts w:ascii="Franklin Gothic Demi" w:eastAsia="Arial Narrow" w:hAnsi="Franklin Gothic Demi" w:cs="Times New Roman"/>
          <w:bCs/>
          <w:sz w:val="20"/>
          <w:szCs w:val="22"/>
          <w:lang w:bidi="en-US"/>
        </w:rPr>
        <w:t>G-J</w:t>
      </w:r>
      <w:r w:rsidRPr="001F0469">
        <w:rPr>
          <w:rFonts w:ascii="Franklin Gothic Demi" w:eastAsia="Arial Narrow" w:hAnsi="Franklin Gothic Demi" w:cs="Times New Roman"/>
          <w:bCs/>
          <w:sz w:val="20"/>
          <w:szCs w:val="22"/>
          <w:lang w:bidi="en-US"/>
        </w:rPr>
        <w:t xml:space="preserve"> Summer Transmission Security Margin (</w:t>
      </w:r>
      <w:r>
        <w:rPr>
          <w:rFonts w:ascii="Franklin Gothic Demi" w:eastAsia="Arial Narrow" w:hAnsi="Franklin Gothic Demi" w:cs="Times New Roman"/>
          <w:bCs/>
          <w:sz w:val="20"/>
          <w:szCs w:val="22"/>
          <w:lang w:bidi="en-US"/>
        </w:rPr>
        <w:t>Summer 1-in-100 Peak Forecast - Emergency</w:t>
      </w:r>
      <w:r w:rsidRPr="001F0469">
        <w:rPr>
          <w:rFonts w:ascii="Franklin Gothic Demi" w:eastAsia="Arial Narrow" w:hAnsi="Franklin Gothic Demi" w:cs="Times New Roman"/>
          <w:bCs/>
          <w:sz w:val="20"/>
          <w:szCs w:val="22"/>
          <w:lang w:bidi="en-US"/>
        </w:rPr>
        <w:t>)</w:t>
      </w:r>
      <w:r w:rsidRPr="00021E65">
        <w:rPr>
          <w:iCs w:val="0"/>
        </w:rPr>
        <w:t xml:space="preserve"> </w:t>
      </w:r>
      <w:r w:rsidRPr="00CA65AD">
        <w:rPr>
          <w:noProof/>
        </w:rPr>
        <w:drawing>
          <wp:inline distT="0" distB="0" distL="0" distR="0" wp14:anchorId="0BCFE821" wp14:editId="4208E23A">
            <wp:extent cx="5943600" cy="2501669"/>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43600" cy="2501669"/>
                    </a:xfrm>
                    <a:prstGeom prst="rect">
                      <a:avLst/>
                    </a:prstGeom>
                    <a:noFill/>
                    <a:ln>
                      <a:noFill/>
                    </a:ln>
                  </pic:spPr>
                </pic:pic>
              </a:graphicData>
            </a:graphic>
          </wp:inline>
        </w:drawing>
      </w:r>
    </w:p>
    <w:p w14:paraId="157002D6" w14:textId="77777777" w:rsidR="00FF49F1" w:rsidRDefault="00FF49F1" w:rsidP="00FF49F1">
      <w:pPr>
        <w:pStyle w:val="BodyText"/>
        <w:ind w:firstLine="0"/>
        <w:rPr>
          <w:bCs w:val="0"/>
        </w:rPr>
      </w:pPr>
    </w:p>
    <w:p w14:paraId="05297CD3" w14:textId="77777777" w:rsidR="00FF49F1" w:rsidRDefault="00FF49F1" w:rsidP="00FF49F1">
      <w:pPr>
        <w:pStyle w:val="Caption"/>
      </w:pPr>
      <w:r>
        <w:rPr>
          <w:rFonts w:ascii="Franklin Gothic Demi" w:eastAsia="Arial Narrow" w:hAnsi="Franklin Gothic Demi" w:cs="Times New Roman"/>
          <w:bCs/>
          <w:sz w:val="20"/>
          <w:szCs w:val="22"/>
          <w:highlight w:val="yellow"/>
          <w:lang w:bidi="en-US"/>
        </w:rPr>
        <w:t>Figure XX</w:t>
      </w:r>
      <w:r w:rsidRPr="001F0469">
        <w:rPr>
          <w:rFonts w:ascii="Franklin Gothic Demi" w:eastAsia="Arial Narrow" w:hAnsi="Franklin Gothic Demi" w:cs="Times New Roman"/>
          <w:bCs/>
          <w:sz w:val="20"/>
          <w:szCs w:val="22"/>
          <w:lang w:bidi="en-US"/>
        </w:rPr>
        <w:t xml:space="preserve">:  </w:t>
      </w:r>
      <w:r>
        <w:rPr>
          <w:rFonts w:ascii="Franklin Gothic Demi" w:eastAsia="Arial Narrow" w:hAnsi="Franklin Gothic Demi" w:cs="Times New Roman"/>
          <w:bCs/>
          <w:sz w:val="20"/>
          <w:szCs w:val="22"/>
          <w:lang w:bidi="en-US"/>
        </w:rPr>
        <w:t>Summary of Lower Hudson Valley</w:t>
      </w:r>
      <w:r w:rsidRPr="001F0469">
        <w:rPr>
          <w:rFonts w:ascii="Franklin Gothic Demi" w:eastAsia="Arial Narrow" w:hAnsi="Franklin Gothic Demi" w:cs="Times New Roman"/>
          <w:bCs/>
          <w:sz w:val="20"/>
          <w:szCs w:val="22"/>
          <w:lang w:bidi="en-US"/>
        </w:rPr>
        <w:t xml:space="preserve"> Summer Transmission Security Margin </w:t>
      </w:r>
      <w:r>
        <w:rPr>
          <w:rFonts w:ascii="Franklin Gothic Demi" w:eastAsia="Arial Narrow" w:hAnsi="Franklin Gothic Demi" w:cs="Times New Roman"/>
          <w:bCs/>
          <w:noProof/>
          <w:sz w:val="20"/>
          <w:szCs w:val="22"/>
        </w:rPr>
        <w:drawing>
          <wp:inline distT="0" distB="0" distL="0" distR="0" wp14:anchorId="69DB934D" wp14:editId="27AECEB6">
            <wp:extent cx="5962420" cy="2560320"/>
            <wp:effectExtent l="0" t="0" r="63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62420" cy="2560320"/>
                    </a:xfrm>
                    <a:prstGeom prst="rect">
                      <a:avLst/>
                    </a:prstGeom>
                    <a:noFill/>
                  </pic:spPr>
                </pic:pic>
              </a:graphicData>
            </a:graphic>
          </wp:inline>
        </w:drawing>
      </w:r>
    </w:p>
    <w:p w14:paraId="23A65D28" w14:textId="77777777" w:rsidR="00FF49F1" w:rsidRPr="00281D88" w:rsidRDefault="00FF49F1" w:rsidP="00FF49F1">
      <w:pPr>
        <w:pStyle w:val="BodyText"/>
        <w:ind w:firstLine="0"/>
        <w:rPr>
          <w:bCs w:val="0"/>
        </w:rPr>
      </w:pPr>
    </w:p>
    <w:p w14:paraId="40508B57" w14:textId="06CA0A27" w:rsidR="009F19A7" w:rsidRDefault="009F19A7">
      <w:pPr>
        <w:rPr>
          <w:rFonts w:ascii="Franklin Gothic Demi Cond" w:hAnsi="Franklin Gothic Demi Cond"/>
          <w:bCs/>
          <w:color w:val="005F86"/>
          <w:sz w:val="24"/>
          <w:szCs w:val="26"/>
        </w:rPr>
      </w:pPr>
      <w:r>
        <w:br w:type="page"/>
      </w:r>
    </w:p>
    <w:p w14:paraId="18E90735" w14:textId="77777777" w:rsidR="00FF49F1" w:rsidRDefault="00FF49F1" w:rsidP="00FF49F1">
      <w:pPr>
        <w:pStyle w:val="Heading2"/>
      </w:pPr>
      <w:bookmarkStart w:id="132" w:name="_Toc80124490"/>
      <w:bookmarkStart w:id="133" w:name="_Toc81138713"/>
      <w:r>
        <w:lastRenderedPageBreak/>
        <w:t>New York City (Zone J) Tipping Points</w:t>
      </w:r>
      <w:bookmarkEnd w:id="132"/>
      <w:bookmarkEnd w:id="133"/>
    </w:p>
    <w:p w14:paraId="3EC64B61" w14:textId="77777777" w:rsidR="00FF49F1" w:rsidRDefault="00FF49F1" w:rsidP="00FF49F1">
      <w:pPr>
        <w:pStyle w:val="BodyText"/>
      </w:pPr>
      <w:r>
        <w:t>Within the Con Edison service territory, the 345 kV transmission system along with specific portions of the 138 kV transmission system are designed for the occurrence of two non-simultaneous contingencies and a return to normal.</w:t>
      </w:r>
      <w:r w:rsidRPr="00004E28">
        <w:rPr>
          <w:vertAlign w:val="superscript"/>
        </w:rPr>
        <w:footnoteReference w:id="34"/>
      </w:r>
      <w:r>
        <w:t xml:space="preserve">  The analysis for this is noted as N-1-1-0, and the CRP notes a transmission security margin of 50 MW in Zone J.</w:t>
      </w:r>
      <w:r w:rsidRPr="00004E28">
        <w:rPr>
          <w:vertAlign w:val="superscript"/>
        </w:rPr>
        <w:footnoteReference w:id="35"/>
      </w:r>
      <w:r>
        <w:t xml:space="preserve">  Figure XX provides a summary of the zone J transmission security margin.</w:t>
      </w:r>
    </w:p>
    <w:p w14:paraId="58469AE2" w14:textId="620981DC" w:rsidR="00FF49F1" w:rsidRDefault="00FF49F1" w:rsidP="00FF49F1">
      <w:pPr>
        <w:pStyle w:val="BodyText"/>
        <w:jc w:val="left"/>
      </w:pPr>
      <w:r>
        <w:t xml:space="preserve">The tipping points for </w:t>
      </w:r>
      <w:r w:rsidR="007034EB">
        <w:t>Z</w:t>
      </w:r>
      <w:r>
        <w:t xml:space="preserve">one J are evaluated under the most limiting N-1-1-0 contingency combination to the transmission security margin, which is loss of Ravenswood 3 followed by the loss of Mott Haven – Rainey 345 kV (Q12).  </w:t>
      </w:r>
      <w:r w:rsidRPr="00004E28">
        <w:rPr>
          <w:highlight w:val="yellow"/>
        </w:rPr>
        <w:t>Figure XX</w:t>
      </w:r>
      <w:r>
        <w:t xml:space="preserve"> shows the transmission security margin under baseline load conditions with this contingency combination, which ranges from 1,174 MW in 2022 to 42 MW in 2031).  The most limiting contingency combination to transmission security margin in Zone J is the loss of Ravenswood 3 and </w:t>
      </w:r>
      <w:proofErr w:type="spellStart"/>
      <w:r>
        <w:t>Dunwoodie</w:t>
      </w:r>
      <w:proofErr w:type="spellEnd"/>
      <w:r>
        <w:t xml:space="preserve">-Mott Haven (Q12) 345 kV.  The power flowing into J from other NYCA zones is shown in </w:t>
      </w:r>
      <w:proofErr w:type="gramStart"/>
      <w:r>
        <w:t>line item</w:t>
      </w:r>
      <w:proofErr w:type="gramEnd"/>
      <w:r>
        <w:t xml:space="preserve"> B.  Other contingency combinations result in changing the power flowing into J from other NYCA zones.  For example, in considering the possible combinations </w:t>
      </w:r>
      <w:proofErr w:type="gramStart"/>
      <w:r>
        <w:t>of  N</w:t>
      </w:r>
      <w:proofErr w:type="gramEnd"/>
      <w:r>
        <w:t xml:space="preserve">-1-1-0 events these can include a mix of generation and transmission, two transmission events, or two generation events.  </w:t>
      </w:r>
      <w:r w:rsidRPr="00F12899">
        <w:rPr>
          <w:highlight w:val="yellow"/>
        </w:rPr>
        <w:t>Figure XX</w:t>
      </w:r>
      <w:r>
        <w:t xml:space="preserve"> shows the transmission security margin for the contingency combinations of</w:t>
      </w:r>
      <w:proofErr w:type="gramStart"/>
      <w:r>
        <w:t>:  (</w:t>
      </w:r>
      <w:proofErr w:type="gramEnd"/>
      <w:r>
        <w:t xml:space="preserve">1) Ravenswood 3 and </w:t>
      </w:r>
      <w:proofErr w:type="spellStart"/>
      <w:r>
        <w:t>Dunwoodie</w:t>
      </w:r>
      <w:proofErr w:type="spellEnd"/>
      <w:r>
        <w:t>-Mott Haven (Q12) 345 kV, (2) Ravenswood 3 and Bayonne Energy Center, and (3) Sprain Brook-W. 49</w:t>
      </w:r>
      <w:r w:rsidRPr="00F12899">
        <w:rPr>
          <w:vertAlign w:val="superscript"/>
        </w:rPr>
        <w:t>th</w:t>
      </w:r>
      <w:r>
        <w:t xml:space="preserve"> St. 345 kV (M51 and M52).  For Ravenswood 3 and Bayonne Energy Center the power flowing into J from other NYCA zones is 4,717 MW.  For Sprain Brook-W. 49</w:t>
      </w:r>
      <w:r w:rsidRPr="002F559F">
        <w:rPr>
          <w:vertAlign w:val="superscript"/>
        </w:rPr>
        <w:t>th</w:t>
      </w:r>
      <w:r>
        <w:t xml:space="preserve"> St. 345 kV (M51 and M52) the power flowing into J from other NYCA zones is 3,191 MW.  As seen in </w:t>
      </w:r>
      <w:r w:rsidRPr="00F12899">
        <w:rPr>
          <w:highlight w:val="yellow"/>
        </w:rPr>
        <w:t>Figure XX</w:t>
      </w:r>
      <w:r>
        <w:t>, the selecting an interface flow with the lowest value (3,191 MW for the loss of M51/M52) does not result in the smallest transmission security margin</w:t>
      </w:r>
      <w:r w:rsidR="007034EB">
        <w:t>.</w:t>
      </w:r>
      <w:r>
        <w:t xml:space="preserve"> </w:t>
      </w:r>
      <w:r w:rsidR="007034EB">
        <w:t>I</w:t>
      </w:r>
      <w:r>
        <w:t>n this specific example</w:t>
      </w:r>
      <w:r w:rsidR="007034EB">
        <w:t>,</w:t>
      </w:r>
      <w:r>
        <w:t xml:space="preserve"> all </w:t>
      </w:r>
      <w:proofErr w:type="spellStart"/>
      <w:r>
        <w:t>years</w:t>
      </w:r>
      <w:proofErr w:type="spellEnd"/>
      <w:r>
        <w:t xml:space="preserve"> show the loss of M51/M52 with the largest transmission security margin.  </w:t>
      </w:r>
    </w:p>
    <w:p w14:paraId="27B0B75B" w14:textId="77777777" w:rsidR="00FF49F1" w:rsidRDefault="00FF49F1" w:rsidP="00FF49F1">
      <w:pPr>
        <w:pStyle w:val="BodyText"/>
        <w:jc w:val="left"/>
      </w:pPr>
      <w:r>
        <w:t xml:space="preserve">Considering the baseline peak load transmission security margin (42 MW observed in 2031), many different losses of generation or load increases will exceed the transmission security margin.  </w:t>
      </w:r>
    </w:p>
    <w:p w14:paraId="40924E9F" w14:textId="77777777" w:rsidR="009F19A7" w:rsidRDefault="009F19A7">
      <w:pPr>
        <w:rPr>
          <w:rFonts w:ascii="Franklin Gothic Demi" w:eastAsia="Arial Narrow" w:hAnsi="Franklin Gothic Demi"/>
          <w:bCs/>
          <w:highlight w:val="yellow"/>
        </w:rPr>
      </w:pPr>
      <w:r>
        <w:rPr>
          <w:rFonts w:ascii="Franklin Gothic Demi" w:hAnsi="Franklin Gothic Demi"/>
          <w:highlight w:val="yellow"/>
        </w:rPr>
        <w:br w:type="page"/>
      </w:r>
    </w:p>
    <w:p w14:paraId="4176DD13" w14:textId="79DD79B0" w:rsidR="00FF49F1" w:rsidRDefault="00FF49F1" w:rsidP="00FF49F1">
      <w:pPr>
        <w:pStyle w:val="BodyText"/>
        <w:jc w:val="left"/>
        <w:rPr>
          <w:rFonts w:ascii="Franklin Gothic Demi" w:hAnsi="Franklin Gothic Demi"/>
          <w:sz w:val="20"/>
          <w:lang w:bidi="en-US"/>
        </w:rPr>
      </w:pPr>
      <w:r>
        <w:rPr>
          <w:rFonts w:ascii="Franklin Gothic Demi" w:hAnsi="Franklin Gothic Demi"/>
          <w:sz w:val="20"/>
          <w:highlight w:val="yellow"/>
          <w:lang w:bidi="en-US"/>
        </w:rPr>
        <w:lastRenderedPageBreak/>
        <w:t>Figure XX</w:t>
      </w:r>
      <w:r w:rsidRPr="001F0469">
        <w:rPr>
          <w:rFonts w:ascii="Franklin Gothic Demi" w:hAnsi="Franklin Gothic Demi"/>
          <w:sz w:val="20"/>
          <w:lang w:bidi="en-US"/>
        </w:rPr>
        <w:t xml:space="preserve">:  </w:t>
      </w:r>
      <w:r>
        <w:rPr>
          <w:rFonts w:ascii="Franklin Gothic Demi" w:hAnsi="Franklin Gothic Demi"/>
          <w:sz w:val="20"/>
          <w:lang w:bidi="en-US"/>
        </w:rPr>
        <w:t>Impact of Contingency Combination on Zone J Transmission Security Margin</w:t>
      </w:r>
      <w:r>
        <w:rPr>
          <w:noProof/>
        </w:rPr>
        <w:drawing>
          <wp:inline distT="0" distB="0" distL="0" distR="0" wp14:anchorId="783CD882" wp14:editId="514ADC80">
            <wp:extent cx="5727670" cy="3474720"/>
            <wp:effectExtent l="0" t="0" r="698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7670" cy="3474720"/>
                    </a:xfrm>
                    <a:prstGeom prst="rect">
                      <a:avLst/>
                    </a:prstGeom>
                    <a:noFill/>
                  </pic:spPr>
                </pic:pic>
              </a:graphicData>
            </a:graphic>
          </wp:inline>
        </w:drawing>
      </w:r>
    </w:p>
    <w:p w14:paraId="080BF287" w14:textId="77777777" w:rsidR="00FF49F1" w:rsidRDefault="00FF49F1" w:rsidP="00FF49F1">
      <w:pPr>
        <w:pStyle w:val="BodyText"/>
      </w:pPr>
      <w:r>
        <w:t xml:space="preserve">An additional evaluation shown in </w:t>
      </w:r>
      <w:r w:rsidRPr="0007373A">
        <w:rPr>
          <w:highlight w:val="yellow"/>
        </w:rPr>
        <w:t>Figure XX</w:t>
      </w:r>
      <w:r>
        <w:t xml:space="preserve"> is the impact of the forced outage rate of NYCA thermal generation on the transmission security margin.  Also, while SCRs are generally not included for a Transmission Security evaluation, they are used for this forced outage rate evaluation.  The adjusted transmission security margin (</w:t>
      </w:r>
      <w:proofErr w:type="gramStart"/>
      <w:r>
        <w:t>line item</w:t>
      </w:r>
      <w:proofErr w:type="gramEnd"/>
      <w:r>
        <w:t xml:space="preserve"> P) shows that insufficient transmission security margin is observed in 2028.</w:t>
      </w:r>
    </w:p>
    <w:p w14:paraId="4D63E99A" w14:textId="77777777" w:rsidR="00FF49F1" w:rsidRDefault="00FF49F1" w:rsidP="00FF49F1">
      <w:pPr>
        <w:pStyle w:val="Caption"/>
        <w:rPr>
          <w:lang w:bidi="en-US"/>
        </w:rPr>
      </w:pPr>
      <w:r>
        <w:rPr>
          <w:rFonts w:ascii="Franklin Gothic Demi" w:eastAsia="Arial Narrow" w:hAnsi="Franklin Gothic Demi" w:cs="Times New Roman"/>
          <w:bCs/>
          <w:sz w:val="20"/>
          <w:szCs w:val="22"/>
          <w:highlight w:val="yellow"/>
          <w:lang w:bidi="en-US"/>
        </w:rPr>
        <w:t>Figure XX</w:t>
      </w:r>
      <w:r w:rsidRPr="001F0469">
        <w:rPr>
          <w:rFonts w:ascii="Franklin Gothic Demi" w:eastAsia="Arial Narrow" w:hAnsi="Franklin Gothic Demi" w:cs="Times New Roman"/>
          <w:bCs/>
          <w:sz w:val="20"/>
          <w:szCs w:val="22"/>
          <w:lang w:bidi="en-US"/>
        </w:rPr>
        <w:t>:  Zone J Summer Transmission Security Margin (</w:t>
      </w:r>
      <w:r>
        <w:rPr>
          <w:rFonts w:ascii="Franklin Gothic Demi" w:eastAsia="Arial Narrow" w:hAnsi="Franklin Gothic Demi" w:cs="Times New Roman"/>
          <w:bCs/>
          <w:sz w:val="20"/>
          <w:szCs w:val="22"/>
          <w:lang w:bidi="en-US"/>
        </w:rPr>
        <w:t>Summer Baseline Peak Forecast - Normal</w:t>
      </w:r>
      <w:r w:rsidRPr="001F0469">
        <w:rPr>
          <w:rFonts w:ascii="Franklin Gothic Demi" w:eastAsia="Arial Narrow" w:hAnsi="Franklin Gothic Demi" w:cs="Times New Roman"/>
          <w:bCs/>
          <w:sz w:val="20"/>
          <w:szCs w:val="22"/>
          <w:lang w:bidi="en-US"/>
        </w:rPr>
        <w:t>)</w:t>
      </w:r>
      <w:r w:rsidRPr="0057577D">
        <w:rPr>
          <w:iCs w:val="0"/>
        </w:rPr>
        <w:t xml:space="preserve"> </w:t>
      </w:r>
      <w:r w:rsidRPr="00F94AF6">
        <w:rPr>
          <w:noProof/>
        </w:rPr>
        <w:drawing>
          <wp:inline distT="0" distB="0" distL="0" distR="0" wp14:anchorId="3FF9FC48" wp14:editId="74503191">
            <wp:extent cx="5943600" cy="2496572"/>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43600" cy="2496572"/>
                    </a:xfrm>
                    <a:prstGeom prst="rect">
                      <a:avLst/>
                    </a:prstGeom>
                    <a:noFill/>
                    <a:ln>
                      <a:noFill/>
                    </a:ln>
                  </pic:spPr>
                </pic:pic>
              </a:graphicData>
            </a:graphic>
          </wp:inline>
        </w:drawing>
      </w:r>
    </w:p>
    <w:p w14:paraId="0D059A81" w14:textId="77777777" w:rsidR="00FF49F1" w:rsidRDefault="00FF49F1" w:rsidP="00FF49F1">
      <w:pPr>
        <w:jc w:val="center"/>
      </w:pPr>
    </w:p>
    <w:p w14:paraId="1656F69A" w14:textId="77777777" w:rsidR="00381E1E" w:rsidRDefault="00381E1E" w:rsidP="00FF49F1">
      <w:pPr>
        <w:pStyle w:val="BodyText"/>
        <w:rPr>
          <w:bCs w:val="0"/>
          <w:highlight w:val="yellow"/>
        </w:rPr>
      </w:pPr>
    </w:p>
    <w:p w14:paraId="2B050D5F" w14:textId="3E1DBFE1" w:rsidR="00FF49F1" w:rsidRDefault="00FF49F1" w:rsidP="00FF49F1">
      <w:pPr>
        <w:pStyle w:val="BodyText"/>
        <w:rPr>
          <w:bCs w:val="0"/>
        </w:rPr>
      </w:pPr>
      <w:r>
        <w:rPr>
          <w:bCs w:val="0"/>
          <w:highlight w:val="yellow"/>
        </w:rPr>
        <w:t xml:space="preserve">Figure XX </w:t>
      </w:r>
      <w:r>
        <w:t>shows</w:t>
      </w:r>
      <w:r>
        <w:rPr>
          <w:bCs w:val="0"/>
        </w:rPr>
        <w:t xml:space="preserve"> the transmission security margin for the 1-in-</w:t>
      </w:r>
      <w:proofErr w:type="gramStart"/>
      <w:r>
        <w:rPr>
          <w:bCs w:val="0"/>
        </w:rPr>
        <w:t>10 year</w:t>
      </w:r>
      <w:proofErr w:type="gramEnd"/>
      <w:r>
        <w:rPr>
          <w:bCs w:val="0"/>
        </w:rPr>
        <w:t xml:space="preserve"> load conditions under the assumption that the system is in an emergency condition.  Insufficient transmission security margin is observed in 2028 (</w:t>
      </w:r>
      <w:proofErr w:type="gramStart"/>
      <w:r>
        <w:rPr>
          <w:bCs w:val="0"/>
        </w:rPr>
        <w:t>Line item</w:t>
      </w:r>
      <w:proofErr w:type="gramEnd"/>
      <w:r>
        <w:rPr>
          <w:bCs w:val="0"/>
        </w:rPr>
        <w:t xml:space="preserve"> N).  </w:t>
      </w:r>
      <w:r>
        <w:t xml:space="preserve">As shown in </w:t>
      </w:r>
      <w:r w:rsidRPr="00E973D8">
        <w:rPr>
          <w:highlight w:val="yellow"/>
        </w:rPr>
        <w:t>Figure XX</w:t>
      </w:r>
      <w:r>
        <w:t>, under the 90</w:t>
      </w:r>
      <w:r w:rsidRPr="00E973D8">
        <w:rPr>
          <w:vertAlign w:val="superscript"/>
        </w:rPr>
        <w:t>th</w:t>
      </w:r>
      <w:r>
        <w:t xml:space="preserve"> percentile load conditions the inclusion of additional thermal unit forced outages (</w:t>
      </w:r>
      <w:proofErr w:type="gramStart"/>
      <w:r>
        <w:t>line item</w:t>
      </w:r>
      <w:proofErr w:type="gramEnd"/>
      <w:r>
        <w:t xml:space="preserve"> O) shows that the system tips in 2025 (line item P).  </w:t>
      </w:r>
    </w:p>
    <w:p w14:paraId="7BDECC6D" w14:textId="77777777" w:rsidR="00FF49F1" w:rsidRDefault="00FF49F1" w:rsidP="00FF49F1">
      <w:pPr>
        <w:pStyle w:val="Caption"/>
        <w:rPr>
          <w:rFonts w:ascii="Franklin Gothic Demi" w:eastAsia="Arial Narrow" w:hAnsi="Franklin Gothic Demi"/>
          <w:bCs/>
          <w:iCs w:val="0"/>
        </w:rPr>
      </w:pPr>
      <w:r w:rsidRPr="001F0469">
        <w:rPr>
          <w:rFonts w:ascii="Franklin Gothic Demi" w:eastAsia="Arial Narrow" w:hAnsi="Franklin Gothic Demi" w:cs="Times New Roman"/>
          <w:bCs/>
          <w:sz w:val="20"/>
          <w:szCs w:val="22"/>
          <w:lang w:bidi="en-US"/>
        </w:rPr>
        <w:t>Zone J Transmission Security Margin (</w:t>
      </w:r>
      <w:r>
        <w:rPr>
          <w:rFonts w:ascii="Franklin Gothic Demi" w:eastAsia="Arial Narrow" w:hAnsi="Franklin Gothic Demi" w:cs="Times New Roman"/>
          <w:bCs/>
          <w:sz w:val="20"/>
          <w:szCs w:val="22"/>
          <w:lang w:bidi="en-US"/>
        </w:rPr>
        <w:t>Summer 1-in-10 (90/10) Peak Forecast - Emergency</w:t>
      </w:r>
      <w:r w:rsidRPr="001F0469">
        <w:rPr>
          <w:rFonts w:ascii="Franklin Gothic Demi" w:eastAsia="Arial Narrow" w:hAnsi="Franklin Gothic Demi" w:cs="Times New Roman"/>
          <w:bCs/>
          <w:sz w:val="20"/>
          <w:szCs w:val="22"/>
          <w:lang w:bidi="en-US"/>
        </w:rPr>
        <w:t>)</w:t>
      </w:r>
      <w:r w:rsidRPr="003E167A">
        <w:rPr>
          <w:rFonts w:ascii="Franklin Gothic Demi" w:eastAsia="Arial Narrow" w:hAnsi="Franklin Gothic Demi"/>
          <w:bCs/>
          <w:iCs w:val="0"/>
        </w:rPr>
        <w:t xml:space="preserve"> </w:t>
      </w:r>
      <w:r w:rsidRPr="003C304A">
        <w:rPr>
          <w:rFonts w:eastAsia="Arial Narrow"/>
          <w:noProof/>
        </w:rPr>
        <w:drawing>
          <wp:inline distT="0" distB="0" distL="0" distR="0" wp14:anchorId="438A7898" wp14:editId="32412EDE">
            <wp:extent cx="5943600" cy="2562454"/>
            <wp:effectExtent l="0" t="0" r="0" b="952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43600" cy="2562454"/>
                    </a:xfrm>
                    <a:prstGeom prst="rect">
                      <a:avLst/>
                    </a:prstGeom>
                    <a:noFill/>
                    <a:ln>
                      <a:noFill/>
                    </a:ln>
                  </pic:spPr>
                </pic:pic>
              </a:graphicData>
            </a:graphic>
          </wp:inline>
        </w:drawing>
      </w:r>
    </w:p>
    <w:p w14:paraId="2D55666A" w14:textId="77777777" w:rsidR="00FF49F1" w:rsidRDefault="00FF49F1" w:rsidP="00FF49F1">
      <w:pPr>
        <w:pStyle w:val="BodyText"/>
        <w:rPr>
          <w:bCs w:val="0"/>
        </w:rPr>
      </w:pPr>
      <w:r w:rsidRPr="00281D88">
        <w:rPr>
          <w:bCs w:val="0"/>
        </w:rPr>
        <w:t xml:space="preserve">Under transmission security for the 1 in </w:t>
      </w:r>
      <w:proofErr w:type="gramStart"/>
      <w:r w:rsidRPr="00281D88">
        <w:rPr>
          <w:bCs w:val="0"/>
        </w:rPr>
        <w:t>100 year</w:t>
      </w:r>
      <w:proofErr w:type="gramEnd"/>
      <w:r w:rsidRPr="00281D88">
        <w:rPr>
          <w:bCs w:val="0"/>
        </w:rPr>
        <w:t xml:space="preserve"> forecast, </w:t>
      </w:r>
      <w:r w:rsidRPr="0007373A">
        <w:rPr>
          <w:bCs w:val="0"/>
          <w:highlight w:val="yellow"/>
        </w:rPr>
        <w:t>Figure XX</w:t>
      </w:r>
      <w:r w:rsidRPr="00281D88">
        <w:rPr>
          <w:bCs w:val="0"/>
        </w:rPr>
        <w:t xml:space="preserve"> shows that there is </w:t>
      </w:r>
      <w:r>
        <w:rPr>
          <w:bCs w:val="0"/>
        </w:rPr>
        <w:t>insufficient transmission security margin (line item N) starting in 2025</w:t>
      </w:r>
      <w:r w:rsidRPr="00281D88">
        <w:rPr>
          <w:bCs w:val="0"/>
        </w:rPr>
        <w:t xml:space="preserve">.  </w:t>
      </w:r>
      <w:r>
        <w:rPr>
          <w:bCs w:val="0"/>
        </w:rPr>
        <w:t>The adjusted transmission security margin (</w:t>
      </w:r>
      <w:proofErr w:type="gramStart"/>
      <w:r>
        <w:rPr>
          <w:bCs w:val="0"/>
        </w:rPr>
        <w:t>line item</w:t>
      </w:r>
      <w:proofErr w:type="gramEnd"/>
      <w:r>
        <w:rPr>
          <w:bCs w:val="0"/>
        </w:rPr>
        <w:t xml:space="preserve"> P), which includes derates for thermal resources, exacerbates the insufficiency of the transmission security margin and the system tips as early as 2023.</w:t>
      </w:r>
    </w:p>
    <w:p w14:paraId="3E048DAE" w14:textId="77777777" w:rsidR="00FF49F1" w:rsidRDefault="00FF49F1" w:rsidP="00FF49F1">
      <w:pPr>
        <w:pStyle w:val="Caption"/>
      </w:pPr>
      <w:r w:rsidRPr="0031764F">
        <w:rPr>
          <w:rFonts w:ascii="Franklin Gothic Demi" w:eastAsia="Arial Narrow" w:hAnsi="Franklin Gothic Demi" w:cs="Times New Roman"/>
          <w:bCs/>
          <w:iCs w:val="0"/>
          <w:sz w:val="20"/>
          <w:szCs w:val="22"/>
          <w:lang w:bidi="en-US"/>
        </w:rPr>
        <w:lastRenderedPageBreak/>
        <w:t xml:space="preserve">Figure </w:t>
      </w:r>
      <w:r w:rsidRPr="0031764F">
        <w:rPr>
          <w:rFonts w:ascii="Franklin Gothic Demi" w:eastAsia="Arial Narrow" w:hAnsi="Franklin Gothic Demi" w:cs="Times New Roman"/>
          <w:bCs/>
          <w:iCs w:val="0"/>
          <w:sz w:val="20"/>
          <w:szCs w:val="22"/>
          <w:highlight w:val="yellow"/>
          <w:lang w:bidi="en-US"/>
        </w:rPr>
        <w:t>XX</w:t>
      </w:r>
      <w:r w:rsidRPr="0031764F">
        <w:rPr>
          <w:rFonts w:ascii="Franklin Gothic Demi" w:eastAsia="Arial Narrow" w:hAnsi="Franklin Gothic Demi" w:cs="Times New Roman"/>
          <w:bCs/>
          <w:iCs w:val="0"/>
          <w:sz w:val="20"/>
          <w:szCs w:val="22"/>
          <w:lang w:bidi="en-US"/>
        </w:rPr>
        <w:t xml:space="preserve">:  </w:t>
      </w:r>
      <w:r w:rsidRPr="00102F14">
        <w:rPr>
          <w:rFonts w:ascii="Franklin Gothic Demi" w:eastAsia="Arial Narrow" w:hAnsi="Franklin Gothic Demi" w:cs="Times New Roman"/>
          <w:bCs/>
          <w:iCs w:val="0"/>
          <w:sz w:val="20"/>
          <w:szCs w:val="22"/>
          <w:lang w:bidi="en-US"/>
        </w:rPr>
        <w:t>Zone J Transmission Security Margin (Summer 1-in-100 Peak Forecast - Emergency)</w:t>
      </w:r>
      <w:r w:rsidRPr="00DD10C4">
        <w:rPr>
          <w:rFonts w:ascii="Franklin Gothic Demi" w:eastAsia="Arial Narrow" w:hAnsi="Franklin Gothic Demi"/>
          <w:bCs/>
          <w:iCs w:val="0"/>
        </w:rPr>
        <w:t xml:space="preserve"> </w:t>
      </w:r>
      <w:r w:rsidRPr="00DD10C4">
        <w:rPr>
          <w:rFonts w:eastAsia="Arial Narrow"/>
          <w:noProof/>
        </w:rPr>
        <w:drawing>
          <wp:inline distT="0" distB="0" distL="0" distR="0" wp14:anchorId="09AFD7B7" wp14:editId="39F32B86">
            <wp:extent cx="5943600" cy="2513798"/>
            <wp:effectExtent l="0" t="0" r="0" b="127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43600" cy="2513798"/>
                    </a:xfrm>
                    <a:prstGeom prst="rect">
                      <a:avLst/>
                    </a:prstGeom>
                    <a:noFill/>
                    <a:ln>
                      <a:noFill/>
                    </a:ln>
                  </pic:spPr>
                </pic:pic>
              </a:graphicData>
            </a:graphic>
          </wp:inline>
        </w:drawing>
      </w:r>
    </w:p>
    <w:p w14:paraId="4FBC1CC3" w14:textId="77777777" w:rsidR="00FF49F1" w:rsidRDefault="00FF49F1" w:rsidP="00FF49F1">
      <w:pPr>
        <w:ind w:left="0" w:firstLine="0"/>
      </w:pPr>
    </w:p>
    <w:p w14:paraId="0BBA776C" w14:textId="77777777" w:rsidR="007034EB" w:rsidRDefault="00FF49F1" w:rsidP="00FF49F1">
      <w:pPr>
        <w:pStyle w:val="Caption"/>
        <w:rPr>
          <w:rFonts w:ascii="Franklin Gothic Demi" w:eastAsia="Arial Narrow" w:hAnsi="Franklin Gothic Demi" w:cs="Times New Roman"/>
          <w:bCs/>
          <w:sz w:val="20"/>
          <w:szCs w:val="22"/>
          <w:lang w:bidi="en-US"/>
        </w:rPr>
      </w:pPr>
      <w:r w:rsidRPr="00995BC0">
        <w:rPr>
          <w:rFonts w:ascii="Franklin Gothic Demi" w:eastAsia="Arial Narrow" w:hAnsi="Franklin Gothic Demi" w:cs="Times New Roman"/>
          <w:bCs/>
          <w:sz w:val="20"/>
          <w:szCs w:val="22"/>
          <w:lang w:bidi="en-US"/>
        </w:rPr>
        <w:t>Figure XX:  Summary of Zone J Transmission Security Margin</w:t>
      </w:r>
    </w:p>
    <w:p w14:paraId="7EA8396E" w14:textId="76F763BE" w:rsidR="00FF49F1" w:rsidRDefault="00FF49F1" w:rsidP="00FF49F1">
      <w:pPr>
        <w:pStyle w:val="Caption"/>
        <w:rPr>
          <w:rFonts w:ascii="Franklin Gothic Demi" w:eastAsia="Arial Narrow" w:hAnsi="Franklin Gothic Demi" w:cs="Times New Roman"/>
          <w:bCs/>
          <w:sz w:val="20"/>
          <w:szCs w:val="22"/>
          <w:lang w:bidi="en-US"/>
        </w:rPr>
      </w:pPr>
      <w:r>
        <w:rPr>
          <w:rFonts w:ascii="Franklin Gothic Demi" w:eastAsia="Arial Narrow" w:hAnsi="Franklin Gothic Demi" w:cs="Times New Roman"/>
          <w:bCs/>
          <w:noProof/>
          <w:sz w:val="20"/>
          <w:szCs w:val="22"/>
        </w:rPr>
        <w:drawing>
          <wp:inline distT="0" distB="0" distL="0" distR="0" wp14:anchorId="40D97551" wp14:editId="2957A79D">
            <wp:extent cx="6078855" cy="305385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06891" cy="3067935"/>
                    </a:xfrm>
                    <a:prstGeom prst="rect">
                      <a:avLst/>
                    </a:prstGeom>
                    <a:noFill/>
                  </pic:spPr>
                </pic:pic>
              </a:graphicData>
            </a:graphic>
          </wp:inline>
        </w:drawing>
      </w:r>
    </w:p>
    <w:p w14:paraId="16B033F0" w14:textId="77777777" w:rsidR="00FF49F1" w:rsidRPr="0007212C" w:rsidRDefault="00FF49F1" w:rsidP="00FF49F1">
      <w:pPr>
        <w:ind w:left="0" w:firstLine="0"/>
      </w:pPr>
    </w:p>
    <w:p w14:paraId="2D7EFD1E" w14:textId="77777777" w:rsidR="009F19A7" w:rsidRDefault="009F19A7">
      <w:pPr>
        <w:rPr>
          <w:rFonts w:ascii="Franklin Gothic Demi Cond" w:hAnsi="Franklin Gothic Demi Cond"/>
          <w:bCs/>
          <w:color w:val="005F86"/>
          <w:sz w:val="24"/>
          <w:szCs w:val="26"/>
        </w:rPr>
      </w:pPr>
      <w:bookmarkStart w:id="134" w:name="_Toc80124491"/>
      <w:r>
        <w:br w:type="page"/>
      </w:r>
    </w:p>
    <w:p w14:paraId="7702C957" w14:textId="282BA5A9" w:rsidR="00FF49F1" w:rsidRDefault="00FF49F1" w:rsidP="00FF49F1">
      <w:pPr>
        <w:pStyle w:val="Heading2"/>
      </w:pPr>
      <w:bookmarkStart w:id="135" w:name="_Toc81138714"/>
      <w:r>
        <w:lastRenderedPageBreak/>
        <w:t>Long Island (Zone K) Tipping Points</w:t>
      </w:r>
      <w:bookmarkEnd w:id="134"/>
      <w:bookmarkEnd w:id="135"/>
    </w:p>
    <w:p w14:paraId="40F30C30" w14:textId="714F6289" w:rsidR="00FF49F1" w:rsidRDefault="00FF49F1" w:rsidP="00FF49F1">
      <w:pPr>
        <w:pStyle w:val="BodyText"/>
      </w:pPr>
      <w:r>
        <w:t xml:space="preserve">Within the PSEG Long Island service territory, the BPTF system (primarily comprised of 138 kV transmission) is designed for N-1-1. As shown in Figure XX, the most limiting N-1-1 combination </w:t>
      </w:r>
      <w:r w:rsidR="004F06E0">
        <w:t xml:space="preserve">for </w:t>
      </w:r>
      <w:r>
        <w:t xml:space="preserve">the transmission security margin under normal conditions is the </w:t>
      </w:r>
      <w:r w:rsidR="00F21A44">
        <w:t xml:space="preserve">outage </w:t>
      </w:r>
      <w:r>
        <w:t xml:space="preserve">of </w:t>
      </w:r>
      <w:r w:rsidR="00CB76CC">
        <w:t xml:space="preserve">Neptune </w:t>
      </w:r>
      <w:proofErr w:type="spellStart"/>
      <w:r w:rsidR="00CB76CC">
        <w:t>HVDc</w:t>
      </w:r>
      <w:proofErr w:type="spellEnd"/>
      <w:r w:rsidR="00CB76CC">
        <w:t xml:space="preserve"> </w:t>
      </w:r>
      <w:r w:rsidR="00F5021B">
        <w:t xml:space="preserve">(660 MW) </w:t>
      </w:r>
      <w:r>
        <w:t xml:space="preserve">followed by </w:t>
      </w:r>
      <w:r w:rsidR="00F21A44">
        <w:t xml:space="preserve">securing for </w:t>
      </w:r>
      <w:r>
        <w:t xml:space="preserve">the loss of </w:t>
      </w:r>
      <w:proofErr w:type="spellStart"/>
      <w:r w:rsidR="00F21A44">
        <w:t>Dunwoodie</w:t>
      </w:r>
      <w:proofErr w:type="spellEnd"/>
      <w:r w:rsidR="00F21A44">
        <w:t xml:space="preserve"> – Shore Road 345 kV (Y50)</w:t>
      </w:r>
      <w:r w:rsidR="00FC273F">
        <w:t xml:space="preserve"> </w:t>
      </w:r>
      <w:r>
        <w:t xml:space="preserve">for all evaluated years.  </w:t>
      </w:r>
    </w:p>
    <w:p w14:paraId="47275166" w14:textId="77777777" w:rsidR="00FF49F1" w:rsidRDefault="00FF49F1" w:rsidP="00FF49F1">
      <w:pPr>
        <w:pStyle w:val="BodyText"/>
      </w:pPr>
      <w:r>
        <w:rPr>
          <w:rFonts w:ascii="Franklin Gothic Demi" w:hAnsi="Franklin Gothic Demi"/>
          <w:sz w:val="20"/>
          <w:highlight w:val="yellow"/>
          <w:lang w:bidi="en-US"/>
        </w:rPr>
        <w:t>Figure XX</w:t>
      </w:r>
      <w:r w:rsidRPr="001F0469">
        <w:rPr>
          <w:rFonts w:ascii="Franklin Gothic Demi" w:hAnsi="Franklin Gothic Demi"/>
          <w:sz w:val="20"/>
          <w:lang w:bidi="en-US"/>
        </w:rPr>
        <w:t xml:space="preserve">:  </w:t>
      </w:r>
      <w:r>
        <w:rPr>
          <w:rFonts w:ascii="Franklin Gothic Demi" w:hAnsi="Franklin Gothic Demi"/>
          <w:sz w:val="20"/>
          <w:lang w:bidi="en-US"/>
        </w:rPr>
        <w:t>Impact of Contingency Combination on Zone K Transmission Security Margin</w:t>
      </w:r>
    </w:p>
    <w:p w14:paraId="4A6A863A" w14:textId="23875F51" w:rsidR="00FF49F1" w:rsidRDefault="004027F9" w:rsidP="00FF49F1">
      <w:pPr>
        <w:pStyle w:val="BodyText"/>
        <w:ind w:firstLine="0"/>
      </w:pPr>
      <w:r>
        <w:rPr>
          <w:noProof/>
        </w:rPr>
        <w:drawing>
          <wp:inline distT="0" distB="0" distL="0" distR="0" wp14:anchorId="77A39D8C" wp14:editId="0A3EA07F">
            <wp:extent cx="6406466" cy="246888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406466" cy="2468880"/>
                    </a:xfrm>
                    <a:prstGeom prst="rect">
                      <a:avLst/>
                    </a:prstGeom>
                    <a:noFill/>
                  </pic:spPr>
                </pic:pic>
              </a:graphicData>
            </a:graphic>
          </wp:inline>
        </w:drawing>
      </w:r>
    </w:p>
    <w:p w14:paraId="6E7B929C" w14:textId="1B47D7D1" w:rsidR="006D4089" w:rsidRDefault="00FF49F1" w:rsidP="00FF49F1">
      <w:pPr>
        <w:pStyle w:val="BodyText"/>
      </w:pPr>
      <w:r>
        <w:t xml:space="preserve">As seen in </w:t>
      </w:r>
      <w:r w:rsidRPr="0023352E">
        <w:rPr>
          <w:highlight w:val="yellow"/>
        </w:rPr>
        <w:t>Figure XX</w:t>
      </w:r>
      <w:r>
        <w:t>, the transmission security margin (</w:t>
      </w:r>
      <w:proofErr w:type="gramStart"/>
      <w:r>
        <w:t>line item</w:t>
      </w:r>
      <w:proofErr w:type="gramEnd"/>
      <w:r>
        <w:t xml:space="preserve"> M) in </w:t>
      </w:r>
      <w:r w:rsidR="007034EB">
        <w:t>Z</w:t>
      </w:r>
      <w:r>
        <w:t xml:space="preserve">one K under baseline conditions ranges from </w:t>
      </w:r>
      <w:r w:rsidR="00CB76CC">
        <w:t xml:space="preserve">964 </w:t>
      </w:r>
      <w:r>
        <w:t xml:space="preserve">MW in 2022 </w:t>
      </w:r>
      <w:r w:rsidR="00553BCC">
        <w:t xml:space="preserve">growing </w:t>
      </w:r>
      <w:r>
        <w:t xml:space="preserve">to </w:t>
      </w:r>
      <w:r w:rsidR="00CB76CC">
        <w:t xml:space="preserve">1,179 </w:t>
      </w:r>
      <w:r>
        <w:t>MW in 2031</w:t>
      </w:r>
      <w:r w:rsidR="006D4089">
        <w:t xml:space="preserve"> due to a forecasted decrease in peak </w:t>
      </w:r>
      <w:r w:rsidR="00553BCC">
        <w:t>demand</w:t>
      </w:r>
      <w:r w:rsidR="006D4089">
        <w:t xml:space="preserve"> through time</w:t>
      </w:r>
      <w:r>
        <w:t>.  Considering the baseline peak load transmission security margin</w:t>
      </w:r>
      <w:r w:rsidR="006D4089">
        <w:t>,</w:t>
      </w:r>
      <w:r>
        <w:t xml:space="preserve"> multiple outages in Zone K would be required to tip the system over its security margin, beyond the </w:t>
      </w:r>
      <w:r w:rsidR="00F5021B">
        <w:t xml:space="preserve">outage </w:t>
      </w:r>
      <w:r>
        <w:t xml:space="preserve">of </w:t>
      </w:r>
      <w:r w:rsidR="00CB76CC">
        <w:t>Neptune</w:t>
      </w:r>
      <w:r>
        <w:t xml:space="preserve">. </w:t>
      </w:r>
    </w:p>
    <w:p w14:paraId="73AC468B" w14:textId="58F338B0" w:rsidR="00FF49F1" w:rsidRDefault="00FF49F1" w:rsidP="00FF49F1">
      <w:pPr>
        <w:pStyle w:val="BodyText"/>
      </w:pPr>
      <w:r>
        <w:t xml:space="preserve">An additional evaluation </w:t>
      </w:r>
      <w:r w:rsidR="006D4089">
        <w:t xml:space="preserve">included </w:t>
      </w:r>
      <w:r>
        <w:t xml:space="preserve">in </w:t>
      </w:r>
      <w:r w:rsidRPr="0007373A">
        <w:rPr>
          <w:highlight w:val="yellow"/>
        </w:rPr>
        <w:t>Figure XX</w:t>
      </w:r>
      <w:r>
        <w:t xml:space="preserve"> is the impact of the </w:t>
      </w:r>
      <w:r w:rsidR="00AE13BC">
        <w:t xml:space="preserve">historical </w:t>
      </w:r>
      <w:r>
        <w:t>forced outage rate of thermal generation on the transmission security margin. Also, while SCRs are not included for a</w:t>
      </w:r>
      <w:r w:rsidR="006D4089">
        <w:t>n evaluation of</w:t>
      </w:r>
      <w:r>
        <w:t xml:space="preserve"> </w:t>
      </w:r>
      <w:r w:rsidR="006D4089">
        <w:t>t</w:t>
      </w:r>
      <w:r>
        <w:t xml:space="preserve">ransmission </w:t>
      </w:r>
      <w:r w:rsidR="006D4089">
        <w:t>s</w:t>
      </w:r>
      <w:r>
        <w:t xml:space="preserve">ecurity </w:t>
      </w:r>
      <w:r w:rsidR="006D4089">
        <w:t>under normal transfer criteria</w:t>
      </w:r>
      <w:r>
        <w:t xml:space="preserve">, </w:t>
      </w:r>
      <w:r w:rsidR="006D4089">
        <w:t xml:space="preserve">the impact of SCRs is accounted for in this adjusted transmission security margin.  </w:t>
      </w:r>
      <w:r>
        <w:t>The adjusted transmission security margin (</w:t>
      </w:r>
      <w:proofErr w:type="gramStart"/>
      <w:r>
        <w:t>line item</w:t>
      </w:r>
      <w:proofErr w:type="gramEnd"/>
      <w:r>
        <w:t xml:space="preserve"> P) shows that </w:t>
      </w:r>
      <w:r w:rsidR="00AE13BC">
        <w:t xml:space="preserve">generation outages consistent with the historical forced outage rates would </w:t>
      </w:r>
      <w:r w:rsidR="00E73D13">
        <w:t xml:space="preserve">not </w:t>
      </w:r>
      <w:r w:rsidR="00AE13BC">
        <w:t>result in</w:t>
      </w:r>
      <w:r w:rsidR="00E73D13">
        <w:t xml:space="preserve"> “tipping” beyond transmission security limits, with</w:t>
      </w:r>
      <w:r w:rsidR="00AE13BC">
        <w:t xml:space="preserve"> a margin of 549 MW in 2022 growing to 829 MW in 2031</w:t>
      </w:r>
      <w:r>
        <w:t>.</w:t>
      </w:r>
      <w:r w:rsidR="00AE13BC">
        <w:t xml:space="preserve">  This assumes no transmission outages beyond the outage of Neptune.</w:t>
      </w:r>
      <w:r>
        <w:t xml:space="preserve">  </w:t>
      </w:r>
    </w:p>
    <w:p w14:paraId="331B3CC8" w14:textId="7E152874" w:rsidR="009F19A7" w:rsidRDefault="009F19A7">
      <w:r>
        <w:br w:type="page"/>
      </w:r>
    </w:p>
    <w:p w14:paraId="3DA951AF" w14:textId="07C76AFA" w:rsidR="00FF49F1" w:rsidRDefault="00FF49F1" w:rsidP="00FF49F1">
      <w:pPr>
        <w:ind w:left="360"/>
        <w:jc w:val="center"/>
        <w:rPr>
          <w:noProof/>
        </w:rPr>
      </w:pPr>
      <w:r w:rsidRPr="00995BC0">
        <w:rPr>
          <w:rFonts w:ascii="Franklin Gothic Demi" w:eastAsia="Arial Narrow" w:hAnsi="Franklin Gothic Demi"/>
          <w:bCs/>
          <w:iCs/>
        </w:rPr>
        <w:lastRenderedPageBreak/>
        <w:t xml:space="preserve">Figure XX:  </w:t>
      </w:r>
      <w:r w:rsidRPr="00EA2C17">
        <w:rPr>
          <w:rFonts w:ascii="Franklin Gothic Demi" w:eastAsia="Arial Narrow" w:hAnsi="Franklin Gothic Demi"/>
          <w:bCs/>
          <w:iCs/>
        </w:rPr>
        <w:t xml:space="preserve">Zone K Summer Transmission Security Margin (Summer Baseline Peak Forecast - Normal) </w:t>
      </w:r>
      <w:r w:rsidR="00CB76CC" w:rsidRPr="00CB76CC">
        <w:rPr>
          <w:rFonts w:eastAsia="Arial Narrow"/>
          <w:noProof/>
        </w:rPr>
        <w:drawing>
          <wp:inline distT="0" distB="0" distL="0" distR="0" wp14:anchorId="08420CDE" wp14:editId="769801C2">
            <wp:extent cx="6400800" cy="284924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400800" cy="2849245"/>
                    </a:xfrm>
                    <a:prstGeom prst="rect">
                      <a:avLst/>
                    </a:prstGeom>
                    <a:noFill/>
                    <a:ln>
                      <a:noFill/>
                    </a:ln>
                  </pic:spPr>
                </pic:pic>
              </a:graphicData>
            </a:graphic>
          </wp:inline>
        </w:drawing>
      </w:r>
    </w:p>
    <w:p w14:paraId="23AF831D" w14:textId="77777777" w:rsidR="00FF49F1" w:rsidRDefault="00FF49F1" w:rsidP="00FF49F1">
      <w:pPr>
        <w:spacing w:line="360" w:lineRule="auto"/>
        <w:ind w:left="0" w:firstLine="432"/>
        <w:jc w:val="both"/>
        <w:rPr>
          <w:rFonts w:ascii="Cambria" w:eastAsia="Arial Narrow" w:hAnsi="Cambria"/>
          <w:bCs/>
          <w:sz w:val="22"/>
          <w:highlight w:val="yellow"/>
          <w:lang w:bidi="ar-SA"/>
        </w:rPr>
      </w:pPr>
    </w:p>
    <w:p w14:paraId="464407FE" w14:textId="7BE71D2D" w:rsidR="004F06E0" w:rsidRDefault="00FF49F1" w:rsidP="00FF49F1">
      <w:pPr>
        <w:pStyle w:val="BodyText"/>
      </w:pPr>
      <w:r w:rsidRPr="00CA65AD">
        <w:rPr>
          <w:highlight w:val="yellow"/>
        </w:rPr>
        <w:t>Figure XX</w:t>
      </w:r>
      <w:r>
        <w:t xml:space="preserve"> shows the transmission security margin for the 1-in-</w:t>
      </w:r>
      <w:proofErr w:type="gramStart"/>
      <w:r>
        <w:t>10 year</w:t>
      </w:r>
      <w:proofErr w:type="gramEnd"/>
      <w:r>
        <w:t xml:space="preserve"> load conditions</w:t>
      </w:r>
      <w:r w:rsidR="000B7868">
        <w:t xml:space="preserve"> (90/10)</w:t>
      </w:r>
      <w:r>
        <w:t xml:space="preserve"> under the assumption that the system is in an emergency condition (line item N).  </w:t>
      </w:r>
      <w:r w:rsidR="00E73D13">
        <w:t xml:space="preserve">Under emergency conditions, </w:t>
      </w:r>
      <w:r w:rsidR="000B7868">
        <w:t xml:space="preserve">higher line ratings are allowed to be utilized, fewer contingency events are secured for, and </w:t>
      </w:r>
      <w:r w:rsidR="00E73D13">
        <w:t xml:space="preserve">SCRs are accounted for as available resources.  The limiting contingency combination under emergency conditions is the outage of Sprain Brook – East Garden City 345 kV (Y49) followed by securing for the loss of </w:t>
      </w:r>
      <w:proofErr w:type="spellStart"/>
      <w:r w:rsidR="00E73D13">
        <w:t>Dunwoodie</w:t>
      </w:r>
      <w:proofErr w:type="spellEnd"/>
      <w:r w:rsidR="00E73D13">
        <w:t xml:space="preserve"> – Shore Road 345 kV (Y50).  </w:t>
      </w:r>
      <w:r>
        <w:t xml:space="preserve">An additional evaluation shown in </w:t>
      </w:r>
      <w:r w:rsidR="006A1EE2">
        <w:t>this figure</w:t>
      </w:r>
      <w:r>
        <w:t xml:space="preserve"> is the impact of the </w:t>
      </w:r>
      <w:r w:rsidR="00E73D13">
        <w:t xml:space="preserve">historical </w:t>
      </w:r>
      <w:r>
        <w:t xml:space="preserve">forced outage rate of </w:t>
      </w:r>
      <w:r w:rsidR="00E73D13">
        <w:t xml:space="preserve">Zone </w:t>
      </w:r>
      <w:r>
        <w:t>K generation on the transmission security margin (</w:t>
      </w:r>
      <w:proofErr w:type="gramStart"/>
      <w:r>
        <w:t>line item</w:t>
      </w:r>
      <w:proofErr w:type="gramEnd"/>
      <w:r>
        <w:t xml:space="preserve"> P).  Under both conditions there is sufficient transmission security margin.</w:t>
      </w:r>
      <w:r w:rsidR="006A1EE2">
        <w:t xml:space="preserve">  </w:t>
      </w:r>
    </w:p>
    <w:p w14:paraId="4F6B862A" w14:textId="77777777" w:rsidR="00FF49F1" w:rsidRPr="00AC534A" w:rsidRDefault="00FF49F1" w:rsidP="00FF49F1">
      <w:pPr>
        <w:pStyle w:val="Caption"/>
        <w:rPr>
          <w:rFonts w:ascii="Franklin Gothic Demi" w:eastAsia="Arial Narrow" w:hAnsi="Franklin Gothic Demi" w:cs="Times New Roman"/>
          <w:bCs/>
          <w:sz w:val="20"/>
          <w:szCs w:val="22"/>
          <w:lang w:bidi="en-US"/>
        </w:rPr>
      </w:pPr>
      <w:r>
        <w:rPr>
          <w:rFonts w:ascii="Franklin Gothic Demi" w:eastAsia="Arial Narrow" w:hAnsi="Franklin Gothic Demi" w:cs="Times New Roman"/>
          <w:bCs/>
          <w:sz w:val="20"/>
          <w:szCs w:val="22"/>
          <w:highlight w:val="yellow"/>
          <w:lang w:bidi="en-US"/>
        </w:rPr>
        <w:lastRenderedPageBreak/>
        <w:t>Figure XX</w:t>
      </w:r>
      <w:r w:rsidRPr="00AC534A">
        <w:rPr>
          <w:rFonts w:ascii="Franklin Gothic Demi" w:eastAsia="Arial Narrow" w:hAnsi="Franklin Gothic Demi" w:cs="Times New Roman"/>
          <w:bCs/>
          <w:sz w:val="20"/>
          <w:szCs w:val="22"/>
          <w:lang w:bidi="en-US"/>
        </w:rPr>
        <w:t xml:space="preserve">:  </w:t>
      </w:r>
    </w:p>
    <w:p w14:paraId="6B06D4F8" w14:textId="7ED72AD4" w:rsidR="00FF49F1" w:rsidRDefault="00FF49F1" w:rsidP="00FF49F1">
      <w:pPr>
        <w:pStyle w:val="Caption"/>
        <w:rPr>
          <w:iCs w:val="0"/>
        </w:rPr>
      </w:pPr>
      <w:r w:rsidRPr="00AC534A">
        <w:rPr>
          <w:rFonts w:ascii="Franklin Gothic Demi" w:eastAsia="Arial Narrow" w:hAnsi="Franklin Gothic Demi" w:cs="Times New Roman"/>
          <w:bCs/>
          <w:sz w:val="20"/>
          <w:szCs w:val="22"/>
          <w:lang w:bidi="en-US"/>
        </w:rPr>
        <w:t>Zone K Summer Transmission Security Margin (</w:t>
      </w:r>
      <w:r>
        <w:rPr>
          <w:rFonts w:ascii="Franklin Gothic Demi" w:eastAsia="Arial Narrow" w:hAnsi="Franklin Gothic Demi" w:cs="Times New Roman"/>
          <w:bCs/>
          <w:sz w:val="20"/>
          <w:szCs w:val="22"/>
          <w:lang w:bidi="en-US"/>
        </w:rPr>
        <w:t>Summer 1-in-10 (90/10) Peak Forecast - Emergency</w:t>
      </w:r>
      <w:r w:rsidRPr="00AC534A">
        <w:rPr>
          <w:rFonts w:ascii="Franklin Gothic Demi" w:eastAsia="Arial Narrow" w:hAnsi="Franklin Gothic Demi" w:cs="Times New Roman"/>
          <w:bCs/>
          <w:sz w:val="20"/>
          <w:szCs w:val="22"/>
          <w:lang w:bidi="en-US"/>
        </w:rPr>
        <w:t>)</w:t>
      </w:r>
      <w:r w:rsidRPr="00021E65">
        <w:rPr>
          <w:iCs w:val="0"/>
        </w:rPr>
        <w:t xml:space="preserve"> </w:t>
      </w:r>
      <w:r w:rsidR="006A1EE2" w:rsidRPr="006A1EE2">
        <w:rPr>
          <w:noProof/>
        </w:rPr>
        <w:drawing>
          <wp:inline distT="0" distB="0" distL="0" distR="0" wp14:anchorId="05940F02" wp14:editId="3866D439">
            <wp:extent cx="6400800" cy="29222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400800" cy="2922270"/>
                    </a:xfrm>
                    <a:prstGeom prst="rect">
                      <a:avLst/>
                    </a:prstGeom>
                    <a:noFill/>
                    <a:ln>
                      <a:noFill/>
                    </a:ln>
                  </pic:spPr>
                </pic:pic>
              </a:graphicData>
            </a:graphic>
          </wp:inline>
        </w:drawing>
      </w:r>
      <w:r w:rsidR="006A1EE2" w:rsidRPr="006A1EE2" w:rsidDel="006A1EE2">
        <w:t xml:space="preserve"> </w:t>
      </w:r>
    </w:p>
    <w:p w14:paraId="3E4C9808" w14:textId="3E84AB4A" w:rsidR="00FF49F1" w:rsidRDefault="000B7868" w:rsidP="00FF49F1">
      <w:pPr>
        <w:pStyle w:val="BodyText"/>
      </w:pPr>
      <w:r>
        <w:rPr>
          <w:bCs w:val="0"/>
        </w:rPr>
        <w:t>F</w:t>
      </w:r>
      <w:r w:rsidR="00FF49F1" w:rsidRPr="00281D88">
        <w:rPr>
          <w:bCs w:val="0"/>
        </w:rPr>
        <w:t>or the 1</w:t>
      </w:r>
      <w:r w:rsidR="00FF49F1">
        <w:rPr>
          <w:bCs w:val="0"/>
        </w:rPr>
        <w:t>-</w:t>
      </w:r>
      <w:r w:rsidR="00FF49F1" w:rsidRPr="00281D88">
        <w:rPr>
          <w:bCs w:val="0"/>
        </w:rPr>
        <w:t>in</w:t>
      </w:r>
      <w:r w:rsidR="00FF49F1">
        <w:rPr>
          <w:bCs w:val="0"/>
        </w:rPr>
        <w:t>-</w:t>
      </w:r>
      <w:proofErr w:type="gramStart"/>
      <w:r w:rsidR="00FF49F1" w:rsidRPr="00281D88">
        <w:rPr>
          <w:bCs w:val="0"/>
        </w:rPr>
        <w:t>100 year</w:t>
      </w:r>
      <w:proofErr w:type="gramEnd"/>
      <w:r w:rsidR="00FF49F1" w:rsidRPr="00281D88">
        <w:rPr>
          <w:bCs w:val="0"/>
        </w:rPr>
        <w:t xml:space="preserve"> forecast</w:t>
      </w:r>
      <w:r w:rsidR="006A1EE2">
        <w:rPr>
          <w:bCs w:val="0"/>
        </w:rPr>
        <w:t xml:space="preserve"> shown in Figure XX</w:t>
      </w:r>
      <w:r w:rsidR="00FF49F1" w:rsidRPr="00281D88">
        <w:rPr>
          <w:bCs w:val="0"/>
        </w:rPr>
        <w:t xml:space="preserve">, </w:t>
      </w:r>
      <w:r w:rsidR="00FF49F1">
        <w:rPr>
          <w:bCs w:val="0"/>
        </w:rPr>
        <w:t>sufficient transmission security margin is observed for all years</w:t>
      </w:r>
      <w:r>
        <w:rPr>
          <w:bCs w:val="0"/>
        </w:rPr>
        <w:t xml:space="preserve"> assuming </w:t>
      </w:r>
      <w:r>
        <w:t>that the system is in an emergency condition</w:t>
      </w:r>
      <w:r w:rsidR="00FF49F1">
        <w:rPr>
          <w:bCs w:val="0"/>
        </w:rPr>
        <w:t xml:space="preserve">.  </w:t>
      </w:r>
      <w:r w:rsidR="006A1EE2">
        <w:t xml:space="preserve">An additional evaluation shown in this figure is the impact of the </w:t>
      </w:r>
      <w:r w:rsidR="005E6545">
        <w:t xml:space="preserve">historical </w:t>
      </w:r>
      <w:r w:rsidR="006A1EE2">
        <w:t xml:space="preserve">forced outage rate of </w:t>
      </w:r>
      <w:r w:rsidR="005E6545">
        <w:t xml:space="preserve">Zone </w:t>
      </w:r>
      <w:r w:rsidR="006A1EE2">
        <w:t>K generation on the transmission security margin (</w:t>
      </w:r>
      <w:proofErr w:type="gramStart"/>
      <w:r w:rsidR="006A1EE2">
        <w:t>line item</w:t>
      </w:r>
      <w:proofErr w:type="gramEnd"/>
      <w:r w:rsidR="006A1EE2">
        <w:t xml:space="preserve"> P).  Under both conditions there is sufficient transmission security margin.  </w:t>
      </w:r>
      <w:r w:rsidR="00FF49F1">
        <w:rPr>
          <w:bCs w:val="0"/>
        </w:rPr>
        <w:t xml:space="preserve">However, </w:t>
      </w:r>
      <w:r>
        <w:rPr>
          <w:bCs w:val="0"/>
        </w:rPr>
        <w:t xml:space="preserve">if a large facility such as Neptune is also lost in addition to the generator outages, </w:t>
      </w:r>
      <w:r w:rsidR="00FF49F1">
        <w:rPr>
          <w:bCs w:val="0"/>
        </w:rPr>
        <w:t>t</w:t>
      </w:r>
      <w:r w:rsidR="00FF49F1" w:rsidRPr="00281D88">
        <w:rPr>
          <w:bCs w:val="0"/>
        </w:rPr>
        <w:t xml:space="preserve">here </w:t>
      </w:r>
      <w:r>
        <w:rPr>
          <w:bCs w:val="0"/>
        </w:rPr>
        <w:t>would be</w:t>
      </w:r>
      <w:r w:rsidRPr="00281D88">
        <w:rPr>
          <w:bCs w:val="0"/>
        </w:rPr>
        <w:t xml:space="preserve"> </w:t>
      </w:r>
      <w:r w:rsidR="00FF49F1">
        <w:rPr>
          <w:bCs w:val="0"/>
        </w:rPr>
        <w:t>insufficient transmission security margin (</w:t>
      </w:r>
      <w:proofErr w:type="gramStart"/>
      <w:r w:rsidR="00FF49F1">
        <w:rPr>
          <w:bCs w:val="0"/>
        </w:rPr>
        <w:t>line item</w:t>
      </w:r>
      <w:proofErr w:type="gramEnd"/>
      <w:r w:rsidR="00FF49F1">
        <w:rPr>
          <w:bCs w:val="0"/>
        </w:rPr>
        <w:t xml:space="preserve"> P) in years 2022 through 2025.  </w:t>
      </w:r>
      <w:r w:rsidR="00FF49F1" w:rsidRPr="00281D88">
        <w:rPr>
          <w:bCs w:val="0"/>
        </w:rPr>
        <w:t xml:space="preserve">  </w:t>
      </w:r>
    </w:p>
    <w:p w14:paraId="36C31C12" w14:textId="7618B334" w:rsidR="006A1EE2" w:rsidRDefault="006A1EE2" w:rsidP="006A1EE2">
      <w:pPr>
        <w:pStyle w:val="BodyText"/>
      </w:pPr>
    </w:p>
    <w:p w14:paraId="2C9FDBD6" w14:textId="0BC163A8" w:rsidR="006A1EE2" w:rsidRDefault="006A1EE2" w:rsidP="006A1EE2">
      <w:pPr>
        <w:pStyle w:val="BodyText"/>
      </w:pPr>
    </w:p>
    <w:p w14:paraId="1518DF61" w14:textId="763E3A51" w:rsidR="006A1EE2" w:rsidRDefault="006A1EE2" w:rsidP="006A1EE2">
      <w:pPr>
        <w:pStyle w:val="BodyText"/>
      </w:pPr>
    </w:p>
    <w:p w14:paraId="4C502A77" w14:textId="3A79E695" w:rsidR="006A1EE2" w:rsidRDefault="006A1EE2" w:rsidP="006A1EE2">
      <w:pPr>
        <w:pStyle w:val="BodyText"/>
      </w:pPr>
    </w:p>
    <w:p w14:paraId="718FA350" w14:textId="2E793551" w:rsidR="006A1EE2" w:rsidRDefault="006A1EE2" w:rsidP="006A1EE2">
      <w:pPr>
        <w:pStyle w:val="BodyText"/>
      </w:pPr>
    </w:p>
    <w:p w14:paraId="7AFF24A3" w14:textId="292D749B" w:rsidR="006A1EE2" w:rsidRDefault="006A1EE2" w:rsidP="006A1EE2">
      <w:pPr>
        <w:pStyle w:val="BodyText"/>
      </w:pPr>
    </w:p>
    <w:p w14:paraId="4FDF2DA8" w14:textId="3FE76D95" w:rsidR="006A1EE2" w:rsidRDefault="006A1EE2" w:rsidP="006A1EE2">
      <w:pPr>
        <w:pStyle w:val="BodyText"/>
      </w:pPr>
    </w:p>
    <w:p w14:paraId="2C63C805" w14:textId="0AFD27F5" w:rsidR="006A1EE2" w:rsidRDefault="006A1EE2" w:rsidP="006A1EE2">
      <w:pPr>
        <w:pStyle w:val="BodyText"/>
      </w:pPr>
    </w:p>
    <w:p w14:paraId="2CF2A810" w14:textId="77777777" w:rsidR="006A1EE2" w:rsidRDefault="006A1EE2" w:rsidP="006A1EE2">
      <w:pPr>
        <w:pStyle w:val="BodyText"/>
      </w:pPr>
    </w:p>
    <w:p w14:paraId="40D6E241" w14:textId="77777777" w:rsidR="006A1EE2" w:rsidRDefault="006A1EE2" w:rsidP="00FF49F1">
      <w:pPr>
        <w:pStyle w:val="BodyText"/>
        <w:rPr>
          <w:bCs w:val="0"/>
        </w:rPr>
      </w:pPr>
    </w:p>
    <w:p w14:paraId="1B71359D" w14:textId="00E66A3E" w:rsidR="00FF49F1" w:rsidRPr="00004E28" w:rsidRDefault="00FF49F1" w:rsidP="006A1EE2">
      <w:pPr>
        <w:pStyle w:val="BodyText"/>
      </w:pPr>
      <w:r w:rsidRPr="00995BC0">
        <w:rPr>
          <w:rFonts w:ascii="Franklin Gothic Demi" w:hAnsi="Franklin Gothic Demi"/>
          <w:sz w:val="20"/>
          <w:lang w:bidi="en-US"/>
        </w:rPr>
        <w:lastRenderedPageBreak/>
        <w:t xml:space="preserve">Figure XX:  </w:t>
      </w:r>
      <w:r w:rsidRPr="00EA2C17">
        <w:rPr>
          <w:rFonts w:ascii="Franklin Gothic Demi" w:hAnsi="Franklin Gothic Demi"/>
          <w:sz w:val="20"/>
          <w:lang w:bidi="en-US"/>
        </w:rPr>
        <w:t>Zone K Transmission Security Margin (</w:t>
      </w:r>
      <w:r>
        <w:rPr>
          <w:rFonts w:ascii="Franklin Gothic Demi" w:hAnsi="Franklin Gothic Demi"/>
          <w:sz w:val="20"/>
          <w:lang w:bidi="en-US"/>
        </w:rPr>
        <w:t>Summer 1-in-100 Peak Forecast - Emergency</w:t>
      </w:r>
      <w:r w:rsidRPr="00EA2C17">
        <w:rPr>
          <w:rFonts w:ascii="Franklin Gothic Demi" w:hAnsi="Franklin Gothic Demi"/>
          <w:sz w:val="20"/>
          <w:lang w:bidi="en-US"/>
        </w:rPr>
        <w:t xml:space="preserve">) </w:t>
      </w:r>
      <w:r w:rsidR="006A1EE2" w:rsidRPr="006A1EE2">
        <w:rPr>
          <w:noProof/>
        </w:rPr>
        <w:drawing>
          <wp:inline distT="0" distB="0" distL="0" distR="0" wp14:anchorId="55063D97" wp14:editId="3B3B6CFE">
            <wp:extent cx="6400800" cy="287591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400800" cy="2875915"/>
                    </a:xfrm>
                    <a:prstGeom prst="rect">
                      <a:avLst/>
                    </a:prstGeom>
                    <a:noFill/>
                    <a:ln>
                      <a:noFill/>
                    </a:ln>
                  </pic:spPr>
                </pic:pic>
              </a:graphicData>
            </a:graphic>
          </wp:inline>
        </w:drawing>
      </w:r>
      <w:r w:rsidR="006A1EE2" w:rsidRPr="006A1EE2" w:rsidDel="006A1EE2">
        <w:rPr>
          <w:lang w:bidi="en-US"/>
        </w:rPr>
        <w:t xml:space="preserve"> </w:t>
      </w:r>
    </w:p>
    <w:p w14:paraId="61227F2E" w14:textId="77777777" w:rsidR="00FF49F1" w:rsidRDefault="00FF49F1" w:rsidP="00FF49F1">
      <w:pPr>
        <w:ind w:left="360"/>
        <w:jc w:val="center"/>
        <w:rPr>
          <w:rFonts w:ascii="Franklin Gothic Demi" w:eastAsia="Arial Narrow" w:hAnsi="Franklin Gothic Demi"/>
          <w:bCs/>
          <w:iCs/>
        </w:rPr>
      </w:pPr>
    </w:p>
    <w:p w14:paraId="0375FBEE" w14:textId="0212969D" w:rsidR="00FF49F1" w:rsidRDefault="00FF49F1" w:rsidP="00FF49F1">
      <w:pPr>
        <w:ind w:left="360"/>
        <w:jc w:val="center"/>
        <w:rPr>
          <w:rFonts w:ascii="Franklin Gothic Demi" w:eastAsia="Arial Narrow" w:hAnsi="Franklin Gothic Demi"/>
          <w:bCs/>
        </w:rPr>
      </w:pPr>
      <w:r>
        <w:rPr>
          <w:rFonts w:ascii="Franklin Gothic Demi" w:eastAsia="Arial Narrow" w:hAnsi="Franklin Gothic Demi"/>
          <w:bCs/>
          <w:highlight w:val="yellow"/>
        </w:rPr>
        <w:t>Figure XX</w:t>
      </w:r>
      <w:r w:rsidRPr="0007373A">
        <w:rPr>
          <w:rFonts w:ascii="Franklin Gothic Demi" w:eastAsia="Arial Narrow" w:hAnsi="Franklin Gothic Demi"/>
          <w:bCs/>
          <w:highlight w:val="yellow"/>
        </w:rPr>
        <w:t xml:space="preserve">:  </w:t>
      </w:r>
      <w:r>
        <w:rPr>
          <w:rFonts w:ascii="Franklin Gothic Demi" w:eastAsia="Arial Narrow" w:hAnsi="Franklin Gothic Demi"/>
          <w:bCs/>
        </w:rPr>
        <w:t>Summary of Zone K Transmission Security Margin</w:t>
      </w:r>
      <w:r w:rsidR="006A1EE2">
        <w:rPr>
          <w:rFonts w:ascii="Franklin Gothic Demi" w:eastAsia="Arial Narrow" w:hAnsi="Franklin Gothic Demi"/>
          <w:bCs/>
          <w:noProof/>
        </w:rPr>
        <w:drawing>
          <wp:inline distT="0" distB="0" distL="0" distR="0" wp14:anchorId="3A838EAD" wp14:editId="109D3CB9">
            <wp:extent cx="5861795" cy="2468880"/>
            <wp:effectExtent l="0" t="0" r="5715"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861795" cy="2468880"/>
                    </a:xfrm>
                    <a:prstGeom prst="rect">
                      <a:avLst/>
                    </a:prstGeom>
                    <a:noFill/>
                  </pic:spPr>
                </pic:pic>
              </a:graphicData>
            </a:graphic>
          </wp:inline>
        </w:drawing>
      </w:r>
    </w:p>
    <w:p w14:paraId="604E825F" w14:textId="64F1D282" w:rsidR="00381E1E" w:rsidRDefault="00381E1E" w:rsidP="00FF49F1">
      <w:pPr>
        <w:ind w:left="360"/>
        <w:rPr>
          <w:rFonts w:ascii="Franklin Gothic Demi" w:eastAsia="Arial Narrow" w:hAnsi="Franklin Gothic Demi"/>
          <w:bCs/>
          <w:iCs/>
        </w:rPr>
      </w:pPr>
    </w:p>
    <w:p w14:paraId="39A35251" w14:textId="77777777" w:rsidR="009F19A7" w:rsidRDefault="009F19A7">
      <w:pPr>
        <w:rPr>
          <w:rFonts w:ascii="Franklin Gothic Demi" w:eastAsia="Arial Narrow" w:hAnsi="Franklin Gothic Demi"/>
          <w:bCs/>
          <w:iCs/>
        </w:rPr>
      </w:pPr>
    </w:p>
    <w:p w14:paraId="42806315" w14:textId="7745538D" w:rsidR="00381E1E" w:rsidRDefault="00381E1E">
      <w:pPr>
        <w:rPr>
          <w:rFonts w:ascii="Franklin Gothic Demi" w:eastAsia="Arial Narrow" w:hAnsi="Franklin Gothic Demi"/>
          <w:bCs/>
          <w:iCs/>
        </w:rPr>
      </w:pPr>
      <w:r>
        <w:rPr>
          <w:rFonts w:ascii="Franklin Gothic Demi" w:eastAsia="Arial Narrow" w:hAnsi="Franklin Gothic Demi"/>
          <w:bCs/>
          <w:iCs/>
        </w:rPr>
        <w:br w:type="page"/>
      </w:r>
    </w:p>
    <w:p w14:paraId="0767B391" w14:textId="0D0618DD" w:rsidR="00F970BF" w:rsidRDefault="00F970BF" w:rsidP="00F970BF">
      <w:pPr>
        <w:pStyle w:val="Heading1"/>
      </w:pPr>
      <w:bookmarkStart w:id="136" w:name="_Toc80191677"/>
      <w:bookmarkStart w:id="137" w:name="_Toc81138715"/>
      <w:r>
        <w:lastRenderedPageBreak/>
        <w:t xml:space="preserve">Appendix </w:t>
      </w:r>
      <w:r w:rsidR="00914033">
        <w:t>E</w:t>
      </w:r>
      <w:r>
        <w:t xml:space="preserve"> – 70x30 Scenario</w:t>
      </w:r>
      <w:bookmarkEnd w:id="136"/>
      <w:r w:rsidR="00914033">
        <w:t xml:space="preserve"> – </w:t>
      </w:r>
      <w:bookmarkStart w:id="138" w:name="_Toc80191678"/>
      <w:r w:rsidR="00E93357">
        <w:t>Extended</w:t>
      </w:r>
      <w:r w:rsidR="00914033">
        <w:t xml:space="preserve"> Wind Lull</w:t>
      </w:r>
      <w:bookmarkEnd w:id="137"/>
      <w:bookmarkEnd w:id="138"/>
    </w:p>
    <w:p w14:paraId="16ACB7E4" w14:textId="1F7BA540" w:rsidR="00DD6A53" w:rsidRDefault="00DD6A53" w:rsidP="00DD6A53"/>
    <w:p w14:paraId="6E0583D2" w14:textId="77777777" w:rsidR="00DD6A53" w:rsidRPr="00EC79E8" w:rsidRDefault="00DD6A53" w:rsidP="00DD6A53">
      <w:pPr>
        <w:pStyle w:val="BodyText"/>
        <w:rPr>
          <w:lang w:bidi="en-US"/>
        </w:rPr>
      </w:pPr>
      <w:r w:rsidRPr="00EC79E8">
        <w:rPr>
          <w:rFonts w:eastAsia="Times New Roman"/>
          <w:lang w:bidi="en-US"/>
        </w:rPr>
        <w:t>One of the objectives of the Reliability Planning Process is to identify, through the development of appropriate scenarios, factors and issues that might adversely impact the reliability of the Bulk Power Transmission Facilities (BPTF)</w:t>
      </w:r>
      <w:r>
        <w:rPr>
          <w:rFonts w:eastAsia="Times New Roman"/>
          <w:lang w:bidi="en-US"/>
        </w:rPr>
        <w:t>. The scenarios in this CRP are focused on potential reliability issues as the New York electric system transitions to significant quantities of renewable resources that provide intermittent output to the power system.</w:t>
      </w:r>
    </w:p>
    <w:p w14:paraId="40A17A75" w14:textId="77777777" w:rsidR="00DD6A53" w:rsidRPr="0018635A" w:rsidRDefault="00DD6A53" w:rsidP="00DD6A53">
      <w:pPr>
        <w:pStyle w:val="BodyText"/>
      </w:pPr>
      <w:r w:rsidRPr="0018635A">
        <w:t xml:space="preserve">Weather variability, which impacts the output from wind and solar resources, presents a fundamental challenge to relying exclusively on those resources to meet electricity demand, particularly during extended wind lull events. Even outside of multi-day wind lulls assessed in the study, the Climate Study's results suggest that reductions in wind output create significant reliance on </w:t>
      </w:r>
      <w:r>
        <w:t>dispatchable emissions free resources (</w:t>
      </w:r>
      <w:r w:rsidRPr="0018635A">
        <w:t>DEFRs</w:t>
      </w:r>
      <w:r>
        <w:t>)</w:t>
      </w:r>
      <w:r w:rsidRPr="0018635A">
        <w:t xml:space="preserve"> to avoid potential loss of load events.</w:t>
      </w:r>
    </w:p>
    <w:p w14:paraId="0DE39E64" w14:textId="344ADBF8" w:rsidR="00DD6A53" w:rsidRDefault="00DD6A53" w:rsidP="00DD6A53">
      <w:pPr>
        <w:pStyle w:val="BodyText"/>
      </w:pPr>
      <w:r>
        <w:t>To continue the study efforts on this subject, the NYISO conducted additional</w:t>
      </w:r>
      <w:r w:rsidRPr="007F46DE">
        <w:t xml:space="preserve"> </w:t>
      </w:r>
      <w:r>
        <w:t>‘wind lull’ scenarios in its Reliability Planning Process</w:t>
      </w:r>
      <w:r w:rsidR="00AE6FE4">
        <w:t>.</w:t>
      </w:r>
      <w:r>
        <w:t xml:space="preserve">  In this CRP, the NYISO conducted scenarios under which there is no wind generation output for an extended period of time, such as one week. These scenarios add to the scenarios performed under the 2020 RNA (</w:t>
      </w:r>
      <w:r w:rsidRPr="0033514E">
        <w:rPr>
          <w:i/>
        </w:rPr>
        <w:t>e.g.,</w:t>
      </w:r>
      <w:r>
        <w:t xml:space="preserve"> high load, 70 x 30, status</w:t>
      </w:r>
      <w:r w:rsidR="007034EB">
        <w:t xml:space="preserve"> </w:t>
      </w:r>
      <w:r>
        <w:t>quo).</w:t>
      </w:r>
    </w:p>
    <w:p w14:paraId="15835965" w14:textId="64ECB5FC" w:rsidR="00E93357" w:rsidRPr="008F12DC" w:rsidRDefault="00E93357" w:rsidP="00E93357">
      <w:pPr>
        <w:pStyle w:val="Heading2"/>
        <w:rPr>
          <w:sz w:val="28"/>
          <w:szCs w:val="28"/>
        </w:rPr>
      </w:pPr>
      <w:bookmarkStart w:id="139" w:name="_Toc81138716"/>
      <w:bookmarkStart w:id="140" w:name="_Toc80191681"/>
      <w:r w:rsidRPr="008F12DC">
        <w:rPr>
          <w:sz w:val="28"/>
          <w:szCs w:val="28"/>
        </w:rPr>
        <w:t>Summary of the 2020 RNA 70 x 30 Scenario Major Assumptions</w:t>
      </w:r>
      <w:bookmarkEnd w:id="139"/>
    </w:p>
    <w:p w14:paraId="6B0938F4" w14:textId="793CEA53" w:rsidR="00E93357" w:rsidRPr="007D6FEA" w:rsidRDefault="00E93357" w:rsidP="00E93357">
      <w:pPr>
        <w:pStyle w:val="BodyText"/>
        <w:jc w:val="left"/>
      </w:pPr>
      <w:r w:rsidRPr="00EC79E8">
        <w:t xml:space="preserve">The </w:t>
      </w:r>
      <w:hyperlink r:id="rId123" w:history="1">
        <w:r w:rsidRPr="00D92145">
          <w:rPr>
            <w:rStyle w:val="Hyperlink"/>
          </w:rPr>
          <w:t>2020 RNA</w:t>
        </w:r>
      </w:hyperlink>
      <w:r w:rsidRPr="00EC79E8">
        <w:t xml:space="preserve"> evaluated several scenarios, including </w:t>
      </w:r>
      <w:r>
        <w:t>a 70 x 30 analysis.  The 2020 RNA 70 x 30 Scenario model</w:t>
      </w:r>
      <w:r w:rsidR="00043B9C">
        <w:t>ed</w:t>
      </w:r>
      <w:r>
        <w:t xml:space="preserve"> the same zonal renewable resource distribution</w:t>
      </w:r>
      <w:r w:rsidR="00043B9C">
        <w:t xml:space="preserve"> as modeled in the 2019 CARIS 70 x 30 Scenario.  The CARIS output was used to establish dispatch profiles accounting for generation curtailments.  </w:t>
      </w:r>
      <w:r>
        <w:t xml:space="preserve">The nameplate capacity of the </w:t>
      </w:r>
      <w:r w:rsidRPr="007D6FEA">
        <w:t xml:space="preserve">renewable </w:t>
      </w:r>
      <w:r>
        <w:t xml:space="preserve">resource </w:t>
      </w:r>
      <w:r w:rsidRPr="007D6FEA">
        <w:t xml:space="preserve">mix is </w:t>
      </w:r>
      <w:r>
        <w:t xml:space="preserve">provided </w:t>
      </w:r>
      <w:r w:rsidRPr="007D6FEA">
        <w:t xml:space="preserve">in </w:t>
      </w:r>
      <w:r w:rsidRPr="007D6FEA">
        <w:fldChar w:fldCharType="begin"/>
      </w:r>
      <w:r w:rsidRPr="007D6FEA">
        <w:instrText xml:space="preserve"> REF _Ref49422617 \h  \* MERGEFORMAT </w:instrText>
      </w:r>
      <w:r w:rsidRPr="007D6FEA">
        <w:fldChar w:fldCharType="end"/>
      </w:r>
      <w:r w:rsidRPr="00E638AE">
        <w:rPr>
          <w:highlight w:val="yellow"/>
        </w:rPr>
        <w:t>xx</w:t>
      </w:r>
      <w:r w:rsidRPr="007D6FEA">
        <w:t xml:space="preserve"> below.</w:t>
      </w:r>
    </w:p>
    <w:p w14:paraId="026AE367" w14:textId="77777777" w:rsidR="00AF0BC3" w:rsidRDefault="00AF0BC3">
      <w:pPr>
        <w:rPr>
          <w:rFonts w:ascii="Franklin Gothic Demi" w:eastAsia="Arial Narrow" w:hAnsi="Franklin Gothic Demi"/>
          <w:bCs/>
          <w:szCs w:val="20"/>
          <w:lang w:bidi="ar-SA"/>
        </w:rPr>
      </w:pPr>
      <w:r>
        <w:br w:type="page"/>
      </w:r>
    </w:p>
    <w:p w14:paraId="1646F3F0" w14:textId="0B511E0B" w:rsidR="005E0827" w:rsidRPr="005E0827" w:rsidRDefault="00E93357" w:rsidP="005E0827">
      <w:pPr>
        <w:pStyle w:val="Figure"/>
      </w:pPr>
      <w:r w:rsidRPr="007D6FEA">
        <w:lastRenderedPageBreak/>
        <w:t xml:space="preserve">Figure </w:t>
      </w:r>
      <w:r w:rsidRPr="00E638AE">
        <w:rPr>
          <w:highlight w:val="yellow"/>
        </w:rPr>
        <w:t>xx</w:t>
      </w:r>
      <w:r w:rsidRPr="007D6FEA">
        <w:t>: Renewable Mix Assumptions for each Load Level</w:t>
      </w:r>
    </w:p>
    <w:p w14:paraId="608F2F7A" w14:textId="2E6C4AEB" w:rsidR="005E0827" w:rsidRDefault="005E0827" w:rsidP="00E93357">
      <w:pPr>
        <w:pStyle w:val="BodyText"/>
        <w:rPr>
          <w:rFonts w:eastAsia="Times New Roman"/>
        </w:rPr>
      </w:pPr>
      <w:r w:rsidRPr="005E0827">
        <w:rPr>
          <w:noProof/>
        </w:rPr>
        <w:drawing>
          <wp:inline distT="0" distB="0" distL="0" distR="0" wp14:anchorId="3447F7CD" wp14:editId="284C0163">
            <wp:extent cx="6400800" cy="24663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400800" cy="2466340"/>
                    </a:xfrm>
                    <a:prstGeom prst="rect">
                      <a:avLst/>
                    </a:prstGeom>
                    <a:noFill/>
                    <a:ln>
                      <a:noFill/>
                    </a:ln>
                  </pic:spPr>
                </pic:pic>
              </a:graphicData>
            </a:graphic>
          </wp:inline>
        </w:drawing>
      </w:r>
    </w:p>
    <w:p w14:paraId="385EA352" w14:textId="77777777" w:rsidR="00E93357" w:rsidRDefault="00E93357" w:rsidP="00E93357">
      <w:pPr>
        <w:pStyle w:val="BodyText"/>
        <w:rPr>
          <w:rFonts w:eastAsia="Times New Roman"/>
        </w:rPr>
      </w:pPr>
      <w:r w:rsidRPr="004B15BD">
        <w:rPr>
          <w:rFonts w:eastAsia="Times New Roman"/>
        </w:rPr>
        <w:t>Two load models fro</w:t>
      </w:r>
      <w:r>
        <w:rPr>
          <w:rFonts w:eastAsia="Times New Roman"/>
        </w:rPr>
        <w:t>m the 2019 CARIS 70 x 30 Scenario</w:t>
      </w:r>
      <w:r w:rsidRPr="004B15BD">
        <w:rPr>
          <w:rFonts w:eastAsia="Times New Roman"/>
        </w:rPr>
        <w:t xml:space="preserve"> </w:t>
      </w:r>
      <w:r>
        <w:rPr>
          <w:rFonts w:eastAsia="Times New Roman"/>
        </w:rPr>
        <w:t>were</w:t>
      </w:r>
      <w:r w:rsidRPr="004B15BD">
        <w:rPr>
          <w:rFonts w:eastAsia="Times New Roman"/>
        </w:rPr>
        <w:t xml:space="preserve"> used for the </w:t>
      </w:r>
      <w:r>
        <w:rPr>
          <w:rFonts w:eastAsia="Times New Roman"/>
        </w:rPr>
        <w:t xml:space="preserve">2020 </w:t>
      </w:r>
      <w:r w:rsidRPr="004B15BD">
        <w:rPr>
          <w:rFonts w:eastAsia="Times New Roman"/>
        </w:rPr>
        <w:t xml:space="preserve">RNA </w:t>
      </w:r>
      <w:r>
        <w:rPr>
          <w:rFonts w:eastAsia="Times New Roman"/>
        </w:rPr>
        <w:t>70 x 30</w:t>
      </w:r>
      <w:r w:rsidRPr="004B15BD">
        <w:rPr>
          <w:rFonts w:eastAsia="Times New Roman"/>
        </w:rPr>
        <w:t xml:space="preserve"> </w:t>
      </w:r>
      <w:r>
        <w:rPr>
          <w:rFonts w:eastAsia="Times New Roman"/>
        </w:rPr>
        <w:t>Scenario, both developed from the 2020 RNA 2030 Base Case, with major modifications as highlighted below</w:t>
      </w:r>
      <w:r w:rsidRPr="004B15BD">
        <w:rPr>
          <w:rFonts w:eastAsia="Times New Roman"/>
        </w:rPr>
        <w:t>:</w:t>
      </w:r>
    </w:p>
    <w:p w14:paraId="21AC4041" w14:textId="77777777" w:rsidR="00E93357" w:rsidRPr="00994C82" w:rsidRDefault="00E93357" w:rsidP="00E93357">
      <w:pPr>
        <w:pStyle w:val="BodyText"/>
        <w:numPr>
          <w:ilvl w:val="0"/>
          <w:numId w:val="18"/>
        </w:numPr>
        <w:jc w:val="left"/>
      </w:pPr>
      <w:r w:rsidRPr="00BC3636">
        <w:rPr>
          <w:rFonts w:eastAsia="Times New Roman"/>
          <w:b/>
        </w:rPr>
        <w:t>‘Base Load’</w:t>
      </w:r>
      <w:r>
        <w:rPr>
          <w:rFonts w:eastAsia="Times New Roman"/>
        </w:rPr>
        <w:t xml:space="preserve"> represents a </w:t>
      </w:r>
      <w:r w:rsidRPr="009E5DC3">
        <w:t xml:space="preserve">higher energy shape (153 </w:t>
      </w:r>
      <w:proofErr w:type="spellStart"/>
      <w:r w:rsidRPr="009E5DC3">
        <w:t>TWh</w:t>
      </w:r>
      <w:proofErr w:type="spellEnd"/>
      <w:r w:rsidRPr="009E5DC3">
        <w:t>)</w:t>
      </w:r>
      <w:r>
        <w:t xml:space="preserve"> and a higher peak forecast (31,303 MW):  </w:t>
      </w:r>
      <w:r>
        <w:rPr>
          <w:rFonts w:eastAsia="Times New Roman"/>
        </w:rPr>
        <w:t>T</w:t>
      </w:r>
      <w:r>
        <w:t xml:space="preserve">he </w:t>
      </w:r>
      <w:r w:rsidRPr="00994C82">
        <w:t>2002 load</w:t>
      </w:r>
      <w:r>
        <w:t xml:space="preserve"> </w:t>
      </w:r>
      <w:r w:rsidRPr="00994C82">
        <w:t xml:space="preserve">shape </w:t>
      </w:r>
      <w:r>
        <w:t xml:space="preserve">(8,760 hours) was scaled up to </w:t>
      </w:r>
      <w:r w:rsidRPr="00994C82">
        <w:t>2028 energy forecast from the 2019 Gold Book</w:t>
      </w:r>
      <w:r>
        <w:t>. The s</w:t>
      </w:r>
      <w:r w:rsidRPr="00994C82">
        <w:t>ame load shape</w:t>
      </w:r>
      <w:r>
        <w:t xml:space="preserve"> was</w:t>
      </w:r>
      <w:r w:rsidRPr="00994C82">
        <w:t xml:space="preserve"> used </w:t>
      </w:r>
      <w:r>
        <w:t>for</w:t>
      </w:r>
      <w:r w:rsidRPr="00994C82">
        <w:t xml:space="preserve"> all MARS load levels</w:t>
      </w:r>
      <w:r>
        <w:t>; and</w:t>
      </w:r>
    </w:p>
    <w:p w14:paraId="6829D1AE" w14:textId="77777777" w:rsidR="00E93357" w:rsidRDefault="00E93357" w:rsidP="00E93357">
      <w:pPr>
        <w:pStyle w:val="BodyText"/>
        <w:numPr>
          <w:ilvl w:val="0"/>
          <w:numId w:val="18"/>
        </w:numPr>
        <w:jc w:val="left"/>
      </w:pPr>
      <w:r w:rsidRPr="00BC3636">
        <w:rPr>
          <w:rFonts w:eastAsia="Times New Roman"/>
          <w:b/>
        </w:rPr>
        <w:t>‘Scenario Load’</w:t>
      </w:r>
      <w:r>
        <w:rPr>
          <w:rFonts w:eastAsia="Times New Roman"/>
        </w:rPr>
        <w:t xml:space="preserve"> represents a </w:t>
      </w:r>
      <w:r w:rsidRPr="008977E2">
        <w:rPr>
          <w:rFonts w:eastAsia="Times New Roman"/>
        </w:rPr>
        <w:t xml:space="preserve">lower energy shape (136 </w:t>
      </w:r>
      <w:proofErr w:type="spellStart"/>
      <w:r w:rsidRPr="008977E2">
        <w:rPr>
          <w:rFonts w:eastAsia="Times New Roman"/>
        </w:rPr>
        <w:t>TWh</w:t>
      </w:r>
      <w:proofErr w:type="spellEnd"/>
      <w:r w:rsidRPr="008977E2">
        <w:rPr>
          <w:rFonts w:eastAsia="Times New Roman"/>
        </w:rPr>
        <w:t>)</w:t>
      </w:r>
      <w:r>
        <w:rPr>
          <w:rFonts w:eastAsia="Times New Roman"/>
        </w:rPr>
        <w:t xml:space="preserve"> and a lower peak forecast (25,312 MW):</w:t>
      </w:r>
      <w:r w:rsidRPr="008977E2">
        <w:rPr>
          <w:rFonts w:eastAsia="Times New Roman"/>
        </w:rPr>
        <w:t xml:space="preserve"> </w:t>
      </w:r>
      <w:r>
        <w:rPr>
          <w:rFonts w:eastAsia="Times New Roman"/>
        </w:rPr>
        <w:t xml:space="preserve"> T</w:t>
      </w:r>
      <w:r w:rsidRPr="008977E2">
        <w:rPr>
          <w:rFonts w:eastAsia="Times New Roman"/>
        </w:rPr>
        <w:t>he</w:t>
      </w:r>
      <w:r>
        <w:rPr>
          <w:rFonts w:eastAsia="Times New Roman"/>
        </w:rPr>
        <w:t xml:space="preserve"> </w:t>
      </w:r>
      <w:r w:rsidRPr="008977E2">
        <w:rPr>
          <w:rFonts w:eastAsia="Times New Roman"/>
        </w:rPr>
        <w:t xml:space="preserve">CARIS-developed load shape was scaled to match CARIS </w:t>
      </w:r>
      <w:r>
        <w:rPr>
          <w:rFonts w:eastAsia="Times New Roman"/>
        </w:rPr>
        <w:t>70 x 30</w:t>
      </w:r>
      <w:r w:rsidRPr="008977E2">
        <w:rPr>
          <w:rFonts w:eastAsia="Times New Roman"/>
        </w:rPr>
        <w:t xml:space="preserve"> ‘Scenario Load’ energy and peak demand forecast</w:t>
      </w:r>
      <w:r>
        <w:rPr>
          <w:rFonts w:eastAsia="Times New Roman"/>
        </w:rPr>
        <w:t xml:space="preserve">. </w:t>
      </w:r>
      <w:r w:rsidRPr="008977E2">
        <w:rPr>
          <w:rFonts w:eastAsia="Times New Roman"/>
        </w:rPr>
        <w:t xml:space="preserve">The </w:t>
      </w:r>
      <w:r>
        <w:t>s</w:t>
      </w:r>
      <w:r w:rsidRPr="00994C82">
        <w:t>ame load shape</w:t>
      </w:r>
      <w:r>
        <w:t xml:space="preserve"> was</w:t>
      </w:r>
      <w:r w:rsidRPr="00994C82">
        <w:t xml:space="preserve"> used </w:t>
      </w:r>
      <w:r>
        <w:t>for</w:t>
      </w:r>
      <w:r w:rsidRPr="00994C82">
        <w:t xml:space="preserve"> all MARS load </w:t>
      </w:r>
      <w:r>
        <w:t xml:space="preserve">  </w:t>
      </w:r>
      <w:r w:rsidRPr="00994C82">
        <w:t>levels</w:t>
      </w:r>
      <w:r>
        <w:t>.</w:t>
      </w:r>
    </w:p>
    <w:p w14:paraId="275DF8C6" w14:textId="77777777" w:rsidR="00E93357" w:rsidRPr="007D6FEA" w:rsidRDefault="00E93357" w:rsidP="00E93357">
      <w:pPr>
        <w:pStyle w:val="Figure"/>
      </w:pPr>
      <w:r>
        <w:t xml:space="preserve">     </w:t>
      </w:r>
      <w:r>
        <w:tab/>
        <w:t xml:space="preserve">    </w:t>
      </w:r>
      <w:r w:rsidRPr="007D6FEA">
        <w:t xml:space="preserve">Figure </w:t>
      </w:r>
      <w:r w:rsidRPr="00516F38">
        <w:rPr>
          <w:noProof/>
          <w:highlight w:val="yellow"/>
        </w:rPr>
        <w:t>xx</w:t>
      </w:r>
      <w:r w:rsidRPr="007D6FEA">
        <w:t>: Summer Energy and Peak Demand Forecast Zonal Distribution</w:t>
      </w:r>
    </w:p>
    <w:p w14:paraId="5B1D815F" w14:textId="77777777" w:rsidR="00E93357" w:rsidRDefault="00E93357" w:rsidP="00E93357">
      <w:pPr>
        <w:pStyle w:val="BodyText"/>
        <w:spacing w:after="0" w:line="240" w:lineRule="auto"/>
        <w:ind w:left="720" w:firstLine="180"/>
        <w:jc w:val="center"/>
      </w:pPr>
      <w:r w:rsidRPr="002847B2">
        <w:rPr>
          <w:noProof/>
        </w:rPr>
        <w:drawing>
          <wp:inline distT="0" distB="0" distL="0" distR="0" wp14:anchorId="7FA82879" wp14:editId="375F0C98">
            <wp:extent cx="5254387" cy="2292928"/>
            <wp:effectExtent l="0" t="0" r="381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241" t="-603" r="49630" b="49365"/>
                    <a:stretch/>
                  </pic:blipFill>
                  <pic:spPr bwMode="auto">
                    <a:xfrm>
                      <a:off x="0" y="0"/>
                      <a:ext cx="5325567" cy="2323990"/>
                    </a:xfrm>
                    <a:prstGeom prst="rect">
                      <a:avLst/>
                    </a:prstGeom>
                    <a:noFill/>
                    <a:ln>
                      <a:noFill/>
                    </a:ln>
                    <a:extLst>
                      <a:ext uri="{53640926-AAD7-44D8-BBD7-CCE9431645EC}">
                        <a14:shadowObscured xmlns:a14="http://schemas.microsoft.com/office/drawing/2010/main"/>
                      </a:ext>
                    </a:extLst>
                  </pic:spPr>
                </pic:pic>
              </a:graphicData>
            </a:graphic>
          </wp:inline>
        </w:drawing>
      </w:r>
    </w:p>
    <w:p w14:paraId="15F8F141" w14:textId="77777777" w:rsidR="00E93357" w:rsidRPr="00E11625" w:rsidRDefault="00E93357" w:rsidP="00E93357">
      <w:pPr>
        <w:pStyle w:val="caption10"/>
        <w:spacing w:after="0"/>
      </w:pPr>
      <w:r>
        <w:t xml:space="preserve">                          </w:t>
      </w:r>
      <w:r>
        <w:tab/>
      </w:r>
      <w:r>
        <w:tab/>
        <w:t xml:space="preserve">Note: </w:t>
      </w:r>
      <w:r w:rsidRPr="00E11625">
        <w:t>*Non-coincident zonal peak</w:t>
      </w:r>
    </w:p>
    <w:p w14:paraId="0A4C18FE" w14:textId="77777777" w:rsidR="00E93357" w:rsidRDefault="00E93357" w:rsidP="00E93357">
      <w:pPr>
        <w:pStyle w:val="BodyText"/>
      </w:pPr>
    </w:p>
    <w:p w14:paraId="24677B9A" w14:textId="77777777" w:rsidR="00E93357" w:rsidRDefault="00E93357" w:rsidP="00E93357">
      <w:pPr>
        <w:pStyle w:val="BodyText"/>
        <w:ind w:firstLine="540"/>
      </w:pPr>
      <w:r>
        <w:lastRenderedPageBreak/>
        <w:t>Additional modeling details employed in the 2020 RNA 70 x 30 scenarios, by type:</w:t>
      </w:r>
    </w:p>
    <w:p w14:paraId="30FD86AF" w14:textId="77777777" w:rsidR="00E93357" w:rsidRPr="00E32E11" w:rsidRDefault="00E93357" w:rsidP="00E93357">
      <w:pPr>
        <w:pStyle w:val="BodyText"/>
        <w:numPr>
          <w:ilvl w:val="1"/>
          <w:numId w:val="19"/>
        </w:numPr>
        <w:jc w:val="left"/>
        <w:rPr>
          <w:rFonts w:eastAsia="Times New Roman"/>
          <w:b/>
        </w:rPr>
      </w:pPr>
      <w:r w:rsidRPr="004D59AC">
        <w:rPr>
          <w:rFonts w:eastAsia="Times New Roman"/>
          <w:b/>
        </w:rPr>
        <w:t>Land-based wind</w:t>
      </w:r>
      <w:r>
        <w:rPr>
          <w:rFonts w:eastAsia="Times New Roman"/>
          <w:b/>
        </w:rPr>
        <w:t xml:space="preserve"> (LBW)</w:t>
      </w:r>
      <w:r w:rsidRPr="004D59AC">
        <w:rPr>
          <w:rFonts w:eastAsia="Times New Roman"/>
          <w:b/>
        </w:rPr>
        <w:t>:</w:t>
      </w:r>
      <w:r>
        <w:rPr>
          <w:rFonts w:eastAsia="Times New Roman"/>
          <w:b/>
        </w:rPr>
        <w:t xml:space="preserve">  </w:t>
      </w:r>
      <w:r w:rsidRPr="00E32E11">
        <w:rPr>
          <w:rFonts w:eastAsia="Times New Roman"/>
        </w:rPr>
        <w:t xml:space="preserve">Hourly </w:t>
      </w:r>
      <w:r>
        <w:rPr>
          <w:rFonts w:eastAsia="Times New Roman"/>
        </w:rPr>
        <w:t>dispatch profiles</w:t>
      </w:r>
      <w:r w:rsidRPr="00E32E11">
        <w:rPr>
          <w:rFonts w:eastAsia="Times New Roman"/>
        </w:rPr>
        <w:t xml:space="preserve"> (</w:t>
      </w:r>
      <w:r>
        <w:rPr>
          <w:rFonts w:eastAsia="Times New Roman"/>
        </w:rPr>
        <w:t xml:space="preserve">MWh </w:t>
      </w:r>
      <w:r w:rsidRPr="00E32E11">
        <w:rPr>
          <w:rFonts w:eastAsia="Times New Roman"/>
        </w:rPr>
        <w:t xml:space="preserve">shapes) are </w:t>
      </w:r>
      <w:r>
        <w:rPr>
          <w:rFonts w:eastAsia="Times New Roman"/>
        </w:rPr>
        <w:t xml:space="preserve">applied </w:t>
      </w:r>
      <w:r w:rsidRPr="00E32E11">
        <w:rPr>
          <w:rFonts w:eastAsia="Times New Roman"/>
        </w:rPr>
        <w:t xml:space="preserve">from </w:t>
      </w:r>
      <w:r>
        <w:rPr>
          <w:rFonts w:eastAsia="Times New Roman"/>
        </w:rPr>
        <w:t xml:space="preserve">the </w:t>
      </w:r>
      <w:r w:rsidRPr="00E32E11">
        <w:rPr>
          <w:rFonts w:eastAsia="Times New Roman"/>
        </w:rPr>
        <w:t>CARIS simulation output, including curtailments observed in the production simulation, for each of the two load shapes. CARIS used the 2009 National Renewable Energy Laboratory (NREL) hourly data as input.</w:t>
      </w:r>
    </w:p>
    <w:p w14:paraId="0924A2D9" w14:textId="77777777" w:rsidR="00E93357" w:rsidRPr="00E32E11" w:rsidRDefault="00E93357" w:rsidP="00E93357">
      <w:pPr>
        <w:pStyle w:val="BodyText"/>
        <w:numPr>
          <w:ilvl w:val="1"/>
          <w:numId w:val="19"/>
        </w:numPr>
        <w:jc w:val="left"/>
        <w:rPr>
          <w:b/>
        </w:rPr>
      </w:pPr>
      <w:r w:rsidRPr="00AE6143">
        <w:rPr>
          <w:rFonts w:eastAsia="Times New Roman"/>
          <w:b/>
        </w:rPr>
        <w:t>Off-shore wind</w:t>
      </w:r>
      <w:r>
        <w:rPr>
          <w:rFonts w:eastAsia="Times New Roman"/>
          <w:b/>
        </w:rPr>
        <w:t xml:space="preserve"> (OSW)</w:t>
      </w:r>
      <w:r>
        <w:rPr>
          <w:b/>
        </w:rPr>
        <w:t xml:space="preserve">:  </w:t>
      </w:r>
      <w:r w:rsidRPr="0088600B">
        <w:rPr>
          <w:rFonts w:eastAsia="Times New Roman"/>
        </w:rPr>
        <w:t xml:space="preserve">Hourly </w:t>
      </w:r>
      <w:r>
        <w:rPr>
          <w:rFonts w:eastAsia="Times New Roman"/>
        </w:rPr>
        <w:t xml:space="preserve">dispatch profiles </w:t>
      </w:r>
      <w:r w:rsidRPr="0088600B">
        <w:rPr>
          <w:rFonts w:eastAsia="Times New Roman"/>
        </w:rPr>
        <w:t>(</w:t>
      </w:r>
      <w:r>
        <w:rPr>
          <w:rFonts w:eastAsia="Times New Roman"/>
        </w:rPr>
        <w:t xml:space="preserve">MWh </w:t>
      </w:r>
      <w:r w:rsidRPr="0088600B">
        <w:rPr>
          <w:rFonts w:eastAsia="Times New Roman"/>
        </w:rPr>
        <w:t xml:space="preserve">shapes) are </w:t>
      </w:r>
      <w:r>
        <w:rPr>
          <w:rFonts w:eastAsia="Times New Roman"/>
        </w:rPr>
        <w:t xml:space="preserve">applied </w:t>
      </w:r>
      <w:r w:rsidRPr="0088600B">
        <w:rPr>
          <w:rFonts w:eastAsia="Times New Roman"/>
        </w:rPr>
        <w:t xml:space="preserve">from </w:t>
      </w:r>
      <w:r>
        <w:rPr>
          <w:rFonts w:eastAsia="Times New Roman"/>
        </w:rPr>
        <w:t xml:space="preserve">the </w:t>
      </w:r>
      <w:r w:rsidRPr="0088600B">
        <w:rPr>
          <w:rFonts w:eastAsia="Times New Roman"/>
        </w:rPr>
        <w:t>CARIS simulation output, including curtailments observed in the production simulation, for each of the two load shapes. CARIS used the 2009 National Renewable Energy Laboratory (NREL) hourly data as input.</w:t>
      </w:r>
    </w:p>
    <w:p w14:paraId="5D8805F1" w14:textId="77777777" w:rsidR="00E93357" w:rsidRPr="00E32E11" w:rsidRDefault="00E93357" w:rsidP="00E93357">
      <w:pPr>
        <w:pStyle w:val="BodyText"/>
        <w:numPr>
          <w:ilvl w:val="1"/>
          <w:numId w:val="19"/>
        </w:numPr>
        <w:jc w:val="left"/>
        <w:rPr>
          <w:b/>
        </w:rPr>
      </w:pPr>
      <w:r w:rsidRPr="00AE6143">
        <w:rPr>
          <w:rFonts w:eastAsia="Times New Roman"/>
          <w:b/>
        </w:rPr>
        <w:t xml:space="preserve">Utility-scale </w:t>
      </w:r>
      <w:r>
        <w:rPr>
          <w:rFonts w:eastAsia="Times New Roman"/>
          <w:b/>
        </w:rPr>
        <w:t>Photovoltaic (UPV)</w:t>
      </w:r>
      <w:r>
        <w:rPr>
          <w:b/>
        </w:rPr>
        <w:t xml:space="preserve">:  </w:t>
      </w:r>
      <w:r w:rsidRPr="0088600B">
        <w:rPr>
          <w:rFonts w:eastAsia="Times New Roman"/>
        </w:rPr>
        <w:t xml:space="preserve">Hourly </w:t>
      </w:r>
      <w:r>
        <w:rPr>
          <w:rFonts w:eastAsia="Times New Roman"/>
        </w:rPr>
        <w:t xml:space="preserve">dispatch profiles </w:t>
      </w:r>
      <w:r w:rsidRPr="0088600B">
        <w:rPr>
          <w:rFonts w:eastAsia="Times New Roman"/>
        </w:rPr>
        <w:t>(</w:t>
      </w:r>
      <w:r>
        <w:rPr>
          <w:rFonts w:eastAsia="Times New Roman"/>
        </w:rPr>
        <w:t xml:space="preserve">MWh </w:t>
      </w:r>
      <w:r w:rsidRPr="0088600B">
        <w:rPr>
          <w:rFonts w:eastAsia="Times New Roman"/>
        </w:rPr>
        <w:t xml:space="preserve">shapes) are </w:t>
      </w:r>
      <w:r>
        <w:rPr>
          <w:rFonts w:eastAsia="Times New Roman"/>
        </w:rPr>
        <w:t xml:space="preserve">applied </w:t>
      </w:r>
      <w:r w:rsidRPr="0088600B">
        <w:rPr>
          <w:rFonts w:eastAsia="Times New Roman"/>
        </w:rPr>
        <w:t xml:space="preserve">from </w:t>
      </w:r>
      <w:r>
        <w:rPr>
          <w:rFonts w:eastAsia="Times New Roman"/>
        </w:rPr>
        <w:t xml:space="preserve">the </w:t>
      </w:r>
      <w:r w:rsidRPr="0088600B">
        <w:rPr>
          <w:rFonts w:eastAsia="Times New Roman"/>
        </w:rPr>
        <w:t>CARIS simulation output, including curtailments observed in the production simulation, for each of the two load shapes.</w:t>
      </w:r>
      <w:r w:rsidRPr="00E32E11">
        <w:rPr>
          <w:rFonts w:eastAsia="Times New Roman"/>
        </w:rPr>
        <w:t xml:space="preserve"> CARIS used the 2017 production data for existing plants and the 2006 NREL hourly data for new plants as input.</w:t>
      </w:r>
    </w:p>
    <w:p w14:paraId="4658E7B6" w14:textId="77777777" w:rsidR="00E93357" w:rsidRDefault="00E93357" w:rsidP="00E93357">
      <w:pPr>
        <w:pStyle w:val="BodyText"/>
        <w:numPr>
          <w:ilvl w:val="1"/>
          <w:numId w:val="19"/>
        </w:numPr>
        <w:jc w:val="left"/>
        <w:rPr>
          <w:b/>
        </w:rPr>
      </w:pPr>
      <w:r>
        <w:rPr>
          <w:b/>
        </w:rPr>
        <w:t>Behind-the-Meter PV (</w:t>
      </w:r>
      <w:proofErr w:type="spellStart"/>
      <w:r>
        <w:rPr>
          <w:b/>
        </w:rPr>
        <w:t>BtM</w:t>
      </w:r>
      <w:proofErr w:type="spellEnd"/>
      <w:r>
        <w:rPr>
          <w:b/>
        </w:rPr>
        <w:t xml:space="preserve"> PV): </w:t>
      </w:r>
      <w:r>
        <w:t>Hourly dispatch profile (MWh shapes) are applied from the CARIS simulation output, for each of the two load shapes. The CARIS behind-the-meter solar profiles are based on hourly shapes created using the NREL’s PV Watt tool.</w:t>
      </w:r>
      <w:r>
        <w:rPr>
          <w:b/>
        </w:rPr>
        <w:t xml:space="preserve"> </w:t>
      </w:r>
    </w:p>
    <w:p w14:paraId="5BBDFFF1" w14:textId="77777777" w:rsidR="00E93357" w:rsidRPr="00034BC6" w:rsidRDefault="00E93357" w:rsidP="00E93357">
      <w:pPr>
        <w:pStyle w:val="BodyText"/>
        <w:numPr>
          <w:ilvl w:val="1"/>
          <w:numId w:val="19"/>
        </w:numPr>
      </w:pPr>
      <w:r w:rsidRPr="00034BC6">
        <w:rPr>
          <w:b/>
        </w:rPr>
        <w:t xml:space="preserve">External areas: </w:t>
      </w:r>
      <w:r w:rsidRPr="00034BC6">
        <w:t xml:space="preserve">added a 1,310 MW Hydro Quebec to Zone J HVDC tie, consistent with </w:t>
      </w:r>
      <w:r>
        <w:t xml:space="preserve">the </w:t>
      </w:r>
      <w:r w:rsidRPr="00034BC6">
        <w:t>CARIS</w:t>
      </w:r>
      <w:r>
        <w:t xml:space="preserve"> modeling.</w:t>
      </w:r>
    </w:p>
    <w:p w14:paraId="23109DB0" w14:textId="77777777" w:rsidR="00E93357" w:rsidRPr="00034BC6" w:rsidRDefault="00E93357" w:rsidP="00E93357">
      <w:pPr>
        <w:pStyle w:val="BodyText"/>
        <w:numPr>
          <w:ilvl w:val="1"/>
          <w:numId w:val="19"/>
        </w:numPr>
      </w:pPr>
      <w:proofErr w:type="spellStart"/>
      <w:r>
        <w:rPr>
          <w:b/>
        </w:rPr>
        <w:t>Peakers</w:t>
      </w:r>
      <w:proofErr w:type="spellEnd"/>
      <w:r w:rsidRPr="00034BC6">
        <w:rPr>
          <w:b/>
        </w:rPr>
        <w:t xml:space="preserve">: </w:t>
      </w:r>
      <w:r w:rsidRPr="00034BC6">
        <w:t xml:space="preserve">All </w:t>
      </w:r>
      <w:proofErr w:type="spellStart"/>
      <w:r w:rsidRPr="00034BC6">
        <w:t>peaker</w:t>
      </w:r>
      <w:proofErr w:type="spellEnd"/>
      <w:r w:rsidRPr="00034BC6">
        <w:t xml:space="preserve"> units affected by </w:t>
      </w:r>
      <w:r>
        <w:t>DEC’s</w:t>
      </w:r>
      <w:r w:rsidRPr="00034BC6">
        <w:t xml:space="preserve"> Peaker Rule</w:t>
      </w:r>
      <w:r>
        <w:rPr>
          <w:rStyle w:val="FootnoteReference"/>
        </w:rPr>
        <w:footnoteReference w:id="36"/>
      </w:r>
      <w:r w:rsidRPr="00034BC6">
        <w:t xml:space="preserve"> were removed in 2023 and 2025 to further align with the 2019 CARIS assumptions</w:t>
      </w:r>
      <w:r>
        <w:t>.</w:t>
      </w:r>
    </w:p>
    <w:p w14:paraId="70402B88" w14:textId="77777777" w:rsidR="00DD6A53" w:rsidRPr="0031764F" w:rsidRDefault="00DD6A53" w:rsidP="0031764F">
      <w:pPr>
        <w:pStyle w:val="Heading2"/>
        <w:rPr>
          <w:sz w:val="28"/>
          <w:szCs w:val="28"/>
        </w:rPr>
      </w:pPr>
      <w:bookmarkStart w:id="141" w:name="_Toc81138717"/>
      <w:r w:rsidRPr="0031764F">
        <w:rPr>
          <w:sz w:val="28"/>
          <w:szCs w:val="28"/>
        </w:rPr>
        <w:t>Wind Lull Scenarios Assumptions</w:t>
      </w:r>
      <w:bookmarkEnd w:id="140"/>
      <w:bookmarkEnd w:id="141"/>
      <w:r w:rsidRPr="0031764F">
        <w:rPr>
          <w:sz w:val="28"/>
          <w:szCs w:val="28"/>
        </w:rPr>
        <w:t xml:space="preserve"> </w:t>
      </w:r>
    </w:p>
    <w:p w14:paraId="68D2EC00" w14:textId="2B78A9F5" w:rsidR="00DD6A53" w:rsidRDefault="0088648F" w:rsidP="00DD6A53">
      <w:pPr>
        <w:pStyle w:val="BodyText"/>
      </w:pPr>
      <w:r>
        <w:t xml:space="preserve">Using the </w:t>
      </w:r>
      <w:r w:rsidR="00DD6A53">
        <w:t>70 x 30 models developed during the 2020 RNA, and as described below, additional weekly ‘wind lull’ scenarios were simulated using GE MARS.</w:t>
      </w:r>
    </w:p>
    <w:p w14:paraId="7EB4B5E8" w14:textId="5D86C2AA" w:rsidR="00DD6A53" w:rsidRPr="00F23D60" w:rsidRDefault="00DD6A53" w:rsidP="00DD6A53">
      <w:pPr>
        <w:pStyle w:val="BodyText"/>
      </w:pPr>
      <w:r>
        <w:t>Resource adequacy</w:t>
      </w:r>
      <w:r w:rsidRPr="003623EA">
        <w:t xml:space="preserve"> impacts of these events are measured in terms of three reliability metrics:</w:t>
      </w:r>
      <w:r>
        <w:t xml:space="preserve"> </w:t>
      </w:r>
      <w:r w:rsidRPr="003623EA">
        <w:t>Loss of Load Expectation (LOLE in days/year), Loss of Load Hours (LOLH in hours/year</w:t>
      </w:r>
      <w:proofErr w:type="gramStart"/>
      <w:r w:rsidRPr="003623EA">
        <w:t>), and</w:t>
      </w:r>
      <w:proofErr w:type="gramEnd"/>
      <w:r w:rsidRPr="003623EA">
        <w:t xml:space="preserve"> Expected Unserved </w:t>
      </w:r>
      <w:r w:rsidRPr="003623EA">
        <w:lastRenderedPageBreak/>
        <w:t>Energy (EUE in MWh).</w:t>
      </w:r>
      <w:r w:rsidRPr="00F143E6">
        <w:rPr>
          <w:color w:val="984806" w:themeColor="accent6" w:themeShade="80"/>
        </w:rPr>
        <w:t xml:space="preserve"> </w:t>
      </w:r>
      <w:r w:rsidRPr="00F23D60">
        <w:t>The assessment also determined the compensatory MW</w:t>
      </w:r>
      <w:r>
        <w:t xml:space="preserve"> (‘perfect capacity’)</w:t>
      </w:r>
      <w:r w:rsidRPr="00F23D60">
        <w:t xml:space="preserve"> needed for </w:t>
      </w:r>
      <w:r>
        <w:t>returning</w:t>
      </w:r>
      <w:r w:rsidRPr="00F23D60">
        <w:t xml:space="preserve"> the system back to its initial (pre-wind lull) LOLE, under each scenario assessed. </w:t>
      </w:r>
      <w:r>
        <w:t>“</w:t>
      </w:r>
      <w:r w:rsidRPr="007521D7">
        <w:t>Perfect capacity</w:t>
      </w:r>
      <w:r>
        <w:t>”</w:t>
      </w:r>
      <w:r w:rsidRPr="007521D7">
        <w:t xml:space="preserve"> is capacity that is not derated (</w:t>
      </w:r>
      <w:r w:rsidRPr="007D7A6B">
        <w:rPr>
          <w:i/>
        </w:rPr>
        <w:t>e.g.,</w:t>
      </w:r>
      <w:r w:rsidRPr="007521D7">
        <w:t xml:space="preserve"> due to ambient temperature or unit unavailability)</w:t>
      </w:r>
      <w:r>
        <w:t xml:space="preserve">, </w:t>
      </w:r>
      <w:r w:rsidRPr="0056224C">
        <w:t>not subject to energy durations limitations</w:t>
      </w:r>
      <w:r>
        <w:t xml:space="preserve"> (</w:t>
      </w:r>
      <w:r w:rsidRPr="00E91394">
        <w:rPr>
          <w:i/>
        </w:rPr>
        <w:t>i.e.,</w:t>
      </w:r>
      <w:r w:rsidRPr="00A3213A">
        <w:t xml:space="preserve"> available for every hour of the year</w:t>
      </w:r>
      <w:r>
        <w:t>),</w:t>
      </w:r>
      <w:r w:rsidRPr="007521D7">
        <w:t xml:space="preserve"> and not tested for transmission security or interface impacts.</w:t>
      </w:r>
    </w:p>
    <w:p w14:paraId="75B3736C" w14:textId="19B1D2EA" w:rsidR="00DD6A53" w:rsidRPr="003623EA" w:rsidRDefault="00DD6A53" w:rsidP="00DD6A53">
      <w:pPr>
        <w:pStyle w:val="BodyText"/>
      </w:pPr>
      <w:r w:rsidRPr="003623EA">
        <w:t>The following MARS models were used</w:t>
      </w:r>
      <w:r>
        <w:t xml:space="preserve">. </w:t>
      </w:r>
      <w:r w:rsidR="0088648F">
        <w:t xml:space="preserve"> </w:t>
      </w:r>
      <w:r>
        <w:t xml:space="preserve">Their assumptions reside </w:t>
      </w:r>
      <w:r w:rsidRPr="003623EA">
        <w:t>in the 2020 RNA November Report [</w:t>
      </w:r>
      <w:hyperlink r:id="rId126" w:history="1">
        <w:r w:rsidRPr="003623EA">
          <w:rPr>
            <w:rStyle w:val="Hyperlink"/>
            <w:color w:val="auto"/>
            <w:u w:val="none"/>
          </w:rPr>
          <w:t>link</w:t>
        </w:r>
      </w:hyperlink>
      <w:r w:rsidRPr="003623EA">
        <w:t>]</w:t>
      </w:r>
      <w:r>
        <w:t xml:space="preserve">. </w:t>
      </w:r>
      <w:r w:rsidR="0088648F">
        <w:t xml:space="preserve"> </w:t>
      </w:r>
      <w:r>
        <w:t>Major assumptions are also reiterated below.</w:t>
      </w:r>
    </w:p>
    <w:p w14:paraId="005FF70A" w14:textId="7603DEE6" w:rsidR="00DD6A53" w:rsidRPr="009D0AF1" w:rsidRDefault="00DD6A53" w:rsidP="00DD6A53">
      <w:pPr>
        <w:pStyle w:val="BodyText"/>
      </w:pPr>
      <w:r w:rsidRPr="009D0AF1">
        <w:rPr>
          <w:b/>
        </w:rPr>
        <w:t>Model #1:</w:t>
      </w:r>
      <w:r w:rsidRPr="009D0AF1">
        <w:t xml:space="preserve"> The 70</w:t>
      </w:r>
      <w:r>
        <w:t xml:space="preserve"> x </w:t>
      </w:r>
      <w:r w:rsidRPr="009D0AF1">
        <w:t>30 ‘Base Load’ “at criterion” (case “67*” in the table below) cases used for the 2020 RNA scenario evaluations</w:t>
      </w:r>
      <w:r>
        <w:t xml:space="preserve">.  These cases are </w:t>
      </w:r>
      <w:r w:rsidRPr="009D0AF1">
        <w:t>brought to approximately 0.1 days/year LOLE by employing an age-based fossil removal method</w:t>
      </w:r>
      <w:r>
        <w:t>.</w:t>
      </w:r>
      <w:r w:rsidRPr="009D0AF1">
        <w:t xml:space="preserve"> </w:t>
      </w:r>
    </w:p>
    <w:p w14:paraId="7C94F765" w14:textId="03D5D2B2" w:rsidR="00DD6A53" w:rsidRDefault="00DD6A53" w:rsidP="00DD6A53">
      <w:pPr>
        <w:pStyle w:val="BodyText"/>
        <w:spacing w:line="276" w:lineRule="auto"/>
        <w:ind w:firstLine="720"/>
        <w:jc w:val="left"/>
        <w:rPr>
          <w:lang w:bidi="en-US"/>
        </w:rPr>
      </w:pPr>
      <w:r w:rsidRPr="00693558">
        <w:rPr>
          <w:b/>
        </w:rPr>
        <w:t xml:space="preserve">Table </w:t>
      </w:r>
      <w:r w:rsidRPr="00693558">
        <w:rPr>
          <w:b/>
          <w:highlight w:val="yellow"/>
        </w:rPr>
        <w:t>xx</w:t>
      </w:r>
      <w:r w:rsidRPr="00693558">
        <w:rPr>
          <w:b/>
        </w:rPr>
        <w:t xml:space="preserve">: </w:t>
      </w:r>
      <w:r w:rsidRPr="00693558">
        <w:rPr>
          <w:lang w:bidi="en-US"/>
        </w:rPr>
        <w:t>“</w:t>
      </w:r>
      <w:r>
        <w:rPr>
          <w:lang w:bidi="en-US"/>
        </w:rPr>
        <w:t xml:space="preserve">70 x 30 </w:t>
      </w:r>
      <w:r w:rsidRPr="00693558">
        <w:rPr>
          <w:lang w:bidi="en-US"/>
        </w:rPr>
        <w:t>Base Load” Case at-Criterion: Age-based Fossil Removal</w:t>
      </w:r>
    </w:p>
    <w:p w14:paraId="79E3E9CE" w14:textId="77777777" w:rsidR="00DD6A53" w:rsidRDefault="00DD6A53" w:rsidP="00DD6A53">
      <w:pPr>
        <w:pStyle w:val="BodyText"/>
        <w:spacing w:line="276" w:lineRule="auto"/>
        <w:ind w:left="720" w:firstLine="0"/>
        <w:jc w:val="left"/>
      </w:pPr>
      <w:r>
        <w:rPr>
          <w:noProof/>
        </w:rPr>
        <w:drawing>
          <wp:inline distT="0" distB="0" distL="0" distR="0" wp14:anchorId="09C2055A" wp14:editId="7353FBC6">
            <wp:extent cx="5147992" cy="12954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178271" cy="1303019"/>
                    </a:xfrm>
                    <a:prstGeom prst="rect">
                      <a:avLst/>
                    </a:prstGeom>
                    <a:noFill/>
                  </pic:spPr>
                </pic:pic>
              </a:graphicData>
            </a:graphic>
          </wp:inline>
        </w:drawing>
      </w:r>
    </w:p>
    <w:p w14:paraId="4BB211FD" w14:textId="77777777" w:rsidR="00AF0BC3" w:rsidRDefault="00AF0BC3">
      <w:pPr>
        <w:rPr>
          <w:rFonts w:ascii="Cambria" w:eastAsia="Arial Narrow" w:hAnsi="Cambria"/>
          <w:b/>
          <w:bCs/>
          <w:sz w:val="22"/>
          <w:lang w:bidi="ar-SA"/>
        </w:rPr>
      </w:pPr>
      <w:r>
        <w:rPr>
          <w:b/>
        </w:rPr>
        <w:br w:type="page"/>
      </w:r>
    </w:p>
    <w:p w14:paraId="378D85B0" w14:textId="59A28AC2" w:rsidR="00DD6A53" w:rsidRDefault="00DD6A53" w:rsidP="00DD6A53">
      <w:pPr>
        <w:pStyle w:val="BodyText"/>
        <w:spacing w:line="276" w:lineRule="auto"/>
        <w:ind w:firstLine="720"/>
        <w:jc w:val="left"/>
      </w:pPr>
      <w:r w:rsidRPr="00693558">
        <w:rPr>
          <w:b/>
        </w:rPr>
        <w:lastRenderedPageBreak/>
        <w:t xml:space="preserve">Table </w:t>
      </w:r>
      <w:r w:rsidRPr="00693558">
        <w:rPr>
          <w:b/>
          <w:highlight w:val="yellow"/>
        </w:rPr>
        <w:t>xx</w:t>
      </w:r>
      <w:r w:rsidRPr="00693558">
        <w:rPr>
          <w:b/>
        </w:rPr>
        <w:t xml:space="preserve">: </w:t>
      </w:r>
      <w:r w:rsidRPr="00693558">
        <w:rPr>
          <w:lang w:bidi="en-US"/>
        </w:rPr>
        <w:t>“</w:t>
      </w:r>
      <w:r>
        <w:rPr>
          <w:lang w:bidi="en-US"/>
        </w:rPr>
        <w:t xml:space="preserve">70 x 30 </w:t>
      </w:r>
      <w:r w:rsidRPr="00693558">
        <w:rPr>
          <w:lang w:bidi="en-US"/>
        </w:rPr>
        <w:t>Base Load” Case</w:t>
      </w:r>
      <w:r>
        <w:rPr>
          <w:lang w:bidi="en-US"/>
        </w:rPr>
        <w:t>:</w:t>
      </w:r>
      <w:r w:rsidRPr="00693558">
        <w:rPr>
          <w:lang w:bidi="en-US"/>
        </w:rPr>
        <w:t xml:space="preserve"> </w:t>
      </w:r>
      <w:r>
        <w:rPr>
          <w:lang w:bidi="en-US"/>
        </w:rPr>
        <w:t>ICAP vs UCAP</w:t>
      </w:r>
    </w:p>
    <w:p w14:paraId="4B4E8289" w14:textId="77777777" w:rsidR="00DD6A53" w:rsidRDefault="00DD6A53" w:rsidP="00DD6A53">
      <w:pPr>
        <w:pStyle w:val="BodyText"/>
        <w:spacing w:after="0" w:line="240" w:lineRule="auto"/>
        <w:ind w:left="720" w:firstLine="0"/>
        <w:jc w:val="left"/>
      </w:pPr>
      <w:r>
        <w:rPr>
          <w:noProof/>
        </w:rPr>
        <w:drawing>
          <wp:inline distT="0" distB="0" distL="0" distR="0" wp14:anchorId="77EECFF7" wp14:editId="1FAD2C72">
            <wp:extent cx="5292090" cy="4657725"/>
            <wp:effectExtent l="0" t="0" r="3810"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92090" cy="4657725"/>
                    </a:xfrm>
                    <a:prstGeom prst="rect">
                      <a:avLst/>
                    </a:prstGeom>
                    <a:noFill/>
                  </pic:spPr>
                </pic:pic>
              </a:graphicData>
            </a:graphic>
          </wp:inline>
        </w:drawing>
      </w:r>
    </w:p>
    <w:p w14:paraId="1DF29431" w14:textId="77777777" w:rsidR="00DD6A53" w:rsidRPr="0021405C" w:rsidRDefault="00DD6A53" w:rsidP="00DD6A53">
      <w:pPr>
        <w:pStyle w:val="BodyText"/>
        <w:spacing w:after="0" w:line="240" w:lineRule="auto"/>
        <w:ind w:left="720"/>
        <w:rPr>
          <w:sz w:val="18"/>
          <w:szCs w:val="18"/>
        </w:rPr>
      </w:pPr>
      <w:r w:rsidRPr="0021405C">
        <w:rPr>
          <w:sz w:val="18"/>
          <w:szCs w:val="18"/>
        </w:rPr>
        <w:t>Notes</w:t>
      </w:r>
      <w:r>
        <w:rPr>
          <w:sz w:val="18"/>
          <w:szCs w:val="18"/>
        </w:rPr>
        <w:t>:</w:t>
      </w:r>
    </w:p>
    <w:p w14:paraId="7E2BEE25" w14:textId="77777777" w:rsidR="00DD6A53" w:rsidRPr="0021405C" w:rsidRDefault="00DD6A53" w:rsidP="00DD6A53">
      <w:pPr>
        <w:pStyle w:val="BodyText"/>
        <w:spacing w:after="0" w:line="240" w:lineRule="auto"/>
        <w:ind w:left="1152"/>
        <w:rPr>
          <w:sz w:val="18"/>
          <w:szCs w:val="18"/>
        </w:rPr>
      </w:pPr>
      <w:r w:rsidRPr="0021405C">
        <w:rPr>
          <w:sz w:val="18"/>
          <w:szCs w:val="18"/>
        </w:rPr>
        <w:t>1. UCAP calculation:</w:t>
      </w:r>
    </w:p>
    <w:p w14:paraId="765BF32E" w14:textId="77777777" w:rsidR="00DD6A53" w:rsidRPr="0021405C" w:rsidRDefault="00DD6A53" w:rsidP="007F4000">
      <w:pPr>
        <w:pStyle w:val="BodyText"/>
        <w:numPr>
          <w:ilvl w:val="0"/>
          <w:numId w:val="25"/>
        </w:numPr>
        <w:spacing w:after="0" w:line="240" w:lineRule="auto"/>
        <w:ind w:left="2736"/>
        <w:rPr>
          <w:sz w:val="18"/>
          <w:szCs w:val="18"/>
        </w:rPr>
      </w:pPr>
      <w:r w:rsidRPr="0021405C">
        <w:rPr>
          <w:sz w:val="18"/>
          <w:szCs w:val="18"/>
        </w:rPr>
        <w:t xml:space="preserve">For thermal units, MARS </w:t>
      </w:r>
      <w:proofErr w:type="spellStart"/>
      <w:r w:rsidRPr="0021405C">
        <w:rPr>
          <w:sz w:val="18"/>
          <w:szCs w:val="18"/>
        </w:rPr>
        <w:t>EFORd</w:t>
      </w:r>
      <w:proofErr w:type="spellEnd"/>
      <w:r w:rsidRPr="0021405C">
        <w:rPr>
          <w:sz w:val="18"/>
          <w:szCs w:val="18"/>
        </w:rPr>
        <w:t xml:space="preserve"> data is used. </w:t>
      </w:r>
    </w:p>
    <w:p w14:paraId="408D21B9" w14:textId="3E1AB708" w:rsidR="00DD6A53" w:rsidRPr="0021405C" w:rsidRDefault="00DD6A53" w:rsidP="007F4000">
      <w:pPr>
        <w:pStyle w:val="BodyText"/>
        <w:numPr>
          <w:ilvl w:val="0"/>
          <w:numId w:val="25"/>
        </w:numPr>
        <w:spacing w:after="0" w:line="240" w:lineRule="auto"/>
        <w:ind w:left="2736"/>
        <w:rPr>
          <w:sz w:val="18"/>
          <w:szCs w:val="18"/>
        </w:rPr>
      </w:pPr>
      <w:r w:rsidRPr="0021405C">
        <w:rPr>
          <w:sz w:val="18"/>
          <w:szCs w:val="18"/>
        </w:rPr>
        <w:t>For renewables, UCAP is calculated based on the average output during 4 peak hours</w:t>
      </w:r>
      <w:r w:rsidR="007034EB">
        <w:rPr>
          <w:sz w:val="18"/>
          <w:szCs w:val="18"/>
        </w:rPr>
        <w:t>.</w:t>
      </w:r>
    </w:p>
    <w:p w14:paraId="01539359" w14:textId="7BFBC4A5" w:rsidR="00DD6A53" w:rsidRPr="0021405C" w:rsidRDefault="00DD6A53" w:rsidP="00DD6A53">
      <w:pPr>
        <w:pStyle w:val="BodyText"/>
        <w:spacing w:after="0" w:line="240" w:lineRule="auto"/>
        <w:ind w:left="1152"/>
        <w:rPr>
          <w:sz w:val="18"/>
          <w:szCs w:val="18"/>
        </w:rPr>
      </w:pPr>
      <w:r w:rsidRPr="0021405C">
        <w:rPr>
          <w:sz w:val="18"/>
          <w:szCs w:val="18"/>
        </w:rPr>
        <w:t xml:space="preserve">2. Reflects additional </w:t>
      </w:r>
      <w:proofErr w:type="spellStart"/>
      <w:r w:rsidRPr="0021405C">
        <w:rPr>
          <w:sz w:val="18"/>
          <w:szCs w:val="18"/>
        </w:rPr>
        <w:t>peakers</w:t>
      </w:r>
      <w:proofErr w:type="spellEnd"/>
      <w:r w:rsidRPr="0021405C">
        <w:rPr>
          <w:sz w:val="18"/>
          <w:szCs w:val="18"/>
        </w:rPr>
        <w:t xml:space="preserve"> removal in Zone K</w:t>
      </w:r>
      <w:r w:rsidR="007034EB">
        <w:rPr>
          <w:sz w:val="18"/>
          <w:szCs w:val="18"/>
        </w:rPr>
        <w:t>.</w:t>
      </w:r>
    </w:p>
    <w:p w14:paraId="7E486856" w14:textId="06F2AF8C" w:rsidR="00DD6A53" w:rsidRPr="0021405C" w:rsidRDefault="00DD6A53" w:rsidP="00DD6A53">
      <w:pPr>
        <w:pStyle w:val="BodyText"/>
        <w:spacing w:after="0" w:line="240" w:lineRule="auto"/>
        <w:ind w:left="1152"/>
        <w:rPr>
          <w:sz w:val="18"/>
          <w:szCs w:val="18"/>
        </w:rPr>
      </w:pPr>
      <w:r w:rsidRPr="0021405C">
        <w:rPr>
          <w:sz w:val="18"/>
          <w:szCs w:val="18"/>
        </w:rPr>
        <w:t>3. Calculat</w:t>
      </w:r>
      <w:r>
        <w:rPr>
          <w:sz w:val="18"/>
          <w:szCs w:val="18"/>
        </w:rPr>
        <w:t>ed based on case “67*”</w:t>
      </w:r>
      <w:r w:rsidR="007034EB">
        <w:rPr>
          <w:sz w:val="18"/>
          <w:szCs w:val="18"/>
        </w:rPr>
        <w:t>.</w:t>
      </w:r>
    </w:p>
    <w:p w14:paraId="3AD7B57D" w14:textId="77777777" w:rsidR="00DD6A53" w:rsidRPr="0059004C" w:rsidRDefault="00DD6A53" w:rsidP="00DD6A53">
      <w:pPr>
        <w:pStyle w:val="BodyText"/>
        <w:spacing w:line="276" w:lineRule="auto"/>
        <w:ind w:left="720" w:firstLine="0"/>
        <w:jc w:val="left"/>
      </w:pPr>
    </w:p>
    <w:p w14:paraId="005A4060" w14:textId="2CE45F9F" w:rsidR="00DD6A53" w:rsidRDefault="00DD6A53" w:rsidP="00DD6A53">
      <w:pPr>
        <w:pStyle w:val="BodyText"/>
      </w:pPr>
      <w:r w:rsidRPr="009D0AF1">
        <w:rPr>
          <w:b/>
        </w:rPr>
        <w:t xml:space="preserve">Model #2: </w:t>
      </w:r>
      <w:r w:rsidRPr="009D0AF1">
        <w:t>The 70</w:t>
      </w:r>
      <w:r>
        <w:t xml:space="preserve"> </w:t>
      </w:r>
      <w:r w:rsidRPr="009D0AF1">
        <w:t>x</w:t>
      </w:r>
      <w:r>
        <w:t xml:space="preserve"> </w:t>
      </w:r>
      <w:r w:rsidRPr="009D0AF1">
        <w:t>30 ‘Scenario Load’ “at criterion” cases (case “38” in the table below) used for the 2020 RNA scenario evaluations</w:t>
      </w:r>
      <w:r>
        <w:t xml:space="preserve">.  These cases are </w:t>
      </w:r>
      <w:r w:rsidRPr="009D0AF1">
        <w:t>brought to approximately 0.1 days/year LOLE by employing an age-based fossil removal method</w:t>
      </w:r>
      <w:r>
        <w:t>.</w:t>
      </w:r>
      <w:r w:rsidRPr="009D0AF1" w:rsidDel="00200DC2">
        <w:t xml:space="preserve"> </w:t>
      </w:r>
    </w:p>
    <w:p w14:paraId="21644CB0" w14:textId="23B31453" w:rsidR="00DD6A53" w:rsidRDefault="00DD6A53" w:rsidP="00DD6A53">
      <w:pPr>
        <w:pStyle w:val="BodyText"/>
      </w:pPr>
      <w:r w:rsidRPr="002E52C9">
        <w:rPr>
          <w:b/>
        </w:rPr>
        <w:t>Model #3</w:t>
      </w:r>
      <w:r w:rsidRPr="009D0AF1">
        <w:t xml:space="preserve">: </w:t>
      </w:r>
      <w:r>
        <w:t>70 x 30</w:t>
      </w:r>
      <w:r w:rsidRPr="009D0AF1">
        <w:t xml:space="preserve"> ‘Scenario Load’ model at low LOLE: a Scenario Case with age-based removal at 0.03 LOLE, which is case “50” in the table above</w:t>
      </w:r>
      <w:r>
        <w:t>.</w:t>
      </w:r>
    </w:p>
    <w:p w14:paraId="1B8F546A" w14:textId="77777777" w:rsidR="00AF0BC3" w:rsidRDefault="00AF0BC3">
      <w:pPr>
        <w:rPr>
          <w:rFonts w:ascii="Cambria" w:eastAsia="Arial Narrow" w:hAnsi="Cambria"/>
          <w:b/>
          <w:bCs/>
          <w:sz w:val="22"/>
          <w:lang w:bidi="ar-SA"/>
        </w:rPr>
      </w:pPr>
      <w:r>
        <w:rPr>
          <w:b/>
        </w:rPr>
        <w:br w:type="page"/>
      </w:r>
    </w:p>
    <w:p w14:paraId="3F077E07" w14:textId="0968FBC4" w:rsidR="00DD6A53" w:rsidRDefault="00DD6A53" w:rsidP="00DD6A53">
      <w:pPr>
        <w:pStyle w:val="BodyText"/>
        <w:spacing w:line="276" w:lineRule="auto"/>
        <w:ind w:left="720" w:firstLine="0"/>
        <w:jc w:val="left"/>
      </w:pPr>
      <w:r w:rsidRPr="00693558">
        <w:rPr>
          <w:b/>
        </w:rPr>
        <w:lastRenderedPageBreak/>
        <w:t xml:space="preserve">Table </w:t>
      </w:r>
      <w:r w:rsidRPr="00693558">
        <w:rPr>
          <w:b/>
          <w:highlight w:val="yellow"/>
        </w:rPr>
        <w:t>xx</w:t>
      </w:r>
      <w:r w:rsidRPr="00693558">
        <w:rPr>
          <w:b/>
        </w:rPr>
        <w:t xml:space="preserve">: </w:t>
      </w:r>
      <w:r w:rsidRPr="00693558">
        <w:rPr>
          <w:lang w:bidi="en-US"/>
        </w:rPr>
        <w:t>“</w:t>
      </w:r>
      <w:r>
        <w:rPr>
          <w:lang w:bidi="en-US"/>
        </w:rPr>
        <w:t>7070 x 30 Scenario</w:t>
      </w:r>
      <w:r w:rsidRPr="00693558">
        <w:rPr>
          <w:lang w:bidi="en-US"/>
        </w:rPr>
        <w:t xml:space="preserve"> Load” Case at-Criterion: Age-based Fossil Removal</w:t>
      </w:r>
    </w:p>
    <w:p w14:paraId="1D7AB85F" w14:textId="77777777" w:rsidR="00DD6A53" w:rsidRDefault="00DD6A53" w:rsidP="00DD6A53">
      <w:pPr>
        <w:pStyle w:val="BodyText"/>
        <w:spacing w:line="276" w:lineRule="auto"/>
        <w:ind w:left="720" w:firstLine="0"/>
        <w:jc w:val="left"/>
      </w:pPr>
      <w:r>
        <w:rPr>
          <w:noProof/>
        </w:rPr>
        <w:drawing>
          <wp:inline distT="0" distB="0" distL="0" distR="0" wp14:anchorId="518ED2AD" wp14:editId="6F3518B4">
            <wp:extent cx="5215467" cy="1307735"/>
            <wp:effectExtent l="0" t="0" r="444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23006" cy="1334700"/>
                    </a:xfrm>
                    <a:prstGeom prst="rect">
                      <a:avLst/>
                    </a:prstGeom>
                    <a:noFill/>
                  </pic:spPr>
                </pic:pic>
              </a:graphicData>
            </a:graphic>
          </wp:inline>
        </w:drawing>
      </w:r>
    </w:p>
    <w:p w14:paraId="6DA85DC9" w14:textId="77777777" w:rsidR="00DD6A53" w:rsidRDefault="00DD6A53" w:rsidP="00DD6A53">
      <w:pPr>
        <w:pStyle w:val="BodyText"/>
        <w:spacing w:line="276" w:lineRule="auto"/>
        <w:ind w:left="720" w:firstLine="0"/>
        <w:jc w:val="left"/>
        <w:rPr>
          <w:b/>
        </w:rPr>
      </w:pPr>
    </w:p>
    <w:p w14:paraId="6F22CA3F" w14:textId="7F5368D3" w:rsidR="00DD6A53" w:rsidRDefault="00DD6A53" w:rsidP="00DD6A53">
      <w:pPr>
        <w:pStyle w:val="BodyText"/>
        <w:spacing w:line="276" w:lineRule="auto"/>
        <w:ind w:left="720" w:firstLine="0"/>
        <w:jc w:val="left"/>
      </w:pPr>
      <w:r w:rsidRPr="00693558">
        <w:rPr>
          <w:b/>
        </w:rPr>
        <w:t xml:space="preserve">Table </w:t>
      </w:r>
      <w:r w:rsidRPr="00693558">
        <w:rPr>
          <w:b/>
          <w:highlight w:val="yellow"/>
        </w:rPr>
        <w:t>xx</w:t>
      </w:r>
      <w:r w:rsidRPr="00693558">
        <w:rPr>
          <w:b/>
        </w:rPr>
        <w:t xml:space="preserve">: </w:t>
      </w:r>
      <w:r w:rsidRPr="00693558">
        <w:rPr>
          <w:lang w:bidi="en-US"/>
        </w:rPr>
        <w:t>“</w:t>
      </w:r>
      <w:r>
        <w:rPr>
          <w:lang w:bidi="en-US"/>
        </w:rPr>
        <w:t>70 x 30 Scenario Load” Case at-Criterion: ICAP vs UCAP</w:t>
      </w:r>
    </w:p>
    <w:p w14:paraId="24B5D830" w14:textId="77777777" w:rsidR="00DD6A53" w:rsidRDefault="00DD6A53" w:rsidP="00DD6A53">
      <w:pPr>
        <w:pStyle w:val="BodyText"/>
        <w:spacing w:line="240" w:lineRule="auto"/>
        <w:ind w:left="720" w:firstLine="0"/>
        <w:jc w:val="left"/>
      </w:pPr>
      <w:r>
        <w:rPr>
          <w:noProof/>
        </w:rPr>
        <w:drawing>
          <wp:inline distT="0" distB="0" distL="0" distR="0" wp14:anchorId="630193C5" wp14:editId="4E8ED970">
            <wp:extent cx="5121275" cy="4669790"/>
            <wp:effectExtent l="0" t="0" r="317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21275" cy="4669790"/>
                    </a:xfrm>
                    <a:prstGeom prst="rect">
                      <a:avLst/>
                    </a:prstGeom>
                    <a:noFill/>
                  </pic:spPr>
                </pic:pic>
              </a:graphicData>
            </a:graphic>
          </wp:inline>
        </w:drawing>
      </w:r>
    </w:p>
    <w:p w14:paraId="6F33624E" w14:textId="77777777" w:rsidR="00DD6A53" w:rsidRPr="008739D0" w:rsidRDefault="00DD6A53" w:rsidP="00DD6A53">
      <w:pPr>
        <w:pStyle w:val="BodyText"/>
        <w:spacing w:after="0" w:line="240" w:lineRule="auto"/>
        <w:ind w:left="720"/>
        <w:rPr>
          <w:sz w:val="18"/>
          <w:szCs w:val="18"/>
        </w:rPr>
      </w:pPr>
      <w:r w:rsidRPr="008739D0">
        <w:rPr>
          <w:sz w:val="18"/>
          <w:szCs w:val="18"/>
        </w:rPr>
        <w:t>Notes</w:t>
      </w:r>
      <w:r>
        <w:rPr>
          <w:sz w:val="18"/>
          <w:szCs w:val="18"/>
        </w:rPr>
        <w:t>:</w:t>
      </w:r>
    </w:p>
    <w:p w14:paraId="214F455F" w14:textId="77777777" w:rsidR="00DD6A53" w:rsidRPr="008739D0" w:rsidRDefault="00DD6A53" w:rsidP="00DD6A53">
      <w:pPr>
        <w:pStyle w:val="BodyText"/>
        <w:spacing w:after="0" w:line="240" w:lineRule="auto"/>
        <w:ind w:left="720"/>
        <w:rPr>
          <w:sz w:val="18"/>
          <w:szCs w:val="18"/>
        </w:rPr>
      </w:pPr>
      <w:r w:rsidRPr="008739D0">
        <w:rPr>
          <w:sz w:val="18"/>
          <w:szCs w:val="18"/>
        </w:rPr>
        <w:t>1. UCAP calculation:</w:t>
      </w:r>
    </w:p>
    <w:p w14:paraId="79250AE0" w14:textId="77777777" w:rsidR="00DD6A53" w:rsidRPr="008739D0" w:rsidRDefault="00DD6A53" w:rsidP="007F4000">
      <w:pPr>
        <w:pStyle w:val="BodyText"/>
        <w:numPr>
          <w:ilvl w:val="0"/>
          <w:numId w:val="26"/>
        </w:numPr>
        <w:spacing w:after="0" w:line="240" w:lineRule="auto"/>
        <w:rPr>
          <w:sz w:val="18"/>
          <w:szCs w:val="18"/>
        </w:rPr>
      </w:pPr>
      <w:r w:rsidRPr="008739D0">
        <w:rPr>
          <w:sz w:val="18"/>
          <w:szCs w:val="18"/>
        </w:rPr>
        <w:t xml:space="preserve">For thermal units, MARS </w:t>
      </w:r>
      <w:proofErr w:type="spellStart"/>
      <w:r w:rsidRPr="008739D0">
        <w:rPr>
          <w:sz w:val="18"/>
          <w:szCs w:val="18"/>
        </w:rPr>
        <w:t>EFORd</w:t>
      </w:r>
      <w:proofErr w:type="spellEnd"/>
      <w:r w:rsidRPr="008739D0">
        <w:rPr>
          <w:sz w:val="18"/>
          <w:szCs w:val="18"/>
        </w:rPr>
        <w:t xml:space="preserve"> data is used. </w:t>
      </w:r>
    </w:p>
    <w:p w14:paraId="1D1F2A83" w14:textId="7F9D48CF" w:rsidR="00DD6A53" w:rsidRPr="008739D0" w:rsidRDefault="00DD6A53" w:rsidP="007F4000">
      <w:pPr>
        <w:pStyle w:val="BodyText"/>
        <w:numPr>
          <w:ilvl w:val="0"/>
          <w:numId w:val="26"/>
        </w:numPr>
        <w:spacing w:after="0" w:line="240" w:lineRule="auto"/>
        <w:rPr>
          <w:sz w:val="18"/>
          <w:szCs w:val="18"/>
        </w:rPr>
      </w:pPr>
      <w:r w:rsidRPr="008739D0">
        <w:rPr>
          <w:sz w:val="18"/>
          <w:szCs w:val="18"/>
        </w:rPr>
        <w:t>For renewables, UCAP is calculated based on the average output during peak hours</w:t>
      </w:r>
      <w:r w:rsidR="007034EB">
        <w:rPr>
          <w:sz w:val="18"/>
          <w:szCs w:val="18"/>
        </w:rPr>
        <w:t>.</w:t>
      </w:r>
    </w:p>
    <w:p w14:paraId="4FAEB63C" w14:textId="1B1C4C15" w:rsidR="00DD6A53" w:rsidRPr="008739D0" w:rsidRDefault="00DD6A53" w:rsidP="00DD6A53">
      <w:pPr>
        <w:pStyle w:val="BodyText"/>
        <w:spacing w:after="0" w:line="240" w:lineRule="auto"/>
        <w:ind w:left="720"/>
        <w:rPr>
          <w:sz w:val="18"/>
          <w:szCs w:val="18"/>
        </w:rPr>
      </w:pPr>
      <w:r w:rsidRPr="008739D0">
        <w:rPr>
          <w:sz w:val="18"/>
          <w:szCs w:val="18"/>
        </w:rPr>
        <w:t xml:space="preserve">2. Reflects additional </w:t>
      </w:r>
      <w:proofErr w:type="spellStart"/>
      <w:r w:rsidRPr="008739D0">
        <w:rPr>
          <w:sz w:val="18"/>
          <w:szCs w:val="18"/>
        </w:rPr>
        <w:t>peakers</w:t>
      </w:r>
      <w:proofErr w:type="spellEnd"/>
      <w:r w:rsidRPr="008739D0">
        <w:rPr>
          <w:sz w:val="18"/>
          <w:szCs w:val="18"/>
        </w:rPr>
        <w:t xml:space="preserve"> removal in Zone K</w:t>
      </w:r>
      <w:r w:rsidR="007034EB">
        <w:rPr>
          <w:sz w:val="18"/>
          <w:szCs w:val="18"/>
        </w:rPr>
        <w:t>.</w:t>
      </w:r>
    </w:p>
    <w:p w14:paraId="7C92030B" w14:textId="4C198CA5" w:rsidR="00DD6A53" w:rsidRPr="008739D0" w:rsidRDefault="00DD6A53" w:rsidP="00DD6A53">
      <w:pPr>
        <w:pStyle w:val="BodyText"/>
        <w:spacing w:after="0" w:line="240" w:lineRule="auto"/>
        <w:ind w:left="720"/>
        <w:rPr>
          <w:sz w:val="18"/>
          <w:szCs w:val="18"/>
        </w:rPr>
      </w:pPr>
      <w:r w:rsidRPr="008739D0">
        <w:rPr>
          <w:sz w:val="18"/>
          <w:szCs w:val="18"/>
        </w:rPr>
        <w:t>3. Calcula</w:t>
      </w:r>
      <w:r>
        <w:rPr>
          <w:sz w:val="18"/>
          <w:szCs w:val="18"/>
        </w:rPr>
        <w:t>ted based on case “38”</w:t>
      </w:r>
      <w:r w:rsidR="007034EB">
        <w:rPr>
          <w:sz w:val="18"/>
          <w:szCs w:val="18"/>
        </w:rPr>
        <w:t>.</w:t>
      </w:r>
    </w:p>
    <w:p w14:paraId="088BC8BE" w14:textId="77777777" w:rsidR="00DD6A53" w:rsidRDefault="00DD6A53" w:rsidP="00DD6A53">
      <w:pPr>
        <w:pStyle w:val="BodyText"/>
        <w:spacing w:after="0" w:line="240" w:lineRule="auto"/>
        <w:ind w:left="720"/>
        <w:rPr>
          <w:sz w:val="18"/>
          <w:szCs w:val="18"/>
        </w:rPr>
      </w:pPr>
    </w:p>
    <w:p w14:paraId="75A0CB5B" w14:textId="495041E4" w:rsidR="00AF0BC3" w:rsidRDefault="00AF0BC3">
      <w:pPr>
        <w:rPr>
          <w:rFonts w:ascii="Franklin Gothic Demi Cond" w:hAnsi="Franklin Gothic Demi Cond"/>
          <w:bCs/>
          <w:color w:val="005F86"/>
          <w:sz w:val="18"/>
          <w:szCs w:val="18"/>
        </w:rPr>
      </w:pPr>
      <w:r>
        <w:rPr>
          <w:sz w:val="18"/>
          <w:szCs w:val="18"/>
        </w:rPr>
        <w:br w:type="page"/>
      </w:r>
    </w:p>
    <w:p w14:paraId="0A96F0EF" w14:textId="77777777" w:rsidR="00DD6A53" w:rsidRPr="0031764F" w:rsidRDefault="00DD6A53" w:rsidP="0031764F">
      <w:pPr>
        <w:pStyle w:val="Heading2"/>
        <w:rPr>
          <w:sz w:val="28"/>
          <w:szCs w:val="28"/>
        </w:rPr>
      </w:pPr>
      <w:bookmarkStart w:id="142" w:name="_Toc80191683"/>
      <w:bookmarkStart w:id="143" w:name="_Toc81138718"/>
      <w:r w:rsidRPr="0031764F">
        <w:rPr>
          <w:sz w:val="28"/>
          <w:szCs w:val="28"/>
        </w:rPr>
        <w:lastRenderedPageBreak/>
        <w:t>Wind Lull Scenario Scope</w:t>
      </w:r>
      <w:bookmarkEnd w:id="142"/>
      <w:bookmarkEnd w:id="143"/>
    </w:p>
    <w:p w14:paraId="5BA5A6BD" w14:textId="77777777" w:rsidR="00DD6A53" w:rsidRDefault="00DD6A53" w:rsidP="00DD6A53"/>
    <w:p w14:paraId="7CFA770D" w14:textId="12AE82C3" w:rsidR="00DD6A53" w:rsidRPr="00D9447A" w:rsidRDefault="00DD6A53" w:rsidP="00DD6A53">
      <w:pPr>
        <w:pStyle w:val="BodyText"/>
      </w:pPr>
      <w:r w:rsidRPr="00D9447A">
        <w:t xml:space="preserve">The following types of analysis and events were simulated using each of the </w:t>
      </w:r>
      <w:r>
        <w:t xml:space="preserve">three </w:t>
      </w:r>
      <w:r w:rsidRPr="00D9447A">
        <w:t xml:space="preserve">MARS models described above. For each, zonal compensatory MW to bring NYCA LOLE close to the initial case </w:t>
      </w:r>
      <w:r>
        <w:t>was</w:t>
      </w:r>
      <w:r w:rsidRPr="00D9447A">
        <w:t xml:space="preserve"> identified. The wind lull weeks assume that </w:t>
      </w:r>
      <w:r w:rsidRPr="0076071E">
        <w:t>all land-based or off-shore wind (not both) a</w:t>
      </w:r>
      <w:r w:rsidRPr="00D9447A">
        <w:t>re completely out for the whole week (</w:t>
      </w:r>
      <w:r w:rsidRPr="0033514E">
        <w:rPr>
          <w:i/>
        </w:rPr>
        <w:t>i.e.,</w:t>
      </w:r>
      <w:r w:rsidRPr="00D9447A">
        <w:t xml:space="preserve"> </w:t>
      </w:r>
      <w:r w:rsidR="007034EB">
        <w:t>seven</w:t>
      </w:r>
      <w:r w:rsidRPr="00D9447A">
        <w:t xml:space="preserve"> consecutive days) and then recover for the following week.</w:t>
      </w:r>
    </w:p>
    <w:p w14:paraId="2FB6181F" w14:textId="4BDB2D5C" w:rsidR="00DD6A53" w:rsidRPr="00D9447A" w:rsidRDefault="00DD6A53" w:rsidP="007F4000">
      <w:pPr>
        <w:pStyle w:val="BodyText"/>
        <w:numPr>
          <w:ilvl w:val="0"/>
          <w:numId w:val="24"/>
        </w:numPr>
      </w:pPr>
      <w:r w:rsidRPr="00D9447A">
        <w:t xml:space="preserve">Top </w:t>
      </w:r>
      <w:r w:rsidR="007034EB">
        <w:t>two</w:t>
      </w:r>
      <w:r w:rsidRPr="00D9447A">
        <w:t xml:space="preserve"> weeks with highest % of NYCA LOLE events:</w:t>
      </w:r>
    </w:p>
    <w:p w14:paraId="77C83466" w14:textId="77777777" w:rsidR="00DD6A53" w:rsidRPr="00D9447A" w:rsidRDefault="00DD6A53" w:rsidP="007F4000">
      <w:pPr>
        <w:pStyle w:val="BodyText"/>
        <w:numPr>
          <w:ilvl w:val="1"/>
          <w:numId w:val="24"/>
        </w:numPr>
      </w:pPr>
      <w:r w:rsidRPr="00D9447A">
        <w:t>On the top two weeks (one week at the time) with highest % of LOLE events, simulate total loss of</w:t>
      </w:r>
      <w:r w:rsidRPr="00F761E0">
        <w:rPr>
          <w:color w:val="FF0000"/>
        </w:rPr>
        <w:t xml:space="preserve"> </w:t>
      </w:r>
      <w:r w:rsidRPr="00097FDE">
        <w:t xml:space="preserve">all NYCA wind </w:t>
      </w:r>
      <w:r w:rsidRPr="00D9447A">
        <w:t>(</w:t>
      </w:r>
      <w:r w:rsidRPr="00097FDE">
        <w:t>either land-based or offshore at 0 MW for all NYCA zones</w:t>
      </w:r>
      <w:r w:rsidRPr="00D9447A">
        <w:t>) for that entire week and calculate NYCA LOLE, LOLH, and EUE.</w:t>
      </w:r>
    </w:p>
    <w:p w14:paraId="568F36C6" w14:textId="77777777" w:rsidR="00DD6A53" w:rsidRPr="00D9447A" w:rsidRDefault="00DD6A53" w:rsidP="007F4000">
      <w:pPr>
        <w:pStyle w:val="BodyText"/>
        <w:numPr>
          <w:ilvl w:val="1"/>
          <w:numId w:val="24"/>
        </w:numPr>
      </w:pPr>
      <w:r w:rsidRPr="00D9447A">
        <w:t>Compute compensatory MW to bring LOLE close to the initial case</w:t>
      </w:r>
      <w:r>
        <w:t>.</w:t>
      </w:r>
    </w:p>
    <w:p w14:paraId="4F351E60" w14:textId="3267F6F1" w:rsidR="00DD6A53" w:rsidRPr="00D9447A" w:rsidRDefault="00DD6A53" w:rsidP="007F4000">
      <w:pPr>
        <w:pStyle w:val="BodyText"/>
        <w:numPr>
          <w:ilvl w:val="0"/>
          <w:numId w:val="24"/>
        </w:numPr>
      </w:pPr>
      <w:r w:rsidRPr="00D9447A">
        <w:t xml:space="preserve">Top </w:t>
      </w:r>
      <w:r w:rsidR="007034EB">
        <w:t>two</w:t>
      </w:r>
      <w:r w:rsidRPr="00D9447A">
        <w:t xml:space="preserve"> weeks with highest land-based wind capacity factor:</w:t>
      </w:r>
    </w:p>
    <w:p w14:paraId="43DB178D" w14:textId="59795131" w:rsidR="00DD6A53" w:rsidRPr="00D9447A" w:rsidRDefault="00DD6A53" w:rsidP="007F4000">
      <w:pPr>
        <w:pStyle w:val="BodyText"/>
        <w:numPr>
          <w:ilvl w:val="1"/>
          <w:numId w:val="24"/>
        </w:numPr>
      </w:pPr>
      <w:r w:rsidRPr="00D9447A">
        <w:t xml:space="preserve">On the top </w:t>
      </w:r>
      <w:r w:rsidR="007034EB">
        <w:t>two</w:t>
      </w:r>
      <w:r w:rsidRPr="00D9447A">
        <w:t xml:space="preserve"> weeks (one week at the time) with highest land-based wind capacity factors simulate total loss of NYCA land-based wind (0 MW) for that entire week and calculate NYCA LOLE, LOLH, and EUE.</w:t>
      </w:r>
    </w:p>
    <w:p w14:paraId="47234B6C" w14:textId="77777777" w:rsidR="00DD6A53" w:rsidRPr="00D9447A" w:rsidRDefault="00DD6A53" w:rsidP="007F4000">
      <w:pPr>
        <w:pStyle w:val="BodyText"/>
        <w:numPr>
          <w:ilvl w:val="1"/>
          <w:numId w:val="24"/>
        </w:numPr>
      </w:pPr>
      <w:r w:rsidRPr="00D9447A">
        <w:t>Compute compensatory MW to bring LOLE close to the initial case</w:t>
      </w:r>
      <w:r>
        <w:t>.</w:t>
      </w:r>
    </w:p>
    <w:p w14:paraId="301147DA" w14:textId="1E2CB63F" w:rsidR="00DD6A53" w:rsidRPr="00D9447A" w:rsidRDefault="00DD6A53" w:rsidP="007F4000">
      <w:pPr>
        <w:pStyle w:val="BodyText"/>
        <w:numPr>
          <w:ilvl w:val="0"/>
          <w:numId w:val="24"/>
        </w:numPr>
      </w:pPr>
      <w:r w:rsidRPr="00D9447A">
        <w:t xml:space="preserve">Top </w:t>
      </w:r>
      <w:r w:rsidR="00AE6FE4">
        <w:t>two</w:t>
      </w:r>
      <w:r w:rsidR="00AE6FE4" w:rsidRPr="00D9447A">
        <w:t xml:space="preserve"> </w:t>
      </w:r>
      <w:r w:rsidRPr="00D9447A">
        <w:t xml:space="preserve">weeks with highest </w:t>
      </w:r>
      <w:proofErr w:type="gramStart"/>
      <w:r w:rsidRPr="00D9447A">
        <w:t>off-shore</w:t>
      </w:r>
      <w:proofErr w:type="gramEnd"/>
      <w:r w:rsidRPr="00D9447A">
        <w:t xml:space="preserve"> wind capacity factor:</w:t>
      </w:r>
    </w:p>
    <w:p w14:paraId="21FE32F7" w14:textId="34584283" w:rsidR="00DD6A53" w:rsidRPr="00D9447A" w:rsidRDefault="00DD6A53" w:rsidP="007F4000">
      <w:pPr>
        <w:pStyle w:val="BodyText"/>
        <w:numPr>
          <w:ilvl w:val="1"/>
          <w:numId w:val="24"/>
        </w:numPr>
      </w:pPr>
      <w:r w:rsidRPr="00D9447A">
        <w:t xml:space="preserve">On the top </w:t>
      </w:r>
      <w:r w:rsidR="007034EB">
        <w:t>two</w:t>
      </w:r>
      <w:r w:rsidRPr="00D9447A">
        <w:t xml:space="preserve"> weeks (one week at the time) with highest off-shore wind capacity factors simulate total loss of NYCA off-shore wind (0 MW) for that entire week and calculate NYCA LOLE, LOLH, and EUE.</w:t>
      </w:r>
    </w:p>
    <w:p w14:paraId="2FF5ED1F" w14:textId="77777777" w:rsidR="00DD6A53" w:rsidRPr="00D9447A" w:rsidRDefault="00DD6A53" w:rsidP="007F4000">
      <w:pPr>
        <w:pStyle w:val="BodyText"/>
        <w:numPr>
          <w:ilvl w:val="1"/>
          <w:numId w:val="24"/>
        </w:numPr>
      </w:pPr>
      <w:r w:rsidRPr="00D9447A">
        <w:t>Compute compensatory MW to bring LOLE close to the initial case</w:t>
      </w:r>
      <w:r>
        <w:t>.</w:t>
      </w:r>
    </w:p>
    <w:p w14:paraId="08968B5E" w14:textId="77777777" w:rsidR="00DD6A53" w:rsidRDefault="00DD6A53" w:rsidP="00DD6A53">
      <w:pPr>
        <w:pStyle w:val="ListParagraph"/>
        <w:spacing w:line="276" w:lineRule="auto"/>
        <w:ind w:left="2160" w:firstLine="0"/>
        <w:rPr>
          <w:rFonts w:asciiTheme="minorHAnsi" w:hAnsiTheme="minorHAnsi" w:cstheme="minorHAnsi"/>
          <w:sz w:val="24"/>
          <w:szCs w:val="24"/>
        </w:rPr>
      </w:pPr>
    </w:p>
    <w:p w14:paraId="126D451B" w14:textId="73983701" w:rsidR="00DD6A53" w:rsidRPr="0076084D" w:rsidRDefault="0076084D" w:rsidP="00DD6A53">
      <w:pPr>
        <w:pStyle w:val="BodyText"/>
        <w:rPr>
          <w:b/>
        </w:rPr>
      </w:pPr>
      <w:r>
        <w:rPr>
          <w:b/>
        </w:rPr>
        <w:t>It is important to be noted that t</w:t>
      </w:r>
      <w:r w:rsidR="00DD6A53" w:rsidRPr="0076084D">
        <w:rPr>
          <w:b/>
        </w:rPr>
        <w:t>he MARS simulations do not take into consideration potential reliability impacts due to:</w:t>
      </w:r>
    </w:p>
    <w:p w14:paraId="0500D9E1" w14:textId="77777777" w:rsidR="00DD6A53" w:rsidRPr="0076084D" w:rsidRDefault="00DD6A53" w:rsidP="007F4000">
      <w:pPr>
        <w:pStyle w:val="BodyText"/>
        <w:numPr>
          <w:ilvl w:val="0"/>
          <w:numId w:val="20"/>
        </w:numPr>
        <w:spacing w:line="276" w:lineRule="auto"/>
        <w:rPr>
          <w:b/>
        </w:rPr>
      </w:pPr>
      <w:r w:rsidRPr="0076084D">
        <w:rPr>
          <w:b/>
        </w:rPr>
        <w:t>Unit commitment and dispatch, ramp rate constraints, and other production cost modeling techniques; or</w:t>
      </w:r>
    </w:p>
    <w:p w14:paraId="0CB341A4" w14:textId="77777777" w:rsidR="00DD6A53" w:rsidRPr="0076084D" w:rsidRDefault="00DD6A53" w:rsidP="007F4000">
      <w:pPr>
        <w:pStyle w:val="BodyText"/>
        <w:numPr>
          <w:ilvl w:val="0"/>
          <w:numId w:val="20"/>
        </w:numPr>
        <w:spacing w:line="276" w:lineRule="auto"/>
        <w:rPr>
          <w:b/>
        </w:rPr>
      </w:pPr>
      <w:r w:rsidRPr="0076084D">
        <w:rPr>
          <w:b/>
        </w:rPr>
        <w:t>Intra-zonal constraints on the transmission system.</w:t>
      </w:r>
    </w:p>
    <w:p w14:paraId="53E9ED32" w14:textId="5E7A9230" w:rsidR="00E06FF3" w:rsidRDefault="00E06FF3">
      <w:pPr>
        <w:rPr>
          <w:rFonts w:ascii="Franklin Gothic Demi Cond" w:hAnsi="Franklin Gothic Demi Cond"/>
          <w:bCs/>
          <w:color w:val="005F86"/>
          <w:sz w:val="24"/>
          <w:szCs w:val="26"/>
        </w:rPr>
      </w:pPr>
      <w:r>
        <w:br w:type="page"/>
      </w:r>
    </w:p>
    <w:p w14:paraId="503D6EFB" w14:textId="77777777" w:rsidR="00DD6A53" w:rsidRPr="0031764F" w:rsidRDefault="00DD6A53" w:rsidP="0031764F">
      <w:pPr>
        <w:pStyle w:val="Heading2"/>
        <w:rPr>
          <w:sz w:val="28"/>
          <w:szCs w:val="28"/>
        </w:rPr>
      </w:pPr>
      <w:bookmarkStart w:id="144" w:name="_Toc80191684"/>
      <w:bookmarkStart w:id="145" w:name="_Toc81138719"/>
      <w:r w:rsidRPr="0031764F">
        <w:rPr>
          <w:sz w:val="28"/>
          <w:szCs w:val="28"/>
        </w:rPr>
        <w:lastRenderedPageBreak/>
        <w:t>Wind Lull Scenario Results</w:t>
      </w:r>
      <w:bookmarkEnd w:id="144"/>
      <w:bookmarkEnd w:id="145"/>
    </w:p>
    <w:p w14:paraId="5FD76886" w14:textId="35FEC96F" w:rsidR="00DD6A53" w:rsidRDefault="00DD6A53" w:rsidP="00DD6A53">
      <w:pPr>
        <w:pStyle w:val="BodyText"/>
        <w:spacing w:after="240"/>
      </w:pPr>
      <w:r>
        <w:t xml:space="preserve">The </w:t>
      </w:r>
      <w:r w:rsidRPr="00AB3344">
        <w:t xml:space="preserve">NYCA </w:t>
      </w:r>
      <w:r>
        <w:t>reliability indices (LOLE, LOLH, and EUE) and compensatory MW results for the loss of wind scenarios are summarized below.</w:t>
      </w:r>
    </w:p>
    <w:p w14:paraId="07DE9BA5" w14:textId="0B47ABF6" w:rsidR="001752D6" w:rsidRPr="0031764F" w:rsidRDefault="001752D6" w:rsidP="001752D6">
      <w:pPr>
        <w:pStyle w:val="BodyText"/>
      </w:pPr>
      <w:r w:rsidRPr="0031764F">
        <w:t>LOLE is generally defined as the expected (weighted average) number of days in a given time period (</w:t>
      </w:r>
      <w:r w:rsidRPr="0031764F">
        <w:rPr>
          <w:i/>
        </w:rPr>
        <w:t>e.g.,</w:t>
      </w:r>
      <w:r w:rsidRPr="0031764F">
        <w:t xml:space="preserve"> one study year) when at least one hour from that day, the hourly demand (for each of the seven load bins and per replication</w:t>
      </w:r>
      <w:r w:rsidRPr="0031764F">
        <w:rPr>
          <w:rStyle w:val="FootnoteReference"/>
        </w:rPr>
        <w:footnoteReference w:id="37"/>
      </w:r>
      <w:r w:rsidRPr="0031764F">
        <w:t xml:space="preserve">) is projected to exceed the zonal resources capacity (event day) in any of the seven load bins.  Within a day, if the zonal demand exceeds the resources in at least </w:t>
      </w:r>
      <w:r w:rsidR="007034EB" w:rsidRPr="0031764F">
        <w:t>one</w:t>
      </w:r>
      <w:r w:rsidRPr="0031764F">
        <w:t xml:space="preserve"> hour of that day (</w:t>
      </w:r>
      <w:r w:rsidR="007034EB" w:rsidRPr="0031764F">
        <w:t xml:space="preserve">which </w:t>
      </w:r>
      <w:r w:rsidRPr="0031764F">
        <w:t xml:space="preserve">could be anywhere from </w:t>
      </w:r>
      <w:r w:rsidR="007034EB" w:rsidRPr="0031764F">
        <w:t>hour 1</w:t>
      </w:r>
      <w:r w:rsidRPr="0031764F">
        <w:t xml:space="preserve"> to 24), this will be counted as one event day for the respective load bin.  NYSRC and NPCC’s LOLE criterion is that the NYCA LOLE not exceed one day in 10 years, or LOLE &lt; 0.1 days/year.  </w:t>
      </w:r>
    </w:p>
    <w:p w14:paraId="0205CC02" w14:textId="77777777" w:rsidR="001752D6" w:rsidRPr="0031764F" w:rsidRDefault="001752D6" w:rsidP="001752D6">
      <w:pPr>
        <w:pStyle w:val="BodyText"/>
        <w:rPr>
          <w:rStyle w:val="BodyTextChar"/>
        </w:rPr>
      </w:pPr>
      <w:r w:rsidRPr="0031764F">
        <w:t xml:space="preserve">LOLE does not account for the magnitude (MW) or duration (hours) of the deficit; it accounts for the number of event days in each load bin for each replication and study year.  </w:t>
      </w:r>
      <w:r w:rsidRPr="0031764F">
        <w:rPr>
          <w:rStyle w:val="BodyTextChar"/>
        </w:rPr>
        <w:t>In a single MARS replication, the zonal MW hourly margins (MW surplus or deficit) are calculated for each bin using load forecast uncertainty (LFU) applied load, forced outage calculations, hourly shape values (</w:t>
      </w:r>
      <w:r w:rsidRPr="0031764F">
        <w:rPr>
          <w:rStyle w:val="BodyTextChar"/>
          <w:i/>
        </w:rPr>
        <w:t>i.e.</w:t>
      </w:r>
      <w:r w:rsidRPr="0031764F">
        <w:rPr>
          <w:rStyle w:val="BodyTextChar"/>
        </w:rPr>
        <w:t>, wind, solar, run-of-river, landfill gas units), contracts and interface flows.  In instances where there is a deficit in any area, EOP steps are completed until either the deficits are gone, or there are no more emergency operating procedure (EOP) steps to call.  Once all of this is completed MARS calculates the reliability indices (LOLE, LOLH, LOEE) for the replication.  This occurs across all load levels simultaneously: MARS lumps them all together in a weighted sum to get a single value for each replication.</w:t>
      </w:r>
    </w:p>
    <w:p w14:paraId="33700BA5" w14:textId="77777777" w:rsidR="001752D6" w:rsidRPr="0031764F" w:rsidRDefault="001752D6" w:rsidP="001752D6">
      <w:pPr>
        <w:pStyle w:val="BodyText"/>
        <w:rPr>
          <w:rStyle w:val="BodyTextChar"/>
        </w:rPr>
      </w:pPr>
      <w:r w:rsidRPr="0031764F">
        <w:t>LOLH is generally defined</w:t>
      </w:r>
      <w:r w:rsidRPr="0031764F">
        <w:rPr>
          <w:rStyle w:val="FootnoteReference"/>
        </w:rPr>
        <w:footnoteReference w:id="38"/>
      </w:r>
      <w:r w:rsidRPr="0031764F">
        <w:t xml:space="preserve"> as the expected number of hours per time period (</w:t>
      </w:r>
      <w:r w:rsidRPr="0031764F">
        <w:rPr>
          <w:i/>
        </w:rPr>
        <w:t xml:space="preserve">e.g., </w:t>
      </w:r>
      <w:r w:rsidRPr="0031764F">
        <w:t xml:space="preserve">one study year) when a system’s hourly demand is projected to exceed the zonal resources capacity (event hour) for any load bin.  Within an hour, if the zonal demand exceeds the resources, this will be counted as one event hour.  This metric is calculated using each hourly bin load in the given period.  </w:t>
      </w:r>
      <w:r w:rsidRPr="0031764F">
        <w:rPr>
          <w:rStyle w:val="BodyTextChar"/>
        </w:rPr>
        <w:t>This occurs across all load levels simultaneously: MARS lumps them all together in a weighted sum to get a single value for each replication.</w:t>
      </w:r>
    </w:p>
    <w:p w14:paraId="6C7B8525" w14:textId="77777777" w:rsidR="001752D6" w:rsidRPr="003F4774" w:rsidRDefault="001752D6" w:rsidP="001752D6">
      <w:pPr>
        <w:pStyle w:val="BodyText"/>
        <w:rPr>
          <w:rStyle w:val="BodyTextChar"/>
        </w:rPr>
      </w:pPr>
      <w:r w:rsidRPr="0031764F">
        <w:lastRenderedPageBreak/>
        <w:t>EUE, also referred to as loss of energy expectation (LOEE), is generally defined</w:t>
      </w:r>
      <w:r w:rsidRPr="0031764F">
        <w:rPr>
          <w:rStyle w:val="FootnoteReference"/>
        </w:rPr>
        <w:footnoteReference w:id="39"/>
      </w:r>
      <w:r w:rsidRPr="0031764F">
        <w:t xml:space="preserve"> as the expected energy (MWh) time period (</w:t>
      </w:r>
      <w:r w:rsidRPr="0031764F">
        <w:rPr>
          <w:i/>
        </w:rPr>
        <w:t xml:space="preserve">e.g., </w:t>
      </w:r>
      <w:r w:rsidRPr="0031764F">
        <w:t xml:space="preserve">one study year) when the summation of the system’s hourly demand is projected to exceed the zonal resources capacity for any load bin.  Within an hour, if the zonal demand exceeds the resources, this deficit will be counted toward the system’s EUE.  </w:t>
      </w:r>
      <w:r w:rsidRPr="0031764F">
        <w:rPr>
          <w:rStyle w:val="BodyTextChar"/>
        </w:rPr>
        <w:t>This occurs across all load levels simultaneously: MARS lumps them all together in a weighted sum to get a single value for each replication.</w:t>
      </w:r>
    </w:p>
    <w:p w14:paraId="65D1D89C" w14:textId="77777777" w:rsidR="00DD6A53" w:rsidRPr="0031764F" w:rsidRDefault="00DD6A53" w:rsidP="0031764F">
      <w:pPr>
        <w:pStyle w:val="Heading3"/>
        <w:spacing w:after="240"/>
      </w:pPr>
      <w:bookmarkStart w:id="146" w:name="_Toc81138720"/>
      <w:r w:rsidRPr="0031764F">
        <w:t>Loss of Land-Based Wind (LBW)</w:t>
      </w:r>
      <w:bookmarkEnd w:id="146"/>
    </w:p>
    <w:p w14:paraId="3E6FC325" w14:textId="77777777" w:rsidR="00DD6A53" w:rsidRDefault="00DD6A53" w:rsidP="00DD6A53">
      <w:pPr>
        <w:pStyle w:val="BodyText"/>
        <w:spacing w:after="240"/>
      </w:pPr>
      <w:r w:rsidRPr="00E8041C">
        <w:rPr>
          <w:b/>
          <w:highlight w:val="yellow"/>
        </w:rPr>
        <w:t>Table xx:</w:t>
      </w:r>
      <w:r>
        <w:t xml:space="preserve"> NYCA LOLE (days/year) for Loss of LBW during the Week with Highest LOLE Events</w:t>
      </w:r>
    </w:p>
    <w:p w14:paraId="609E408D" w14:textId="77777777" w:rsidR="00DD6A53" w:rsidRDefault="00DD6A53" w:rsidP="00DD6A53">
      <w:pPr>
        <w:pStyle w:val="BodyText"/>
        <w:spacing w:after="240"/>
      </w:pPr>
      <w:r w:rsidRPr="001A265B">
        <w:rPr>
          <w:noProof/>
        </w:rPr>
        <w:drawing>
          <wp:inline distT="0" distB="0" distL="0" distR="0" wp14:anchorId="09646587" wp14:editId="6B978FA2">
            <wp:extent cx="6400800" cy="1755315"/>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400800" cy="1755315"/>
                    </a:xfrm>
                    <a:prstGeom prst="rect">
                      <a:avLst/>
                    </a:prstGeom>
                    <a:noFill/>
                    <a:ln>
                      <a:noFill/>
                    </a:ln>
                  </pic:spPr>
                </pic:pic>
              </a:graphicData>
            </a:graphic>
          </wp:inline>
        </w:drawing>
      </w:r>
    </w:p>
    <w:p w14:paraId="23B28491" w14:textId="6C0909A8" w:rsidR="00DD6A53" w:rsidRDefault="00DD6A53" w:rsidP="00381E1E">
      <w:pPr>
        <w:pStyle w:val="BodyText"/>
        <w:spacing w:after="0"/>
      </w:pPr>
      <w:r w:rsidRPr="00E8041C">
        <w:rPr>
          <w:b/>
          <w:highlight w:val="yellow"/>
        </w:rPr>
        <w:t>Table xx:</w:t>
      </w:r>
      <w:r>
        <w:t xml:space="preserve"> NYCA LOLE (days/year) for Loss of LBW during the Week with Highest LBW Capacity Factor </w:t>
      </w:r>
    </w:p>
    <w:p w14:paraId="12947197" w14:textId="77777777" w:rsidR="00DD6A53" w:rsidRDefault="00DD6A53" w:rsidP="00DD6A53">
      <w:pPr>
        <w:pStyle w:val="BodyText"/>
      </w:pPr>
      <w:r w:rsidRPr="001A265B">
        <w:rPr>
          <w:noProof/>
        </w:rPr>
        <w:drawing>
          <wp:inline distT="0" distB="0" distL="0" distR="0" wp14:anchorId="306E1E68" wp14:editId="0B914CA2">
            <wp:extent cx="6400800" cy="175531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400800" cy="1755315"/>
                    </a:xfrm>
                    <a:prstGeom prst="rect">
                      <a:avLst/>
                    </a:prstGeom>
                    <a:noFill/>
                    <a:ln>
                      <a:noFill/>
                    </a:ln>
                  </pic:spPr>
                </pic:pic>
              </a:graphicData>
            </a:graphic>
          </wp:inline>
        </w:drawing>
      </w:r>
    </w:p>
    <w:p w14:paraId="426CB371" w14:textId="034116EE" w:rsidR="0076084D" w:rsidRDefault="0076084D" w:rsidP="0076084D">
      <w:pPr>
        <w:pStyle w:val="BodyText"/>
        <w:jc w:val="left"/>
        <w:rPr>
          <w:b/>
          <w:lang w:bidi="en-US"/>
        </w:rPr>
      </w:pPr>
      <w:r>
        <w:t xml:space="preserve">While the resource adequacy reliability criterion of 0.1 days/year established by the NYSRC and the NPCC is compared with the loss of load expectation (LOLE in days/year) calculation, currently there is no criteria for determining a reliable system based on the LOLH and EUE reliability indices. </w:t>
      </w:r>
    </w:p>
    <w:p w14:paraId="3DB0C2BB" w14:textId="77777777" w:rsidR="00E06FF3" w:rsidRDefault="00E06FF3">
      <w:pPr>
        <w:rPr>
          <w:rFonts w:ascii="Cambria" w:eastAsia="Arial Narrow" w:hAnsi="Cambria"/>
          <w:b/>
          <w:bCs/>
          <w:sz w:val="22"/>
          <w:highlight w:val="yellow"/>
          <w:lang w:bidi="ar-SA"/>
        </w:rPr>
      </w:pPr>
      <w:r>
        <w:rPr>
          <w:b/>
          <w:highlight w:val="yellow"/>
        </w:rPr>
        <w:br w:type="page"/>
      </w:r>
    </w:p>
    <w:p w14:paraId="014F2823" w14:textId="78D27A75" w:rsidR="00DD6A53" w:rsidRDefault="00DD6A53" w:rsidP="00DD6A53">
      <w:pPr>
        <w:pStyle w:val="BodyText"/>
      </w:pPr>
      <w:r w:rsidRPr="00E8041C">
        <w:rPr>
          <w:b/>
          <w:highlight w:val="yellow"/>
        </w:rPr>
        <w:lastRenderedPageBreak/>
        <w:t>Table xx:</w:t>
      </w:r>
      <w:r>
        <w:t xml:space="preserve"> NYCA LOLE (days/year), LOLH (hours/year) and EUE (MWh/year) for Loss of LBW during the Week with Highest LOLE Events </w:t>
      </w:r>
    </w:p>
    <w:p w14:paraId="54C36F8D" w14:textId="77777777" w:rsidR="00DD6A53" w:rsidRDefault="00DD6A53" w:rsidP="00DD6A53">
      <w:pPr>
        <w:pStyle w:val="BodyText"/>
      </w:pPr>
      <w:r w:rsidRPr="004B7A94">
        <w:rPr>
          <w:noProof/>
        </w:rPr>
        <w:drawing>
          <wp:inline distT="0" distB="0" distL="0" distR="0" wp14:anchorId="603595F3" wp14:editId="02C686D7">
            <wp:extent cx="6400800" cy="1860262"/>
            <wp:effectExtent l="0" t="0" r="0" b="698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400800" cy="1860262"/>
                    </a:xfrm>
                    <a:prstGeom prst="rect">
                      <a:avLst/>
                    </a:prstGeom>
                    <a:noFill/>
                    <a:ln>
                      <a:noFill/>
                    </a:ln>
                  </pic:spPr>
                </pic:pic>
              </a:graphicData>
            </a:graphic>
          </wp:inline>
        </w:drawing>
      </w:r>
    </w:p>
    <w:p w14:paraId="689B4DD6" w14:textId="77777777" w:rsidR="00DD6A53" w:rsidRDefault="00DD6A53" w:rsidP="00DD6A53"/>
    <w:p w14:paraId="2905F957" w14:textId="77777777" w:rsidR="00DD6A53" w:rsidRDefault="00DD6A53" w:rsidP="00DD6A53">
      <w:pPr>
        <w:pStyle w:val="BodyText"/>
      </w:pPr>
      <w:r w:rsidRPr="00E8041C">
        <w:rPr>
          <w:b/>
          <w:highlight w:val="yellow"/>
        </w:rPr>
        <w:t>Table xx:</w:t>
      </w:r>
      <w:r>
        <w:t xml:space="preserve"> NYCA LOLE (days/year), LOLH (hours/year) and EUE (MWh/year) for Loss of LBW during the Week with Highest LBW Capacity Factor </w:t>
      </w:r>
    </w:p>
    <w:p w14:paraId="653B35FA" w14:textId="77777777" w:rsidR="00DD6A53" w:rsidRDefault="00DD6A53" w:rsidP="00DD6A53">
      <w:pPr>
        <w:pStyle w:val="BodyText"/>
      </w:pPr>
      <w:r w:rsidRPr="004B7A94">
        <w:rPr>
          <w:noProof/>
        </w:rPr>
        <w:drawing>
          <wp:inline distT="0" distB="0" distL="0" distR="0" wp14:anchorId="152F8760" wp14:editId="5B693A3A">
            <wp:extent cx="6400800" cy="1860262"/>
            <wp:effectExtent l="0" t="0" r="0" b="698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400800" cy="1860262"/>
                    </a:xfrm>
                    <a:prstGeom prst="rect">
                      <a:avLst/>
                    </a:prstGeom>
                    <a:noFill/>
                    <a:ln>
                      <a:noFill/>
                    </a:ln>
                  </pic:spPr>
                </pic:pic>
              </a:graphicData>
            </a:graphic>
          </wp:inline>
        </w:drawing>
      </w:r>
    </w:p>
    <w:p w14:paraId="2B929A94" w14:textId="77777777" w:rsidR="00DD6A53" w:rsidRDefault="00DD6A53" w:rsidP="00DD6A53">
      <w:pPr>
        <w:pStyle w:val="BodyText"/>
        <w:rPr>
          <w:b/>
        </w:rPr>
      </w:pPr>
    </w:p>
    <w:p w14:paraId="3240E2AE" w14:textId="223F634A" w:rsidR="00DD6A53" w:rsidRPr="00B37BBC" w:rsidRDefault="00DD6A53" w:rsidP="00DD6A53">
      <w:pPr>
        <w:pStyle w:val="BodyText"/>
        <w:rPr>
          <w:b/>
        </w:rPr>
      </w:pPr>
      <w:r w:rsidRPr="00B37BBC">
        <w:rPr>
          <w:b/>
        </w:rPr>
        <w:t xml:space="preserve">Loss of </w:t>
      </w:r>
      <w:r w:rsidR="00E93357">
        <w:rPr>
          <w:b/>
        </w:rPr>
        <w:t>Land-Based Wind</w:t>
      </w:r>
      <w:r w:rsidR="00E93357" w:rsidRPr="00B37BBC">
        <w:rPr>
          <w:b/>
        </w:rPr>
        <w:t xml:space="preserve"> </w:t>
      </w:r>
      <w:r w:rsidRPr="00B37BBC">
        <w:rPr>
          <w:b/>
        </w:rPr>
        <w:t>Observations:</w:t>
      </w:r>
    </w:p>
    <w:p w14:paraId="7E44E88D" w14:textId="74D0DCB4" w:rsidR="00DD6A53" w:rsidRDefault="00DD6A53" w:rsidP="00DD6A53">
      <w:pPr>
        <w:pStyle w:val="BodyText"/>
      </w:pPr>
      <w:r>
        <w:t>R</w:t>
      </w:r>
      <w:r w:rsidRPr="00B37BBC">
        <w:t xml:space="preserve">emoval of all </w:t>
      </w:r>
      <w:r>
        <w:t>LBW</w:t>
      </w:r>
      <w:r w:rsidRPr="00B37BBC">
        <w:t xml:space="preserve"> generation</w:t>
      </w:r>
      <w:r>
        <w:t xml:space="preserve"> during the studied weeks has a low to no impact</w:t>
      </w:r>
      <w:r w:rsidRPr="00B37BBC">
        <w:t xml:space="preserve"> on </w:t>
      </w:r>
      <w:r>
        <w:t xml:space="preserve">NYCA </w:t>
      </w:r>
      <w:r w:rsidRPr="00B37BBC">
        <w:t>LOLE</w:t>
      </w:r>
      <w:r>
        <w:t xml:space="preserve">.  </w:t>
      </w:r>
      <w:r w:rsidRPr="00B37BBC">
        <w:t>This is largely due to the majority of the</w:t>
      </w:r>
      <w:r>
        <w:t xml:space="preserve"> NYCA</w:t>
      </w:r>
      <w:r w:rsidRPr="00B37BBC">
        <w:t xml:space="preserve"> LOLE </w:t>
      </w:r>
      <w:r>
        <w:t xml:space="preserve">events </w:t>
      </w:r>
      <w:r w:rsidRPr="00B37BBC">
        <w:t xml:space="preserve">being concentrated in </w:t>
      </w:r>
      <w:r>
        <w:t>the</w:t>
      </w:r>
      <w:r w:rsidRPr="00101FFC">
        <w:t xml:space="preserve"> </w:t>
      </w:r>
      <w:r w:rsidR="007034EB">
        <w:t>Z</w:t>
      </w:r>
      <w:r>
        <w:t>ones</w:t>
      </w:r>
      <w:r w:rsidRPr="00B37BBC">
        <w:t xml:space="preserve"> J and K, whereas </w:t>
      </w:r>
      <w:r>
        <w:t>LBW</w:t>
      </w:r>
      <w:r w:rsidRPr="00B37BBC">
        <w:t xml:space="preserve"> is </w:t>
      </w:r>
      <w:r>
        <w:t xml:space="preserve">assumed </w:t>
      </w:r>
      <w:r w:rsidRPr="00B37BBC">
        <w:t>located in</w:t>
      </w:r>
      <w:r>
        <w:t xml:space="preserve"> the</w:t>
      </w:r>
      <w:r w:rsidRPr="00B37BBC">
        <w:t xml:space="preserve"> </w:t>
      </w:r>
      <w:r>
        <w:t>rest-of-state zones</w:t>
      </w:r>
      <w:r w:rsidRPr="00B37BBC">
        <w:t>.</w:t>
      </w:r>
      <w:r>
        <w:t xml:space="preserve"> Also, the significant </w:t>
      </w:r>
      <w:r w:rsidRPr="0066335B">
        <w:t xml:space="preserve">amount of fossil plants in the state </w:t>
      </w:r>
      <w:r w:rsidR="005577BB" w:rsidRPr="0066335B">
        <w:t>would likely be</w:t>
      </w:r>
      <w:r w:rsidR="000C793F" w:rsidRPr="0066335B">
        <w:t xml:space="preserve"> available</w:t>
      </w:r>
      <w:r w:rsidRPr="0066335B">
        <w:t xml:space="preserve"> during </w:t>
      </w:r>
      <w:r w:rsidR="005577BB" w:rsidRPr="0066335B">
        <w:t>the</w:t>
      </w:r>
      <w:r w:rsidRPr="0066335B">
        <w:t xml:space="preserve"> </w:t>
      </w:r>
      <w:proofErr w:type="gramStart"/>
      <w:r w:rsidRPr="0066335B">
        <w:t>week l</w:t>
      </w:r>
      <w:r>
        <w:t>ong</w:t>
      </w:r>
      <w:proofErr w:type="gramEnd"/>
      <w:r>
        <w:t xml:space="preserve"> wind lull.  No impact on the NYCA LOLE also means that there was no need to identify compensatory MW to bring the NYCA LOLE back to the criterion level in the cases with the wind in service.</w:t>
      </w:r>
    </w:p>
    <w:p w14:paraId="5348A841" w14:textId="77777777" w:rsidR="00AF0BC3" w:rsidRDefault="00AF0BC3">
      <w:pPr>
        <w:rPr>
          <w:rFonts w:ascii="Franklin Gothic Demi Cond" w:hAnsi="Franklin Gothic Demi Cond"/>
          <w:bCs/>
          <w:sz w:val="22"/>
        </w:rPr>
      </w:pPr>
      <w:r>
        <w:br w:type="page"/>
      </w:r>
    </w:p>
    <w:p w14:paraId="21FC55A8" w14:textId="54D039DD" w:rsidR="00DD6A53" w:rsidRDefault="00DD6A53" w:rsidP="0031764F">
      <w:pPr>
        <w:pStyle w:val="Heading3"/>
        <w:spacing w:after="240"/>
      </w:pPr>
      <w:bookmarkStart w:id="147" w:name="_Toc81138721"/>
      <w:r>
        <w:lastRenderedPageBreak/>
        <w:t>Loss of Offshore Wind (OSW)</w:t>
      </w:r>
      <w:bookmarkEnd w:id="147"/>
    </w:p>
    <w:p w14:paraId="01354E06" w14:textId="77777777" w:rsidR="00DD6A53" w:rsidRDefault="00DD6A53" w:rsidP="00DD6A53">
      <w:pPr>
        <w:pStyle w:val="BodyText"/>
      </w:pPr>
      <w:r w:rsidRPr="00E8041C">
        <w:rPr>
          <w:b/>
          <w:highlight w:val="yellow"/>
        </w:rPr>
        <w:t>Table xx:</w:t>
      </w:r>
      <w:r>
        <w:t xml:space="preserve"> NYCA LOLE (days/year) for Loss of OSW during the Week with Highest LOLE Events </w:t>
      </w:r>
    </w:p>
    <w:p w14:paraId="74FEF951" w14:textId="77777777" w:rsidR="00DD6A53" w:rsidRDefault="00DD6A53" w:rsidP="00DD6A53">
      <w:pPr>
        <w:ind w:left="792"/>
      </w:pPr>
      <w:r w:rsidRPr="008B3C2C">
        <w:rPr>
          <w:noProof/>
          <w:lang w:bidi="ar-SA"/>
        </w:rPr>
        <w:drawing>
          <wp:inline distT="0" distB="0" distL="0" distR="0" wp14:anchorId="6EEBB76E" wp14:editId="63E8FA88">
            <wp:extent cx="6400800" cy="177700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400800" cy="1777005"/>
                    </a:xfrm>
                    <a:prstGeom prst="rect">
                      <a:avLst/>
                    </a:prstGeom>
                    <a:noFill/>
                    <a:ln>
                      <a:noFill/>
                    </a:ln>
                  </pic:spPr>
                </pic:pic>
              </a:graphicData>
            </a:graphic>
          </wp:inline>
        </w:drawing>
      </w:r>
    </w:p>
    <w:p w14:paraId="74AFA105" w14:textId="77777777" w:rsidR="00DD6A53" w:rsidRPr="00D36071" w:rsidRDefault="00DD6A53" w:rsidP="00DD6A53">
      <w:pPr>
        <w:spacing w:after="0"/>
        <w:rPr>
          <w:rFonts w:ascii="Cambria" w:hAnsi="Cambria"/>
          <w:sz w:val="18"/>
          <w:szCs w:val="18"/>
        </w:rPr>
      </w:pPr>
      <w:r w:rsidRPr="00D36071">
        <w:rPr>
          <w:rFonts w:ascii="Cambria" w:hAnsi="Cambria"/>
          <w:sz w:val="18"/>
          <w:szCs w:val="18"/>
        </w:rPr>
        <w:t>∞ - Either a large, or no amount of capacity added in the zone can bring NYCA LOLE back to the target LOLE</w:t>
      </w:r>
    </w:p>
    <w:p w14:paraId="10C1274B" w14:textId="77777777" w:rsidR="00DD6A53" w:rsidRPr="00F9006F" w:rsidRDefault="00DD6A53" w:rsidP="00DD6A53"/>
    <w:p w14:paraId="3B199D5B" w14:textId="77777777" w:rsidR="00381E1E" w:rsidRDefault="00381E1E" w:rsidP="00DD6A53">
      <w:pPr>
        <w:pStyle w:val="BodyText"/>
        <w:rPr>
          <w:b/>
          <w:highlight w:val="yellow"/>
        </w:rPr>
      </w:pPr>
    </w:p>
    <w:p w14:paraId="5D0D2011" w14:textId="7E23B668" w:rsidR="00DD6A53" w:rsidRDefault="00DD6A53" w:rsidP="00DD6A53">
      <w:pPr>
        <w:pStyle w:val="BodyText"/>
      </w:pPr>
      <w:r w:rsidRPr="00E8041C">
        <w:rPr>
          <w:b/>
          <w:highlight w:val="yellow"/>
        </w:rPr>
        <w:t>Table xx:</w:t>
      </w:r>
      <w:r>
        <w:t xml:space="preserve"> NYCA LOLE (days/year) for Loss of OSW during the Week with Highest OSW Wind Capacity Factor </w:t>
      </w:r>
    </w:p>
    <w:p w14:paraId="5B941260" w14:textId="77777777" w:rsidR="00DD6A53" w:rsidRDefault="00DD6A53" w:rsidP="00DD6A53">
      <w:pPr>
        <w:pStyle w:val="BodyText"/>
        <w:spacing w:after="0"/>
      </w:pPr>
      <w:r w:rsidRPr="001F0762">
        <w:rPr>
          <w:noProof/>
        </w:rPr>
        <w:drawing>
          <wp:inline distT="0" distB="0" distL="0" distR="0" wp14:anchorId="7BE0321B" wp14:editId="62EF3BEE">
            <wp:extent cx="6400800" cy="1668495"/>
            <wp:effectExtent l="0" t="0" r="0" b="825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00800" cy="1668495"/>
                    </a:xfrm>
                    <a:prstGeom prst="rect">
                      <a:avLst/>
                    </a:prstGeom>
                    <a:noFill/>
                    <a:ln>
                      <a:noFill/>
                    </a:ln>
                  </pic:spPr>
                </pic:pic>
              </a:graphicData>
            </a:graphic>
          </wp:inline>
        </w:drawing>
      </w:r>
    </w:p>
    <w:p w14:paraId="5A91E3C9" w14:textId="77777777" w:rsidR="00DD6A53" w:rsidRPr="00D36071" w:rsidRDefault="00DD6A53" w:rsidP="00DD6A53">
      <w:pPr>
        <w:spacing w:after="0"/>
        <w:rPr>
          <w:rFonts w:ascii="Cambria" w:hAnsi="Cambria"/>
          <w:sz w:val="18"/>
          <w:szCs w:val="18"/>
        </w:rPr>
      </w:pPr>
      <w:r w:rsidRPr="00D36071">
        <w:rPr>
          <w:rFonts w:ascii="Cambria" w:hAnsi="Cambria"/>
          <w:sz w:val="18"/>
          <w:szCs w:val="18"/>
        </w:rPr>
        <w:t>∞ - Either a large, or no amount of capacity added in the zone can bring NYCA LOLE back to the target LOLE</w:t>
      </w:r>
    </w:p>
    <w:p w14:paraId="29DC79FA" w14:textId="77777777" w:rsidR="00DD6A53" w:rsidRDefault="00DD6A53" w:rsidP="00DD6A53">
      <w:pPr>
        <w:pStyle w:val="BodyText"/>
      </w:pPr>
    </w:p>
    <w:p w14:paraId="0A402B23" w14:textId="18E73F04" w:rsidR="00DD6A53" w:rsidRDefault="00DD6A53" w:rsidP="00DD6A53">
      <w:pPr>
        <w:pStyle w:val="BodyText"/>
      </w:pPr>
      <w:r>
        <w:t>The graphics below depict how much hourly MW of OSW is lost during the wind lull simulation weeks. This is based on the 2002 NREL zonal hourly data for OSW, as developed for the 2019 CARIS studies.  For instance, the loss of 417,340 MWh of wind is simulated as lost for the wind lull simulations at highest capacity factor. The assumed nameplate capacity is 6,098 MW (in Zones J and K), and the wind is at 5,602 MW maximum output during that simulation week.</w:t>
      </w:r>
    </w:p>
    <w:p w14:paraId="2CB4381B" w14:textId="77777777" w:rsidR="00AF0BC3" w:rsidRDefault="00AF0BC3">
      <w:pPr>
        <w:rPr>
          <w:rFonts w:ascii="Cambria" w:eastAsia="Arial Narrow" w:hAnsi="Cambria"/>
          <w:b/>
          <w:bCs/>
          <w:sz w:val="22"/>
          <w:lang w:bidi="ar-SA"/>
        </w:rPr>
      </w:pPr>
      <w:r>
        <w:rPr>
          <w:b/>
        </w:rPr>
        <w:br w:type="page"/>
      </w:r>
    </w:p>
    <w:p w14:paraId="7794D3FD" w14:textId="256B9EB4" w:rsidR="00DD6A53" w:rsidRPr="00381E1E" w:rsidRDefault="00DD6A53" w:rsidP="00DD6A53">
      <w:pPr>
        <w:pStyle w:val="BodyText"/>
        <w:rPr>
          <w:b/>
        </w:rPr>
      </w:pPr>
      <w:r w:rsidRPr="00381E1E">
        <w:rPr>
          <w:b/>
        </w:rPr>
        <w:lastRenderedPageBreak/>
        <w:t xml:space="preserve">Figure </w:t>
      </w:r>
      <w:r w:rsidRPr="00381E1E">
        <w:rPr>
          <w:b/>
          <w:highlight w:val="yellow"/>
        </w:rPr>
        <w:t>xx</w:t>
      </w:r>
      <w:r w:rsidRPr="00381E1E">
        <w:rPr>
          <w:b/>
        </w:rPr>
        <w:t>: OSW MW Output during the Week with Highest OSW Capacity Factor</w:t>
      </w:r>
    </w:p>
    <w:p w14:paraId="51055913" w14:textId="7D9C9129" w:rsidR="00DD6A53" w:rsidRDefault="00DD6A53" w:rsidP="00DD6A53">
      <w:pPr>
        <w:pStyle w:val="BodyText"/>
      </w:pPr>
      <w:r>
        <w:rPr>
          <w:noProof/>
        </w:rPr>
        <w:drawing>
          <wp:inline distT="0" distB="0" distL="0" distR="0" wp14:anchorId="311ECAD1" wp14:editId="1E07B341">
            <wp:extent cx="5135880" cy="2811780"/>
            <wp:effectExtent l="0" t="0" r="7620" b="7620"/>
            <wp:docPr id="188" name="Chart 188">
              <a:extLst xmlns:a="http://schemas.openxmlformats.org/drawingml/2006/main">
                <a:ext uri="{FF2B5EF4-FFF2-40B4-BE49-F238E27FC236}">
                  <a16:creationId xmlns:a16="http://schemas.microsoft.com/office/drawing/2014/main" id="{8BF2489B-B2DB-43C4-B6C8-4718335787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6DE10A4B" w14:textId="77777777" w:rsidR="00381E1E" w:rsidRDefault="00381E1E" w:rsidP="00381E1E">
      <w:pPr>
        <w:pStyle w:val="BodyText"/>
        <w:ind w:firstLine="0"/>
        <w:rPr>
          <w:b/>
        </w:rPr>
      </w:pPr>
    </w:p>
    <w:p w14:paraId="0CE4DD9F" w14:textId="503DCCA7" w:rsidR="00381E1E" w:rsidRPr="00381E1E" w:rsidRDefault="00381E1E" w:rsidP="00381E1E">
      <w:pPr>
        <w:pStyle w:val="BodyText"/>
        <w:ind w:firstLine="0"/>
        <w:rPr>
          <w:b/>
        </w:rPr>
      </w:pPr>
      <w:r w:rsidRPr="00381E1E">
        <w:rPr>
          <w:b/>
        </w:rPr>
        <w:t xml:space="preserve">Figure </w:t>
      </w:r>
      <w:r w:rsidRPr="00381E1E">
        <w:rPr>
          <w:b/>
          <w:highlight w:val="yellow"/>
        </w:rPr>
        <w:t>xx</w:t>
      </w:r>
      <w:r w:rsidRPr="00381E1E">
        <w:rPr>
          <w:b/>
        </w:rPr>
        <w:t xml:space="preserve">: OSW MW Output during the Week with </w:t>
      </w:r>
      <w:r w:rsidRPr="00381E1E">
        <w:rPr>
          <w:b/>
          <w:lang w:bidi="en-US"/>
        </w:rPr>
        <w:t>Highest % Events for the 70 x 30 ‘Base Load’ Cases</w:t>
      </w:r>
    </w:p>
    <w:p w14:paraId="1E719646" w14:textId="75ED4DBF" w:rsidR="00DD6A53" w:rsidRDefault="00DD6A53" w:rsidP="00DD6A53">
      <w:pPr>
        <w:pStyle w:val="BodyText"/>
      </w:pPr>
      <w:r>
        <w:rPr>
          <w:noProof/>
        </w:rPr>
        <w:drawing>
          <wp:inline distT="0" distB="0" distL="0" distR="0" wp14:anchorId="2BCC92D2" wp14:editId="7FA08843">
            <wp:extent cx="5135880" cy="2606040"/>
            <wp:effectExtent l="0" t="0" r="7620" b="3810"/>
            <wp:docPr id="189" name="Chart 189">
              <a:extLst xmlns:a="http://schemas.openxmlformats.org/drawingml/2006/main">
                <a:ext uri="{FF2B5EF4-FFF2-40B4-BE49-F238E27FC236}">
                  <a16:creationId xmlns:a16="http://schemas.microsoft.com/office/drawing/2014/main" id="{DED6A930-C037-48B9-AFAB-DB3C8AE835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0BF12656" w14:textId="77777777" w:rsidR="00AF0BC3" w:rsidRDefault="00AF0BC3">
      <w:pPr>
        <w:rPr>
          <w:rFonts w:ascii="Cambria" w:eastAsia="Arial Narrow" w:hAnsi="Cambria"/>
          <w:b/>
          <w:bCs/>
          <w:sz w:val="22"/>
          <w:lang w:bidi="ar-SA"/>
        </w:rPr>
      </w:pPr>
      <w:r>
        <w:rPr>
          <w:b/>
        </w:rPr>
        <w:br w:type="page"/>
      </w:r>
    </w:p>
    <w:p w14:paraId="327A0995" w14:textId="4090BEB6" w:rsidR="00DD6A53" w:rsidRPr="00381E1E" w:rsidRDefault="00DD6A53" w:rsidP="00381E1E">
      <w:pPr>
        <w:pStyle w:val="BodyText"/>
        <w:ind w:firstLine="0"/>
        <w:rPr>
          <w:b/>
          <w:lang w:bidi="en-US"/>
        </w:rPr>
      </w:pPr>
      <w:r w:rsidRPr="00381E1E">
        <w:rPr>
          <w:b/>
        </w:rPr>
        <w:lastRenderedPageBreak/>
        <w:t xml:space="preserve">Figure </w:t>
      </w:r>
      <w:r w:rsidRPr="00381E1E">
        <w:rPr>
          <w:b/>
          <w:highlight w:val="yellow"/>
        </w:rPr>
        <w:t>xx</w:t>
      </w:r>
      <w:r w:rsidRPr="00381E1E">
        <w:rPr>
          <w:b/>
        </w:rPr>
        <w:t>: OSW MW Output during the Week w</w:t>
      </w:r>
      <w:r w:rsidRPr="00381E1E">
        <w:rPr>
          <w:b/>
          <w:lang w:bidi="en-US"/>
        </w:rPr>
        <w:t>ith Highest % Events – 70x30 ‘Scenario Load’ and ‘Low LOLE’ Cases</w:t>
      </w:r>
    </w:p>
    <w:p w14:paraId="5C5C9740" w14:textId="729DDC48" w:rsidR="0092026D" w:rsidRDefault="0092026D" w:rsidP="00DD6A53">
      <w:pPr>
        <w:pStyle w:val="BodyText"/>
        <w:rPr>
          <w:lang w:bidi="en-US"/>
        </w:rPr>
      </w:pPr>
      <w:r>
        <w:rPr>
          <w:noProof/>
        </w:rPr>
        <w:drawing>
          <wp:inline distT="0" distB="0" distL="0" distR="0" wp14:anchorId="2D189FBB" wp14:editId="7C4F8482">
            <wp:extent cx="5189220" cy="2659380"/>
            <wp:effectExtent l="0" t="0" r="11430" b="7620"/>
            <wp:docPr id="190" name="Chart 190">
              <a:extLst xmlns:a="http://schemas.openxmlformats.org/drawingml/2006/main">
                <a:ext uri="{FF2B5EF4-FFF2-40B4-BE49-F238E27FC236}">
                  <a16:creationId xmlns:a16="http://schemas.microsoft.com/office/drawing/2014/main" id="{91546E82-A1C9-4D10-9A2E-1DD39C6650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19886748" w14:textId="77777777" w:rsidR="00DD6A53" w:rsidRDefault="00DD6A53" w:rsidP="00DD6A53">
      <w:pPr>
        <w:pStyle w:val="BodyText"/>
      </w:pPr>
    </w:p>
    <w:p w14:paraId="16B4ED77" w14:textId="5645FBF8" w:rsidR="00DD6A53" w:rsidRDefault="00DD6A53" w:rsidP="0092026D">
      <w:pPr>
        <w:pStyle w:val="BodyText"/>
      </w:pPr>
      <w:r>
        <w:t xml:space="preserve">Additionally, for information purposes, the LOLH (hours/year) and EUE (MWh/year) reliability indices for each of the models and loss of wind events simulated are in the below tables.  </w:t>
      </w:r>
    </w:p>
    <w:p w14:paraId="71C054A8" w14:textId="77777777" w:rsidR="00381E1E" w:rsidRDefault="00381E1E" w:rsidP="00DD6A53">
      <w:pPr>
        <w:pStyle w:val="BodyText"/>
        <w:rPr>
          <w:b/>
          <w:highlight w:val="yellow"/>
        </w:rPr>
      </w:pPr>
    </w:p>
    <w:p w14:paraId="3B2B03C0" w14:textId="62EB2391" w:rsidR="00DD6A53" w:rsidRDefault="00DD6A53" w:rsidP="00DD6A53">
      <w:pPr>
        <w:pStyle w:val="BodyText"/>
      </w:pPr>
      <w:r w:rsidRPr="00E8041C">
        <w:rPr>
          <w:b/>
          <w:highlight w:val="yellow"/>
        </w:rPr>
        <w:t>Table xx:</w:t>
      </w:r>
      <w:r>
        <w:t xml:space="preserve"> NYCA LOLE (days/year), LOLH (hours/year) and EUE (MWh/year) for Loss of OSW during the Week with Highest LOLE Events </w:t>
      </w:r>
    </w:p>
    <w:p w14:paraId="7C3BA4E7" w14:textId="77777777" w:rsidR="00DD6A53" w:rsidRPr="00117CC4" w:rsidRDefault="00DD6A53" w:rsidP="00DD6A53">
      <w:pPr>
        <w:pStyle w:val="BodyText"/>
      </w:pPr>
      <w:r w:rsidRPr="00117CC4">
        <w:rPr>
          <w:noProof/>
        </w:rPr>
        <w:drawing>
          <wp:inline distT="0" distB="0" distL="0" distR="0" wp14:anchorId="4DBB34D7" wp14:editId="21E6FFEA">
            <wp:extent cx="6400800" cy="1764665"/>
            <wp:effectExtent l="0" t="0" r="0" b="698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400800" cy="1764665"/>
                    </a:xfrm>
                    <a:prstGeom prst="rect">
                      <a:avLst/>
                    </a:prstGeom>
                    <a:noFill/>
                    <a:ln>
                      <a:noFill/>
                    </a:ln>
                  </pic:spPr>
                </pic:pic>
              </a:graphicData>
            </a:graphic>
          </wp:inline>
        </w:drawing>
      </w:r>
    </w:p>
    <w:p w14:paraId="56528F77" w14:textId="77777777" w:rsidR="00AF0BC3" w:rsidRDefault="00AF0BC3">
      <w:pPr>
        <w:rPr>
          <w:rFonts w:ascii="Cambria" w:eastAsia="Arial Narrow" w:hAnsi="Cambria"/>
          <w:b/>
          <w:bCs/>
          <w:sz w:val="22"/>
          <w:highlight w:val="yellow"/>
          <w:lang w:bidi="ar-SA"/>
        </w:rPr>
      </w:pPr>
      <w:r>
        <w:rPr>
          <w:b/>
          <w:highlight w:val="yellow"/>
        </w:rPr>
        <w:br w:type="page"/>
      </w:r>
    </w:p>
    <w:p w14:paraId="7B43C662" w14:textId="229F5A29" w:rsidR="00DD6A53" w:rsidRDefault="00DD6A53" w:rsidP="00DD6A53">
      <w:pPr>
        <w:pStyle w:val="BodyText"/>
      </w:pPr>
      <w:r w:rsidRPr="00E8041C">
        <w:rPr>
          <w:b/>
          <w:highlight w:val="yellow"/>
        </w:rPr>
        <w:lastRenderedPageBreak/>
        <w:t>Table xx:</w:t>
      </w:r>
      <w:r>
        <w:t xml:space="preserve"> NYCA LOLE (days/year), LOLE (days/year), LOLH (hours/year) and EUE (MWh/year) for Loss of OSW during the Week with Highest OSW Wind Capacity Factor </w:t>
      </w:r>
    </w:p>
    <w:p w14:paraId="721E946F" w14:textId="77777777" w:rsidR="00DD6A53" w:rsidRDefault="00DD6A53" w:rsidP="00DD6A53">
      <w:pPr>
        <w:pStyle w:val="BodyText"/>
      </w:pPr>
      <w:r w:rsidRPr="00117CC4">
        <w:rPr>
          <w:noProof/>
        </w:rPr>
        <w:drawing>
          <wp:inline distT="0" distB="0" distL="0" distR="0" wp14:anchorId="35F46563" wp14:editId="7BE25556">
            <wp:extent cx="6400800" cy="1764665"/>
            <wp:effectExtent l="0" t="0" r="0" b="698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400800" cy="1764665"/>
                    </a:xfrm>
                    <a:prstGeom prst="rect">
                      <a:avLst/>
                    </a:prstGeom>
                    <a:noFill/>
                    <a:ln>
                      <a:noFill/>
                    </a:ln>
                  </pic:spPr>
                </pic:pic>
              </a:graphicData>
            </a:graphic>
          </wp:inline>
        </w:drawing>
      </w:r>
    </w:p>
    <w:p w14:paraId="1A3169D3" w14:textId="77777777" w:rsidR="00DD6A53" w:rsidRDefault="00DD6A53" w:rsidP="00DD6A53"/>
    <w:p w14:paraId="74B59519" w14:textId="77777777" w:rsidR="00DD6A53" w:rsidRDefault="00DD6A53" w:rsidP="00DD6A53">
      <w:pPr>
        <w:pStyle w:val="BodyText"/>
        <w:rPr>
          <w:b/>
        </w:rPr>
      </w:pPr>
      <w:r w:rsidRPr="008521D4">
        <w:rPr>
          <w:b/>
        </w:rPr>
        <w:t xml:space="preserve">Loss of Offshore </w:t>
      </w:r>
      <w:r>
        <w:rPr>
          <w:b/>
        </w:rPr>
        <w:t>W</w:t>
      </w:r>
      <w:r w:rsidRPr="008521D4">
        <w:rPr>
          <w:b/>
        </w:rPr>
        <w:t xml:space="preserve">ind </w:t>
      </w:r>
      <w:r>
        <w:rPr>
          <w:b/>
        </w:rPr>
        <w:t>O</w:t>
      </w:r>
      <w:r w:rsidRPr="008521D4">
        <w:rPr>
          <w:b/>
        </w:rPr>
        <w:t>bservations:</w:t>
      </w:r>
    </w:p>
    <w:p w14:paraId="7525CAED" w14:textId="73293AEB" w:rsidR="00DD6A53" w:rsidRPr="008521D4" w:rsidRDefault="00DD6A53" w:rsidP="007F4000">
      <w:pPr>
        <w:pStyle w:val="BodyText"/>
        <w:numPr>
          <w:ilvl w:val="0"/>
          <w:numId w:val="27"/>
        </w:numPr>
      </w:pPr>
      <w:r>
        <w:t>R</w:t>
      </w:r>
      <w:r w:rsidRPr="008521D4">
        <w:t xml:space="preserve">emoval of all </w:t>
      </w:r>
      <w:proofErr w:type="gramStart"/>
      <w:r>
        <w:t>off-shore</w:t>
      </w:r>
      <w:proofErr w:type="gramEnd"/>
      <w:r>
        <w:t xml:space="preserve"> w</w:t>
      </w:r>
      <w:r w:rsidRPr="008521D4">
        <w:t xml:space="preserve">ind generation </w:t>
      </w:r>
      <w:r>
        <w:t xml:space="preserve">for the studied week </w:t>
      </w:r>
      <w:r w:rsidRPr="008521D4">
        <w:t>has a substantial impact on</w:t>
      </w:r>
      <w:r>
        <w:t xml:space="preserve"> NYCA</w:t>
      </w:r>
      <w:r w:rsidRPr="008521D4">
        <w:t xml:space="preserve"> LOLE. This is lar</w:t>
      </w:r>
      <w:r>
        <w:t xml:space="preserve">gely due to the location of the </w:t>
      </w:r>
      <w:proofErr w:type="gramStart"/>
      <w:r>
        <w:t>o</w:t>
      </w:r>
      <w:r w:rsidRPr="008521D4">
        <w:t>ff-shore</w:t>
      </w:r>
      <w:proofErr w:type="gramEnd"/>
      <w:r w:rsidRPr="008521D4">
        <w:t xml:space="preserve"> wind in</w:t>
      </w:r>
      <w:r>
        <w:t xml:space="preserve"> the </w:t>
      </w:r>
      <w:r w:rsidRPr="008521D4">
        <w:t>J and K</w:t>
      </w:r>
      <w:r>
        <w:t xml:space="preserve"> </w:t>
      </w:r>
      <w:r w:rsidR="007034EB">
        <w:t>Z</w:t>
      </w:r>
      <w:r>
        <w:t xml:space="preserve">ones, where </w:t>
      </w:r>
      <w:r w:rsidRPr="008521D4">
        <w:t xml:space="preserve">the majority of the </w:t>
      </w:r>
      <w:r>
        <w:t xml:space="preserve">NYCA </w:t>
      </w:r>
      <w:r w:rsidRPr="008521D4">
        <w:t>LOLE</w:t>
      </w:r>
      <w:r>
        <w:t xml:space="preserve"> events occur.</w:t>
      </w:r>
      <w:r w:rsidR="00B33AB0">
        <w:t xml:space="preserve"> </w:t>
      </w:r>
    </w:p>
    <w:p w14:paraId="45E6E733" w14:textId="69E0BE51" w:rsidR="00DD6A53" w:rsidRDefault="00DD6A53" w:rsidP="007F4000">
      <w:pPr>
        <w:pStyle w:val="BodyText"/>
        <w:numPr>
          <w:ilvl w:val="0"/>
          <w:numId w:val="27"/>
        </w:numPr>
      </w:pPr>
      <w:r>
        <w:t>There is a h</w:t>
      </w:r>
      <w:r w:rsidRPr="00C776A7">
        <w:t xml:space="preserve">igher impact in </w:t>
      </w:r>
      <w:r>
        <w:t xml:space="preserve">the NYCA </w:t>
      </w:r>
      <w:r w:rsidRPr="00C776A7">
        <w:t xml:space="preserve">LOLE for the “Scenario Load” </w:t>
      </w:r>
      <w:r>
        <w:t>case</w:t>
      </w:r>
      <w:r w:rsidRPr="00C776A7">
        <w:t xml:space="preserve"> (</w:t>
      </w:r>
      <w:r w:rsidRPr="002308CA">
        <w:rPr>
          <w:i/>
        </w:rPr>
        <w:t>i.e.,</w:t>
      </w:r>
      <w:r>
        <w:t xml:space="preserve"> a </w:t>
      </w:r>
      <w:r w:rsidRPr="00C776A7">
        <w:t>lower energy case), which had</w:t>
      </w:r>
      <w:r>
        <w:t xml:space="preserve"> a higher level of MW of fossil-fueled generation removed (</w:t>
      </w:r>
      <w:r w:rsidRPr="002308CA">
        <w:rPr>
          <w:i/>
        </w:rPr>
        <w:t>i.e.,</w:t>
      </w:r>
      <w:r w:rsidRPr="00C776A7">
        <w:t xml:space="preserve"> around 12,340 MW fossil</w:t>
      </w:r>
      <w:r>
        <w:t xml:space="preserve"> generation</w:t>
      </w:r>
      <w:r w:rsidRPr="00C776A7">
        <w:t xml:space="preserve"> removed</w:t>
      </w:r>
      <w:r>
        <w:t>, as identified in the 2020 RNA Report)</w:t>
      </w:r>
      <w:r w:rsidRPr="00C776A7">
        <w:t xml:space="preserve"> </w:t>
      </w:r>
      <w:r w:rsidR="005577BB">
        <w:t>i</w:t>
      </w:r>
      <w:r>
        <w:t xml:space="preserve">n order </w:t>
      </w:r>
      <w:r w:rsidRPr="00C776A7">
        <w:t xml:space="preserve">to </w:t>
      </w:r>
      <w:r>
        <w:t>bring it from a very low LOLE to</w:t>
      </w:r>
      <w:r w:rsidRPr="00C776A7">
        <w:t xml:space="preserve"> the 0.1 d</w:t>
      </w:r>
      <w:r>
        <w:t>ay</w:t>
      </w:r>
      <w:r w:rsidRPr="00C776A7">
        <w:t>/y</w:t>
      </w:r>
      <w:r>
        <w:t>ear</w:t>
      </w:r>
      <w:r w:rsidRPr="00C776A7">
        <w:t xml:space="preserve"> criterion</w:t>
      </w:r>
      <w:r>
        <w:t xml:space="preserve"> (“at criterion”).</w:t>
      </w:r>
    </w:p>
    <w:p w14:paraId="4640682B" w14:textId="27F0F9E1" w:rsidR="00DD6A53" w:rsidRDefault="00DD6A53" w:rsidP="007F4000">
      <w:pPr>
        <w:pStyle w:val="BodyText"/>
        <w:numPr>
          <w:ilvl w:val="0"/>
          <w:numId w:val="27"/>
        </w:numPr>
      </w:pPr>
      <w:r>
        <w:t xml:space="preserve">Annual </w:t>
      </w:r>
      <w:r w:rsidRPr="001C5F3C">
        <w:t>Compensatory M</w:t>
      </w:r>
      <w:r>
        <w:t>W values</w:t>
      </w:r>
      <w:r w:rsidRPr="001C5F3C">
        <w:t xml:space="preserve"> are reducing LOLE in other </w:t>
      </w:r>
      <w:r>
        <w:t>times</w:t>
      </w:r>
      <w:r w:rsidRPr="001C5F3C">
        <w:t xml:space="preserve"> of the year, not just </w:t>
      </w:r>
      <w:r>
        <w:t xml:space="preserve">during </w:t>
      </w:r>
      <w:r w:rsidRPr="001C5F3C">
        <w:t>the week affected by the wind lull</w:t>
      </w:r>
      <w:r w:rsidR="005577BB">
        <w:t xml:space="preserve">.  </w:t>
      </w:r>
      <w:r>
        <w:t xml:space="preserve">Hence, the “perfect capacity” values are significantly less than the amount of hourly wind lost during the week of wind lull.  </w:t>
      </w:r>
    </w:p>
    <w:p w14:paraId="3B46273D" w14:textId="2BBBEA7F" w:rsidR="00B25F93" w:rsidRPr="00381E1E" w:rsidRDefault="00DD6A53" w:rsidP="00381E1E">
      <w:pPr>
        <w:pStyle w:val="BodyText"/>
        <w:numPr>
          <w:ilvl w:val="0"/>
          <w:numId w:val="27"/>
        </w:numPr>
      </w:pPr>
      <w:r w:rsidRPr="00381E1E">
        <w:t>Using yearly compensatory MW (</w:t>
      </w:r>
      <w:r w:rsidRPr="007034EB">
        <w:rPr>
          <w:i/>
        </w:rPr>
        <w:t>i.e.</w:t>
      </w:r>
      <w:proofErr w:type="gramStart"/>
      <w:r w:rsidRPr="007034EB">
        <w:rPr>
          <w:i/>
        </w:rPr>
        <w:t>,</w:t>
      </w:r>
      <w:r w:rsidRPr="00381E1E">
        <w:t xml:space="preserve"> ”perfect</w:t>
      </w:r>
      <w:proofErr w:type="gramEnd"/>
      <w:r w:rsidRPr="00381E1E">
        <w:t xml:space="preserve"> capacity MW” available every hour of the study year) to bring the NYCA LOLE back to the levels found in the original cases reduces resultant LOLH, but increases EUE. This is because smaller events are mitigated by the compensatory MW, but the</w:t>
      </w:r>
      <w:r w:rsidRPr="00543789">
        <w:t xml:space="preserve"> large events that are created by the win</w:t>
      </w:r>
      <w:r>
        <w:t>d lull create</w:t>
      </w:r>
      <w:r w:rsidRPr="00543789">
        <w:t xml:space="preserve"> a larger energ</w:t>
      </w:r>
      <w:r>
        <w:t>y</w:t>
      </w:r>
      <w:r w:rsidRPr="00543789">
        <w:t xml:space="preserve"> deficit</w:t>
      </w:r>
      <w:r>
        <w:t xml:space="preserve"> during that week. </w:t>
      </w:r>
    </w:p>
    <w:p w14:paraId="1AED0F6E" w14:textId="2B561989" w:rsidR="00DD6A53" w:rsidRDefault="00DD6A53" w:rsidP="007F4000">
      <w:pPr>
        <w:pStyle w:val="BodyText"/>
        <w:numPr>
          <w:ilvl w:val="0"/>
          <w:numId w:val="27"/>
        </w:numPr>
      </w:pPr>
      <w:r>
        <w:t xml:space="preserve">The assumption for loss of wind in these simulations was 100% loss throughout the whole week. The wind is modeled as one 8,760 hourly </w:t>
      </w:r>
      <w:proofErr w:type="gramStart"/>
      <w:r>
        <w:t>shape</w:t>
      </w:r>
      <w:proofErr w:type="gramEnd"/>
      <w:r>
        <w:t xml:space="preserve"> based on NREL data and 2019 CARIS output. However, the regular planning models usually contain five 8,760 hourly shapes for each wind plant modeled, with the MW data from the actual historical production. In that case, it is possible to assume a different weight for wind lull, such as 20% occurrence (instead of 100%) for one </w:t>
      </w:r>
      <w:r>
        <w:lastRenderedPageBreak/>
        <w:t xml:space="preserve">shape, with MARS randomly picking one shape for each study year replication. </w:t>
      </w:r>
      <w:r w:rsidRPr="001C5F3C">
        <w:t>Apply</w:t>
      </w:r>
      <w:r>
        <w:t>ing</w:t>
      </w:r>
      <w:r w:rsidRPr="001C5F3C">
        <w:t xml:space="preserve"> </w:t>
      </w:r>
      <w:r>
        <w:t>a</w:t>
      </w:r>
      <w:r w:rsidRPr="001C5F3C">
        <w:t xml:space="preserve"> </w:t>
      </w:r>
      <w:r>
        <w:t>percentage</w:t>
      </w:r>
      <w:r w:rsidRPr="001C5F3C">
        <w:t xml:space="preserve"> value to the LOLE delta </w:t>
      </w:r>
      <w:r>
        <w:t>could be</w:t>
      </w:r>
      <w:r w:rsidRPr="001C5F3C">
        <w:t xml:space="preserve"> a </w:t>
      </w:r>
      <w:r>
        <w:t>good</w:t>
      </w:r>
      <w:r w:rsidRPr="001C5F3C">
        <w:t xml:space="preserve"> equivalent to </w:t>
      </w:r>
      <w:r>
        <w:t xml:space="preserve">simulating the </w:t>
      </w:r>
      <w:r w:rsidRPr="001C5F3C">
        <w:t>random appli</w:t>
      </w:r>
      <w:r>
        <w:t xml:space="preserve">cation of </w:t>
      </w:r>
      <w:r w:rsidRPr="001C5F3C">
        <w:t xml:space="preserve">the same </w:t>
      </w:r>
      <w:r>
        <w:t>percentage</w:t>
      </w:r>
      <w:r w:rsidRPr="001C5F3C">
        <w:t xml:space="preserve"> chance of a wind lull </w:t>
      </w:r>
      <w:r w:rsidR="00AD1021">
        <w:t xml:space="preserve">occurring.  For example, a </w:t>
      </w:r>
      <w:r>
        <w:t>20% chance of wind lull occurring would lead to roughly an expected new LOLE equal to 20% of the change to the LOLE provided in the above tables.</w:t>
      </w:r>
    </w:p>
    <w:p w14:paraId="1375B732" w14:textId="77777777" w:rsidR="00DD6A53" w:rsidRDefault="00DD6A53" w:rsidP="00DD6A53">
      <w:pPr>
        <w:pStyle w:val="BodyText"/>
        <w:rPr>
          <w:color w:val="984806" w:themeColor="accent6" w:themeShade="80"/>
        </w:rPr>
      </w:pPr>
    </w:p>
    <w:p w14:paraId="2601B08A" w14:textId="1DAE9E57" w:rsidR="00DD6A53" w:rsidRPr="0031764F" w:rsidRDefault="00A132AD" w:rsidP="0031764F">
      <w:pPr>
        <w:pStyle w:val="Heading2"/>
        <w:rPr>
          <w:sz w:val="28"/>
          <w:szCs w:val="28"/>
        </w:rPr>
      </w:pPr>
      <w:bookmarkStart w:id="148" w:name="_Toc81138722"/>
      <w:r>
        <w:rPr>
          <w:sz w:val="28"/>
          <w:szCs w:val="28"/>
        </w:rPr>
        <w:t>Wind Lull Conclusions</w:t>
      </w:r>
      <w:bookmarkEnd w:id="148"/>
    </w:p>
    <w:p w14:paraId="29DE5A87" w14:textId="63486AFE" w:rsidR="00B74FE3" w:rsidRDefault="00DD6A53" w:rsidP="00DD6A53">
      <w:pPr>
        <w:pStyle w:val="BodyText"/>
      </w:pPr>
      <w:r w:rsidRPr="00696A93">
        <w:t xml:space="preserve">With high penetration of renewable intermittent resources, </w:t>
      </w:r>
      <w:r w:rsidR="00A132AD">
        <w:t xml:space="preserve">the system will need </w:t>
      </w:r>
      <w:r w:rsidRPr="00696A93">
        <w:t>dispatchable, long-duration resources to balance intermittent supply with demand especially during extended periods where the intermittent resources are not available. These type</w:t>
      </w:r>
      <w:r w:rsidR="00E93357">
        <w:t>s</w:t>
      </w:r>
      <w:r w:rsidRPr="00696A93">
        <w:t xml:space="preserve"> of resources will need to be significant in </w:t>
      </w:r>
      <w:proofErr w:type="gramStart"/>
      <w:r w:rsidRPr="00696A93">
        <w:t>capacity, and</w:t>
      </w:r>
      <w:proofErr w:type="gramEnd"/>
      <w:r w:rsidRPr="00696A93">
        <w:t xml:space="preserve"> have attributes such as the ability to come on-line quickly, stay on-line for as long as needed, maintain the system’s balance and stability, and adapt to meet rapid, steep ramping needs.  </w:t>
      </w:r>
    </w:p>
    <w:p w14:paraId="1B85D9B8" w14:textId="77777777" w:rsidR="00B74FE3" w:rsidRDefault="00B74FE3">
      <w:pPr>
        <w:rPr>
          <w:rFonts w:ascii="Cambria" w:eastAsia="Arial Narrow" w:hAnsi="Cambria"/>
          <w:bCs/>
          <w:sz w:val="22"/>
          <w:lang w:bidi="ar-SA"/>
        </w:rPr>
      </w:pPr>
      <w:r>
        <w:br w:type="page"/>
      </w:r>
    </w:p>
    <w:p w14:paraId="33B21712" w14:textId="690B4156" w:rsidR="00F245B6" w:rsidRDefault="00F245B6" w:rsidP="00F245B6">
      <w:pPr>
        <w:pStyle w:val="Heading1"/>
      </w:pPr>
      <w:bookmarkStart w:id="149" w:name="_Toc80191686"/>
      <w:bookmarkStart w:id="150" w:name="_Toc81138723"/>
      <w:r>
        <w:lastRenderedPageBreak/>
        <w:t xml:space="preserve">Appendix </w:t>
      </w:r>
      <w:r w:rsidR="00B10D92">
        <w:t>F</w:t>
      </w:r>
      <w:r>
        <w:t xml:space="preserve"> </w:t>
      </w:r>
      <w:r w:rsidR="00E41016">
        <w:t>–</w:t>
      </w:r>
      <w:r>
        <w:t xml:space="preserve"> 70x30 Scenario – Dynamic Stability, Short-Circuit</w:t>
      </w:r>
      <w:r w:rsidR="00E41016">
        <w:t xml:space="preserve"> Ratio</w:t>
      </w:r>
      <w:r>
        <w:t>, and Voltage Flicker</w:t>
      </w:r>
      <w:bookmarkEnd w:id="149"/>
      <w:bookmarkEnd w:id="150"/>
    </w:p>
    <w:p w14:paraId="5C9BB164" w14:textId="784098EF" w:rsidR="00F245B6" w:rsidRDefault="00F245B6" w:rsidP="00F245B6">
      <w:pPr>
        <w:pStyle w:val="Heading2"/>
      </w:pPr>
      <w:bookmarkStart w:id="151" w:name="_Toc80191687"/>
      <w:bookmarkStart w:id="152" w:name="_Toc81138724"/>
      <w:r>
        <w:t>Dynamic Stability</w:t>
      </w:r>
      <w:bookmarkEnd w:id="151"/>
      <w:bookmarkEnd w:id="152"/>
    </w:p>
    <w:p w14:paraId="6B4EA489" w14:textId="77777777" w:rsidR="00E66CCA" w:rsidRDefault="00E66CCA" w:rsidP="00E66CCA">
      <w:pPr>
        <w:pStyle w:val="BodyText"/>
      </w:pPr>
      <w:r>
        <w:t>The steady state transmission security assessment under 70x30 conditions was evaluated in the 2020 Reliability Needs Assessment.</w:t>
      </w:r>
      <w:r>
        <w:rPr>
          <w:rStyle w:val="FootnoteReference"/>
        </w:rPr>
        <w:footnoteReference w:id="40"/>
      </w:r>
      <w:r>
        <w:t xml:space="preserve">  </w:t>
      </w:r>
      <w:r w:rsidRPr="00ED073E">
        <w:t xml:space="preserve"> </w:t>
      </w:r>
      <w:r>
        <w:t>The transmission security assessment for 70x30 models six different output levels of intermittent renewable resources and load levels.  The basis for the load and renewable resource mix is the 70x30 ‘Base Load’ case from the 2019 CARIS 70x30 renewable resource mix and associated load forecasts.</w:t>
      </w:r>
      <w:r>
        <w:rPr>
          <w:rStyle w:val="FootnoteReference"/>
        </w:rPr>
        <w:footnoteReference w:id="41"/>
      </w:r>
      <w:r>
        <w:t xml:space="preserve">  The 2019 CARIS assumptions were based on the 2019 Gold Book, and used GE MAPS for production cost simulations, and its findings are intended to provide insight of the extent to which transmission constraints may prevent the delivery of renewable energy to New York consumers.  The 70x30 scenarios evaluated in the RNA, as well as this report, are intended to supplement the 2019 CARIS 70x30 analysis of congestion and resource curtailment by providing insights on potential reliability impacts.  </w:t>
      </w:r>
    </w:p>
    <w:p w14:paraId="430B027F" w14:textId="01CF3655" w:rsidR="00E66CCA" w:rsidRPr="00ED073E" w:rsidRDefault="00E66CCA" w:rsidP="00E66CCA">
      <w:pPr>
        <w:pStyle w:val="BodyText"/>
      </w:pPr>
      <w:r w:rsidRPr="00941945">
        <w:rPr>
          <w:rFonts w:asciiTheme="majorHAnsi" w:hAnsiTheme="majorHAnsi" w:cs="Arial"/>
          <w:szCs w:val="20"/>
        </w:rPr>
        <w:fldChar w:fldCharType="begin"/>
      </w:r>
      <w:r w:rsidRPr="00941945">
        <w:rPr>
          <w:rFonts w:asciiTheme="majorHAnsi" w:hAnsiTheme="majorHAnsi"/>
        </w:rPr>
        <w:instrText xml:space="preserve"> REF _Ref76996194  \* MERGEFORMAT </w:instrText>
      </w:r>
      <w:r w:rsidRPr="00941945">
        <w:rPr>
          <w:rFonts w:asciiTheme="majorHAnsi" w:hAnsiTheme="majorHAnsi" w:cs="Arial"/>
          <w:szCs w:val="20"/>
        </w:rPr>
        <w:fldChar w:fldCharType="separate"/>
      </w:r>
      <w:r w:rsidRPr="00E4725F">
        <w:rPr>
          <w:rFonts w:asciiTheme="majorHAnsi" w:hAnsiTheme="majorHAnsi" w:cs="Arial"/>
          <w:iCs/>
        </w:rPr>
        <w:t xml:space="preserve">Figure </w:t>
      </w:r>
      <w:r w:rsidRPr="00E4725F">
        <w:rPr>
          <w:rFonts w:asciiTheme="majorHAnsi" w:hAnsiTheme="majorHAnsi" w:cs="Arial"/>
          <w:iCs/>
          <w:noProof/>
        </w:rPr>
        <w:t>6</w:t>
      </w:r>
      <w:r w:rsidRPr="00941945">
        <w:rPr>
          <w:rFonts w:asciiTheme="majorHAnsi" w:hAnsiTheme="majorHAnsi" w:cs="Arial"/>
          <w:noProof/>
          <w:szCs w:val="20"/>
        </w:rPr>
        <w:fldChar w:fldCharType="end"/>
      </w:r>
      <w:r w:rsidRPr="00E4725F">
        <w:rPr>
          <w:rFonts w:asciiTheme="minorHAnsi" w:hAnsiTheme="minorHAnsi" w:cs="Arial"/>
          <w:sz w:val="24"/>
          <w:szCs w:val="20"/>
        </w:rPr>
        <w:t xml:space="preserve"> </w:t>
      </w:r>
      <w:r w:rsidRPr="0040021B">
        <w:rPr>
          <w:rFonts w:asciiTheme="majorHAnsi" w:hAnsiTheme="majorHAnsi" w:cs="Arial"/>
        </w:rPr>
        <w:t>shows the load level for each case along with the assumption for land-based wind, off-shore wind, and solar</w:t>
      </w:r>
      <w:r w:rsidRPr="00E4725F">
        <w:rPr>
          <w:rFonts w:asciiTheme="majorHAnsi" w:hAnsiTheme="majorHAnsi" w:cs="Arial"/>
          <w:szCs w:val="20"/>
        </w:rPr>
        <w:t xml:space="preserve"> evaluated in the transmission security assessments</w:t>
      </w:r>
      <w:r w:rsidRPr="00E4725F">
        <w:rPr>
          <w:rFonts w:asciiTheme="minorHAnsi" w:hAnsiTheme="minorHAnsi" w:cs="Arial"/>
          <w:sz w:val="24"/>
          <w:szCs w:val="20"/>
        </w:rPr>
        <w:t xml:space="preserve">.  </w:t>
      </w:r>
      <w:r>
        <w:rPr>
          <w:rFonts w:asciiTheme="majorHAnsi" w:eastAsia="Times New Roman" w:hAnsiTheme="majorHAnsi" w:cs="Arial"/>
          <w:bCs w:val="0"/>
          <w:iCs/>
        </w:rPr>
        <w:fldChar w:fldCharType="begin"/>
      </w:r>
      <w:r w:rsidRPr="00941945">
        <w:rPr>
          <w:rFonts w:asciiTheme="majorHAnsi" w:hAnsiTheme="majorHAnsi"/>
        </w:rPr>
        <w:instrText xml:space="preserve"> REF _Ref77003677 </w:instrText>
      </w:r>
      <w:r>
        <w:rPr>
          <w:noProof/>
        </w:rPr>
        <w:fldChar w:fldCharType="end"/>
      </w:r>
      <w:r>
        <w:t xml:space="preserve"> </w:t>
      </w:r>
      <w:r w:rsidRPr="00E4725F">
        <w:rPr>
          <w:highlight w:val="yellow"/>
        </w:rPr>
        <w:t>XX</w:t>
      </w:r>
      <w:r>
        <w:t xml:space="preserve"> provides the total zonal MW capability for Off-Shore Wind (OSW), Land-Based Wind (LBW), Utility Scale Solar (UPV), and Behind-the-Meter Solar (BTM-PV).  </w:t>
      </w:r>
      <w:r w:rsidRPr="00ED073E">
        <w:t>For the solar dispatch, both the behind-the-meter and in front of the meter solar are dispatched to the same percentage.  The pairings of similar load levels (</w:t>
      </w:r>
      <w:r w:rsidRPr="007034EB">
        <w:rPr>
          <w:i/>
        </w:rPr>
        <w:t>e.g.,</w:t>
      </w:r>
      <w:r w:rsidRPr="00ED073E">
        <w:t xml:space="preserve"> Cases 1 &amp; 2, Cases 3 &amp; 4, and Cases 5 &amp; 6) with different levels of renewable resource penetration shows that a balance in load and generation is achievable (</w:t>
      </w:r>
      <w:r w:rsidRPr="0040021B">
        <w:rPr>
          <w:i/>
        </w:rPr>
        <w:t>i.e.,</w:t>
      </w:r>
      <w:r w:rsidRPr="00ED073E">
        <w:t xml:space="preserve"> the case was able to match load plus losses with available generation under N-0).  While transmission security analysis for this assessment does not consider an 8,760-hour</w:t>
      </w:r>
      <w:r>
        <w:t>ly</w:t>
      </w:r>
      <w:r w:rsidRPr="00ED073E">
        <w:t xml:space="preserve"> type of load and generation variety, the six cases consider, within reasonable bounds, load levels that can be seen for many hours.  For all cases (except Case 2</w:t>
      </w:r>
      <w:proofErr w:type="gramStart"/>
      <w:r w:rsidRPr="00ED073E">
        <w:t>) ,</w:t>
      </w:r>
      <w:proofErr w:type="gramEnd"/>
      <w:r w:rsidRPr="00ED073E">
        <w:t xml:space="preserve"> the renewable generation mix shown in </w:t>
      </w:r>
      <w:fldSimple w:instr=" REF _Ref76996194 ">
        <w:r>
          <w:t xml:space="preserve">Figure </w:t>
        </w:r>
        <w:r>
          <w:rPr>
            <w:noProof/>
          </w:rPr>
          <w:t>6</w:t>
        </w:r>
      </w:fldSimple>
      <w:r w:rsidRPr="00ED073E">
        <w:t xml:space="preserve"> was selected based on observations from the CARIS 70x30 ‘Base Load’ resu</w:t>
      </w:r>
      <w:r>
        <w:t>l</w:t>
      </w:r>
      <w:r w:rsidRPr="00ED073E">
        <w:t xml:space="preserve">ts for similar load levels.  Case 2 reflects the potential for an evening peak load assuming no MW output from wind and solar resources.  The evening peak load reflects approximately 93% of the peak load observed during the day peak with no </w:t>
      </w:r>
      <w:r>
        <w:t>o</w:t>
      </w:r>
      <w:r w:rsidRPr="00B3125F">
        <w:t>utput</w:t>
      </w:r>
      <w:r w:rsidRPr="00ED073E">
        <w:t xml:space="preserve"> from behind-the-meter solar.  For this assessment, after peak generation removals and age-based generation removals, both 10-minute and 30-minute operating reserve levels were maintained by utilizing the remaining synchronous generation.</w:t>
      </w:r>
      <w:r w:rsidRPr="00242591">
        <w:t xml:space="preserve"> </w:t>
      </w:r>
      <w:r w:rsidR="004A2E73">
        <w:t xml:space="preserve"> </w:t>
      </w:r>
      <w:r w:rsidRPr="00ED073E">
        <w:t xml:space="preserve">The amount of dispatchable resources included in the transmission security base case is approximately 24,700 MW (after age-based removals and </w:t>
      </w:r>
      <w:proofErr w:type="spellStart"/>
      <w:r w:rsidRPr="00ED073E">
        <w:t>peaker</w:t>
      </w:r>
      <w:proofErr w:type="spellEnd"/>
      <w:r w:rsidRPr="00ED073E">
        <w:t xml:space="preserve"> removals).  The age-based fossil </w:t>
      </w:r>
      <w:r w:rsidRPr="00ED073E">
        <w:lastRenderedPageBreak/>
        <w:t>removals for the Base Load resource adequacy scenario in the RNA, with no energy storage resources (ESR), are also modeled in this assessment, including the removal of units that were in-service prior to January 1, 1963.  This removal amounts to a total of 2,586 MW summer capability.  The 2,586 MW removal is utilized in the transmission security analysis, as it is the last point of generation removal prior to observing resource adequacy LOLE violations.</w:t>
      </w:r>
    </w:p>
    <w:p w14:paraId="186B9D2D" w14:textId="77777777" w:rsidR="00E66CCA" w:rsidRDefault="00E66CCA" w:rsidP="00E66CCA">
      <w:pPr>
        <w:pStyle w:val="Caption"/>
      </w:pPr>
      <w:r>
        <w:t xml:space="preserve">Figure </w:t>
      </w:r>
      <w:fldSimple w:instr=" SEQ Figure \* ARABIC ">
        <w:r>
          <w:rPr>
            <w:noProof/>
          </w:rPr>
          <w:t>6</w:t>
        </w:r>
      </w:fldSimple>
      <w:r>
        <w:t>:  70x30 Scenario Transmission Security Case Assumptions ('Base Load' Case)</w:t>
      </w:r>
      <w:r w:rsidRPr="001F4D6E">
        <w:rPr>
          <w:noProof/>
        </w:rPr>
        <w:drawing>
          <wp:inline distT="0" distB="0" distL="0" distR="0" wp14:anchorId="76819961" wp14:editId="64E612D3">
            <wp:extent cx="5943600" cy="1311455"/>
            <wp:effectExtent l="0" t="0" r="0"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1311455"/>
                    </a:xfrm>
                    <a:prstGeom prst="rect">
                      <a:avLst/>
                    </a:prstGeom>
                    <a:noFill/>
                    <a:ln>
                      <a:noFill/>
                    </a:ln>
                  </pic:spPr>
                </pic:pic>
              </a:graphicData>
            </a:graphic>
          </wp:inline>
        </w:drawing>
      </w:r>
    </w:p>
    <w:p w14:paraId="7379956C" w14:textId="77777777" w:rsidR="00E66CCA" w:rsidRDefault="00E66CCA" w:rsidP="00E66CCA">
      <w:pPr>
        <w:pStyle w:val="Caption"/>
      </w:pPr>
      <w:r>
        <w:t xml:space="preserve">Figure </w:t>
      </w:r>
      <w:fldSimple w:instr=" SEQ Figure \* ARABIC ">
        <w:r>
          <w:rPr>
            <w:noProof/>
          </w:rPr>
          <w:t>7</w:t>
        </w:r>
      </w:fldSimple>
      <w:r>
        <w:t>:  Capabilities (MW) of Renewable Mix Assumptions for Base Load</w:t>
      </w:r>
      <w:r w:rsidRPr="00FC5AB0">
        <w:rPr>
          <w:iCs w:val="0"/>
        </w:rPr>
        <w:t xml:space="preserve"> </w:t>
      </w:r>
      <w:r w:rsidRPr="00FC5AB0">
        <w:rPr>
          <w:noProof/>
        </w:rPr>
        <w:drawing>
          <wp:inline distT="0" distB="0" distL="0" distR="0" wp14:anchorId="696D1AC4" wp14:editId="19A8C38C">
            <wp:extent cx="3102610" cy="2482215"/>
            <wp:effectExtent l="0" t="0" r="254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102610" cy="2482215"/>
                    </a:xfrm>
                    <a:prstGeom prst="rect">
                      <a:avLst/>
                    </a:prstGeom>
                    <a:noFill/>
                    <a:ln>
                      <a:noFill/>
                    </a:ln>
                  </pic:spPr>
                </pic:pic>
              </a:graphicData>
            </a:graphic>
          </wp:inline>
        </w:drawing>
      </w:r>
    </w:p>
    <w:p w14:paraId="1A66346B" w14:textId="77777777" w:rsidR="00E66CCA" w:rsidRDefault="00E66CCA" w:rsidP="00E66CCA">
      <w:pPr>
        <w:jc w:val="center"/>
      </w:pPr>
    </w:p>
    <w:p w14:paraId="5DF59ACD" w14:textId="77777777" w:rsidR="00E66CCA" w:rsidRDefault="00E66CCA" w:rsidP="00E66CCA">
      <w:pPr>
        <w:pStyle w:val="Heading2"/>
      </w:pPr>
      <w:bookmarkStart w:id="153" w:name="_Toc81138725"/>
      <w:r>
        <w:t>Summary of 2020 RNA Steady State Analysis Results from the 2020 RNA</w:t>
      </w:r>
      <w:bookmarkEnd w:id="153"/>
    </w:p>
    <w:p w14:paraId="32409193" w14:textId="410D808E" w:rsidR="00E66CCA" w:rsidRPr="00610DCB" w:rsidRDefault="00E66CCA" w:rsidP="00E66CCA">
      <w:pPr>
        <w:pStyle w:val="BodyText"/>
      </w:pPr>
      <w:r>
        <w:t>The 2020 RNA documents the steady state transmission security issues focusing on the steady state thermal loading of the BPTF for N-1 and N-1-1 conditions.  The thermal loading issues indicate transmission constraints that may occur with high renewable output, as well as under peak load conditions without these resources.  These issues are observed in the Orange and Rockland, Con Edison, and PSEG-Long Island service territories.  T</w:t>
      </w:r>
      <w:r w:rsidRPr="00610DCB">
        <w:t xml:space="preserve">he thermal loading issues </w:t>
      </w:r>
      <w:r>
        <w:t>indicate transmission constraints that may occur with high renewable output,</w:t>
      </w:r>
      <w:r w:rsidRPr="00610DCB">
        <w:t xml:space="preserve"> as well </w:t>
      </w:r>
      <w:r>
        <w:t>under</w:t>
      </w:r>
      <w:r w:rsidRPr="00610DCB">
        <w:t xml:space="preserve"> peak load </w:t>
      </w:r>
      <w:r>
        <w:t>conditions</w:t>
      </w:r>
      <w:r w:rsidRPr="00610DCB">
        <w:t xml:space="preserve"> without these resources</w:t>
      </w:r>
      <w:r>
        <w:t xml:space="preserve">. </w:t>
      </w:r>
      <w:r w:rsidR="004A2E73">
        <w:t xml:space="preserve"> </w:t>
      </w:r>
      <w:r>
        <w:t>To secure the transmission system</w:t>
      </w:r>
      <w:r w:rsidRPr="00610DCB">
        <w:t>, additional dispatchable resources would be needed</w:t>
      </w:r>
      <w:r w:rsidR="004A2E73">
        <w:t xml:space="preserve">.  </w:t>
      </w:r>
      <w:r>
        <w:t xml:space="preserve">To maintain system transmission security, approximately 750 MW of </w:t>
      </w:r>
      <w:r w:rsidRPr="00610DCB">
        <w:t xml:space="preserve">dispatchable resources </w:t>
      </w:r>
      <w:r>
        <w:t xml:space="preserve">would be needed in addition to the 24,700 MW of </w:t>
      </w:r>
      <w:r>
        <w:lastRenderedPageBreak/>
        <w:t xml:space="preserve">dispatchable resources remaining in the model </w:t>
      </w:r>
      <w:r w:rsidRPr="00422F11">
        <w:rPr>
          <w:i/>
        </w:rPr>
        <w:t>(</w:t>
      </w:r>
      <w:proofErr w:type="gramStart"/>
      <w:r w:rsidRPr="00422F11">
        <w:rPr>
          <w:i/>
        </w:rPr>
        <w:t>i.e</w:t>
      </w:r>
      <w:r>
        <w:t>.</w:t>
      </w:r>
      <w:proofErr w:type="gramEnd"/>
      <w:r>
        <w:t xml:space="preserve"> after age-based removals and </w:t>
      </w:r>
      <w:proofErr w:type="spellStart"/>
      <w:r>
        <w:t>peakers</w:t>
      </w:r>
      <w:proofErr w:type="spellEnd"/>
      <w:r>
        <w:t xml:space="preserve">). </w:t>
      </w:r>
      <w:r w:rsidR="004A2E73">
        <w:t xml:space="preserve"> </w:t>
      </w:r>
      <w:r>
        <w:t xml:space="preserve">This assessment did not consider the potential duration of the deficiencies or the sudden loss of all </w:t>
      </w:r>
      <w:proofErr w:type="gramStart"/>
      <w:r>
        <w:t>off-shore</w:t>
      </w:r>
      <w:proofErr w:type="gramEnd"/>
      <w:r>
        <w:t xml:space="preserve"> wind. </w:t>
      </w:r>
      <w:r w:rsidR="004A2E73">
        <w:t xml:space="preserve"> </w:t>
      </w:r>
      <w:r>
        <w:t xml:space="preserve">Rather, contingency events for renewable resources only considered loss of resources due to electrical faults. </w:t>
      </w:r>
      <w:r w:rsidR="004A2E73">
        <w:t xml:space="preserve"> </w:t>
      </w:r>
      <w:r>
        <w:t>For all cases, the NYISO locational reserves requirements were achieved by utilizing dispatchable generation.</w:t>
      </w:r>
    </w:p>
    <w:p w14:paraId="721D8BD7" w14:textId="77777777" w:rsidR="00E66CCA" w:rsidRDefault="00E66CCA" w:rsidP="00E66CCA">
      <w:pPr>
        <w:pStyle w:val="Heading2"/>
      </w:pPr>
      <w:bookmarkStart w:id="154" w:name="_Toc81138726"/>
      <w:r>
        <w:t>70x30 Dynamic Stability Transmission Security Methodology and Results</w:t>
      </w:r>
      <w:bookmarkEnd w:id="154"/>
    </w:p>
    <w:p w14:paraId="728AB655" w14:textId="77777777" w:rsidR="00E66CCA" w:rsidRDefault="00E66CCA" w:rsidP="00E66CCA">
      <w:pPr>
        <w:pStyle w:val="BodyText"/>
      </w:pPr>
      <w:r w:rsidRPr="00ED073E">
        <w:t xml:space="preserve">The purpose of this assessment is to identify reliability risks focusing on the </w:t>
      </w:r>
      <w:r>
        <w:t>system stability</w:t>
      </w:r>
      <w:r w:rsidRPr="00ED073E">
        <w:t xml:space="preserve"> of the </w:t>
      </w:r>
      <w:r>
        <w:t>New York</w:t>
      </w:r>
      <w:r w:rsidRPr="00ED073E">
        <w:t xml:space="preserve"> transmission system for N-1 and N-1-1 conditions</w:t>
      </w:r>
      <w:r>
        <w:t xml:space="preserve">.  To capture the potential dynamics impact of </w:t>
      </w:r>
      <w:r w:rsidRPr="00ED073E">
        <w:t xml:space="preserve">renewable generators added to the model to meet the 70x30 goals, </w:t>
      </w:r>
      <w:r>
        <w:t xml:space="preserve">this assessment utilizes </w:t>
      </w:r>
      <w:r w:rsidRPr="00ED073E">
        <w:t>generic renewable models (REGCA1 and REECA1)</w:t>
      </w:r>
      <w:r w:rsidRPr="009172BD">
        <w:rPr>
          <w:vertAlign w:val="superscript"/>
        </w:rPr>
        <w:footnoteReference w:id="42"/>
      </w:r>
      <w:r w:rsidRPr="009172BD">
        <w:rPr>
          <w:vertAlign w:val="superscript"/>
        </w:rPr>
        <w:t xml:space="preserve"> </w:t>
      </w:r>
      <w:r w:rsidRPr="00ED073E">
        <w:t>and model parameters.</w:t>
      </w:r>
      <w:r>
        <w:t xml:space="preserve">  </w:t>
      </w:r>
    </w:p>
    <w:p w14:paraId="4E81C534" w14:textId="77777777" w:rsidR="00E66CCA" w:rsidRDefault="00E66CCA" w:rsidP="00E66CCA">
      <w:pPr>
        <w:pStyle w:val="BodyText"/>
      </w:pPr>
      <w:r>
        <w:t>For a stability simulation to be deemed stable, oscillations in angle and voltage must exhibit positive damping within ten seconds after the initiation of the disturbance.  The system is unstable, if following a disturbance, the stability analysis indicates increasing angular displacement between various groups of machines or if oscillatory instability is observed.</w:t>
      </w:r>
      <w:r>
        <w:rPr>
          <w:rStyle w:val="FootnoteReference"/>
        </w:rPr>
        <w:footnoteReference w:id="43"/>
      </w:r>
      <w:r w:rsidRPr="000A76C1">
        <w:t xml:space="preserve"> </w:t>
      </w:r>
      <w:r>
        <w:t xml:space="preserve"> </w:t>
      </w:r>
      <w:r w:rsidRPr="00ED073E">
        <w:t>For this study, the analysis considered all dynamics criteria with the exception of transient voltage response</w:t>
      </w:r>
      <w:r>
        <w:t xml:space="preserve"> due to dynamic modeling assumptions for the renewable generators added to the model to meet the 70x30 goals</w:t>
      </w:r>
      <w:r w:rsidRPr="00ED073E">
        <w:t xml:space="preserve">.  Transient voltage response is primarily a local area issue and is sensitive to the dynamic load model as well as the dynamic characteristics of generators.  </w:t>
      </w:r>
    </w:p>
    <w:p w14:paraId="63772C23" w14:textId="0D0EB09F" w:rsidR="00E66CCA" w:rsidRDefault="00E66CCA" w:rsidP="00E66CCA">
      <w:pPr>
        <w:pStyle w:val="BodyText"/>
      </w:pPr>
      <w:r>
        <w:t>Consistent with the reliability compliance criteria, t</w:t>
      </w:r>
      <w:r w:rsidRPr="00ED073E">
        <w:t>he stability analysis evaluates NERC, NPCC Directory #1, and NYSRC Reliability Rules planning design criteria</w:t>
      </w:r>
      <w:r w:rsidRPr="00ED073E" w:rsidDel="00B113D3">
        <w:t xml:space="preserve"> </w:t>
      </w:r>
      <w:r w:rsidRPr="00ED073E">
        <w:t>stability contingencies that are expected to produce a more severe system impact on the BPTF.</w:t>
      </w:r>
      <w:r>
        <w:t xml:space="preserve">  </w:t>
      </w:r>
      <w:r w:rsidRPr="00ED073E">
        <w:t xml:space="preserve">These contingencies include the most severe loss of reactive capability and increased impedance on the BPTF. </w:t>
      </w:r>
      <w:r w:rsidR="004A2E73">
        <w:t xml:space="preserve"> </w:t>
      </w:r>
      <w:r w:rsidRPr="00ED073E">
        <w:t xml:space="preserve">The contingencies are modeled to simulate the removal of all elements that the protection system or other automatic controls would disconnect without operator intervention. </w:t>
      </w:r>
      <w:r>
        <w:t xml:space="preserve"> </w:t>
      </w:r>
      <w:r w:rsidRPr="00ED073E">
        <w:t xml:space="preserve">The stability performance contingencies include the impact of successful high speed (less than one second) reclosing and unsuccessful </w:t>
      </w:r>
      <w:proofErr w:type="gramStart"/>
      <w:r w:rsidRPr="00ED073E">
        <w:t>high speed</w:t>
      </w:r>
      <w:proofErr w:type="gramEnd"/>
      <w:r w:rsidRPr="00ED073E">
        <w:t xml:space="preserve"> reclosing into a fault, where high speed reclosing is utilized. </w:t>
      </w:r>
      <w:r>
        <w:t xml:space="preserve"> </w:t>
      </w:r>
      <w:r w:rsidRPr="00ED073E">
        <w:t xml:space="preserve">Design criteria stability N-1-1 analysis evaluates the ability of the system to meet design criteria following the occurrence of a single event and allowable system adjustments. </w:t>
      </w:r>
      <w:r w:rsidR="004A2E73">
        <w:t xml:space="preserve"> </w:t>
      </w:r>
      <w:r w:rsidRPr="00ED073E">
        <w:t xml:space="preserve">Allowable system adjustments between the first (N-1-0) and second contingency (N-1-1) include: generator redispatch, PAR adjustments, </w:t>
      </w:r>
      <w:r w:rsidRPr="00ED073E">
        <w:lastRenderedPageBreak/>
        <w:t xml:space="preserve">switched shunt adjustments, transformer tap adjustments, and HVDC adjustments. </w:t>
      </w:r>
    </w:p>
    <w:p w14:paraId="6DE52928" w14:textId="77777777" w:rsidR="00E66CCA" w:rsidRPr="00ED073E" w:rsidRDefault="00E66CCA" w:rsidP="00E66CCA">
      <w:pPr>
        <w:pStyle w:val="BodyText"/>
      </w:pPr>
    </w:p>
    <w:p w14:paraId="0B68D9B2" w14:textId="77777777" w:rsidR="00E66CCA" w:rsidRDefault="00E66CCA" w:rsidP="00E66CCA">
      <w:pPr>
        <w:pStyle w:val="Heading3"/>
      </w:pPr>
      <w:bookmarkStart w:id="155" w:name="_Toc81138727"/>
      <w:r>
        <w:t>N-1 Analysis</w:t>
      </w:r>
      <w:bookmarkEnd w:id="155"/>
      <w:r>
        <w:t xml:space="preserve"> </w:t>
      </w:r>
    </w:p>
    <w:p w14:paraId="5074465F" w14:textId="77777777" w:rsidR="00E66CCA" w:rsidRDefault="00E66CCA" w:rsidP="00E66CCA">
      <w:pPr>
        <w:pStyle w:val="BodyText"/>
        <w:rPr>
          <w:lang w:bidi="en-US"/>
        </w:rPr>
      </w:pPr>
      <w:r>
        <w:rPr>
          <w:lang w:bidi="en-US"/>
        </w:rPr>
        <w:t xml:space="preserve">N-1 stability analysis was performed for all six cases.  Under these system conditions no N-1 dynamics criteria violations were observed. </w:t>
      </w:r>
    </w:p>
    <w:p w14:paraId="17BC9A02" w14:textId="77777777" w:rsidR="00E66CCA" w:rsidRDefault="00E66CCA" w:rsidP="00E66CCA">
      <w:pPr>
        <w:pStyle w:val="Heading3"/>
      </w:pPr>
      <w:bookmarkStart w:id="156" w:name="_Toc81138728"/>
      <w:r>
        <w:t>N-1-1 Analysis</w:t>
      </w:r>
      <w:bookmarkEnd w:id="156"/>
    </w:p>
    <w:p w14:paraId="396CFCFE" w14:textId="721EAB48" w:rsidR="00E66CCA" w:rsidRDefault="00E66CCA" w:rsidP="00E66CCA">
      <w:pPr>
        <w:pStyle w:val="BodyText"/>
      </w:pPr>
      <w:r>
        <w:t xml:space="preserve">N-1-1 </w:t>
      </w:r>
      <w:r>
        <w:rPr>
          <w:lang w:bidi="en-US"/>
        </w:rPr>
        <w:t>stability analysis was performed</w:t>
      </w:r>
      <w:r>
        <w:t xml:space="preserve"> for Cases 1, 3, and 6 as these cases have a higher penetration of renewable resources. </w:t>
      </w:r>
      <w:r w:rsidR="004A2E73">
        <w:t xml:space="preserve"> </w:t>
      </w:r>
      <w:r>
        <w:t xml:space="preserve">These cases were selected for N-1-1 analysis based on engineering judgement due to the lower amount of online system inertia inherent with higher penetrations of renewable resources.  </w:t>
      </w:r>
    </w:p>
    <w:p w14:paraId="253273F1" w14:textId="683A7ECC" w:rsidR="00E66CCA" w:rsidRDefault="009041D2" w:rsidP="00E66CCA">
      <w:pPr>
        <w:pStyle w:val="BodyText"/>
      </w:pPr>
      <w:fldSimple w:instr=" REF _Ref77004854 ">
        <w:r w:rsidR="00E66CCA">
          <w:t xml:space="preserve">Figure </w:t>
        </w:r>
        <w:r w:rsidR="00E66CCA">
          <w:rPr>
            <w:noProof/>
          </w:rPr>
          <w:t>8</w:t>
        </w:r>
      </w:fldSimple>
      <w:r w:rsidR="00E66CCA">
        <w:t xml:space="preserve"> </w:t>
      </w:r>
      <w:r w:rsidR="00E66CCA" w:rsidRPr="005125D6">
        <w:t>below lists first event outages for the N-1-1 analysis</w:t>
      </w:r>
      <w:r w:rsidR="00E66CCA">
        <w:t xml:space="preserve"> included in this assessment</w:t>
      </w:r>
      <w:r w:rsidR="00E66CCA" w:rsidRPr="005125D6">
        <w:t>.</w:t>
      </w:r>
      <w:r w:rsidR="00E66CCA">
        <w:t xml:space="preserve"> </w:t>
      </w:r>
      <w:r w:rsidR="004A2E73">
        <w:t xml:space="preserve"> </w:t>
      </w:r>
      <w:r w:rsidR="00E66CCA">
        <w:t>For the first event outages, the loss of key elements that may be impactful to increased penetrations of renewable resources were selected for evaluation based on engineering judgement.  These events include the loss of key transmission paths (such as elements impactful to the Central East interface), the loss of large synchronous generators, and the loss of HVDC.</w:t>
      </w:r>
    </w:p>
    <w:p w14:paraId="1B96ABF6" w14:textId="77777777" w:rsidR="00E66CCA" w:rsidRDefault="00E66CCA" w:rsidP="00E66CCA">
      <w:pPr>
        <w:pStyle w:val="Caption"/>
        <w:rPr>
          <w:rFonts w:ascii="Franklin Gothic Book" w:hAnsi="Franklin Gothic Book"/>
        </w:rPr>
      </w:pPr>
      <w:r>
        <w:t xml:space="preserve">Figure </w:t>
      </w:r>
      <w:fldSimple w:instr=" SEQ Figure \* ARABIC ">
        <w:r>
          <w:rPr>
            <w:noProof/>
          </w:rPr>
          <w:t>8</w:t>
        </w:r>
      </w:fldSimple>
      <w:r>
        <w:t>:  First Level Outage Cases for N-1-1 Analysis</w:t>
      </w:r>
      <w:r w:rsidRPr="000A76C1">
        <w:rPr>
          <w:noProof/>
        </w:rPr>
        <w:drawing>
          <wp:inline distT="0" distB="0" distL="0" distR="0" wp14:anchorId="7A628C60" wp14:editId="31B039C2">
            <wp:extent cx="5442585" cy="1731010"/>
            <wp:effectExtent l="0" t="0" r="5715"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42585" cy="1731010"/>
                    </a:xfrm>
                    <a:prstGeom prst="rect">
                      <a:avLst/>
                    </a:prstGeom>
                    <a:noFill/>
                    <a:ln>
                      <a:noFill/>
                    </a:ln>
                  </pic:spPr>
                </pic:pic>
              </a:graphicData>
            </a:graphic>
          </wp:inline>
        </w:drawing>
      </w:r>
    </w:p>
    <w:p w14:paraId="7E4FB3D0" w14:textId="77777777" w:rsidR="00E66CCA" w:rsidRDefault="00E66CCA" w:rsidP="00E66CCA"/>
    <w:p w14:paraId="52B21C49" w14:textId="77777777" w:rsidR="00E66CCA" w:rsidRDefault="00E66CCA" w:rsidP="00E66CCA">
      <w:pPr>
        <w:pStyle w:val="BodyText"/>
        <w:rPr>
          <w:spacing w:val="-2"/>
          <w:lang w:bidi="en-US"/>
        </w:rPr>
      </w:pPr>
      <w:r>
        <w:t xml:space="preserve">Figure 4 below lists the second level outages for the N-1-1 analysis.  These events in combination with the first level comprise the most severe event combinations. </w:t>
      </w:r>
    </w:p>
    <w:p w14:paraId="15F401C0" w14:textId="20D834E4" w:rsidR="00E66CCA" w:rsidRDefault="00E66CCA" w:rsidP="00E66CCA">
      <w:pPr>
        <w:pStyle w:val="Caption"/>
      </w:pPr>
      <w:r>
        <w:lastRenderedPageBreak/>
        <w:t xml:space="preserve">Figure </w:t>
      </w:r>
      <w:fldSimple w:instr=" SEQ Figure \* ARABIC ">
        <w:r>
          <w:rPr>
            <w:noProof/>
          </w:rPr>
          <w:t>9</w:t>
        </w:r>
      </w:fldSimple>
      <w:r>
        <w:t>:  N-1-1 Second Level Contingencies</w:t>
      </w:r>
    </w:p>
    <w:p w14:paraId="2171CAC6" w14:textId="295A13FE" w:rsidR="00E66CCA" w:rsidRDefault="00E66CCA" w:rsidP="007F4000">
      <w:pPr>
        <w:ind w:left="0" w:firstLine="0"/>
      </w:pPr>
      <w:r>
        <w:rPr>
          <w:noProof/>
          <w:lang w:bidi="ar-SA"/>
        </w:rPr>
        <w:drawing>
          <wp:inline distT="0" distB="0" distL="0" distR="0" wp14:anchorId="7FBDD169" wp14:editId="3C2602C6">
            <wp:extent cx="6400800" cy="5076825"/>
            <wp:effectExtent l="0" t="0" r="0" b="952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Untitled.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6400800" cy="5076825"/>
                    </a:xfrm>
                    <a:prstGeom prst="rect">
                      <a:avLst/>
                    </a:prstGeom>
                  </pic:spPr>
                </pic:pic>
              </a:graphicData>
            </a:graphic>
          </wp:inline>
        </w:drawing>
      </w:r>
    </w:p>
    <w:p w14:paraId="2164100B" w14:textId="77777777" w:rsidR="00E66CCA" w:rsidRPr="007F4000" w:rsidRDefault="00E66CCA" w:rsidP="007F4000">
      <w:pPr>
        <w:ind w:left="0" w:firstLine="0"/>
        <w:rPr>
          <w:lang w:bidi="ar-SA"/>
        </w:rPr>
      </w:pPr>
    </w:p>
    <w:p w14:paraId="4CF3E570" w14:textId="77777777" w:rsidR="00E66CCA" w:rsidRDefault="00E66CCA" w:rsidP="00E66CCA">
      <w:pPr>
        <w:pStyle w:val="BodyText"/>
        <w:rPr>
          <w:lang w:bidi="en-US"/>
        </w:rPr>
      </w:pPr>
      <w:r>
        <w:rPr>
          <w:lang w:bidi="en-US"/>
        </w:rPr>
        <w:t>For the evaluated cases and contingency combinations, the N-1-1 stability analysis indicated no stability issues for any of the simulations.</w:t>
      </w:r>
    </w:p>
    <w:p w14:paraId="43B5C67D" w14:textId="77777777" w:rsidR="00E66CCA" w:rsidRDefault="00E66CCA" w:rsidP="00E66CCA">
      <w:pPr>
        <w:rPr>
          <w:rFonts w:ascii="Franklin Gothic Demi Cond" w:hAnsi="Franklin Gothic Demi Cond"/>
          <w:bCs/>
          <w:color w:val="003D57"/>
          <w:sz w:val="24"/>
          <w:szCs w:val="26"/>
        </w:rPr>
      </w:pPr>
      <w:r>
        <w:br w:type="page"/>
      </w:r>
    </w:p>
    <w:p w14:paraId="2F8C8A38" w14:textId="77777777" w:rsidR="00E66CCA" w:rsidRDefault="00E66CCA" w:rsidP="00E66CCA">
      <w:pPr>
        <w:pStyle w:val="Heading2"/>
      </w:pPr>
      <w:bookmarkStart w:id="157" w:name="_Toc81138729"/>
      <w:r>
        <w:lastRenderedPageBreak/>
        <w:t>Sudden Loss of Off-Shore Wind</w:t>
      </w:r>
      <w:bookmarkEnd w:id="157"/>
    </w:p>
    <w:p w14:paraId="3D9F53E5" w14:textId="77777777" w:rsidR="00E66CCA" w:rsidRDefault="00E66CCA" w:rsidP="00E66CCA">
      <w:pPr>
        <w:pStyle w:val="BodyText"/>
      </w:pPr>
      <w:r>
        <w:t xml:space="preserve">The purpose of this assessment is to evaluate the dynamic system response for the sudden loss of OSW.  As shown in Figure </w:t>
      </w:r>
      <w:r w:rsidRPr="00E4725F">
        <w:rPr>
          <w:bCs w:val="0"/>
          <w:highlight w:val="yellow"/>
        </w:rPr>
        <w:t>XX</w:t>
      </w:r>
      <w:r>
        <w:fldChar w:fldCharType="begin"/>
      </w:r>
      <w:r>
        <w:instrText xml:space="preserve"> REF _Ref77003677  \* MERGEFORMAT </w:instrText>
      </w:r>
      <w:r>
        <w:fldChar w:fldCharType="end"/>
      </w:r>
      <w:r>
        <w:t>, fo</w:t>
      </w:r>
      <w:r w:rsidRPr="00395509">
        <w:t>r</w:t>
      </w:r>
      <w:r>
        <w:t xml:space="preserve"> the</w:t>
      </w:r>
      <w:r w:rsidRPr="00395509">
        <w:t xml:space="preserve"> 70x30 analysis, </w:t>
      </w:r>
      <w:r>
        <w:t xml:space="preserve">a </w:t>
      </w:r>
      <w:r w:rsidRPr="00395509">
        <w:t xml:space="preserve">total </w:t>
      </w:r>
      <w:r>
        <w:t xml:space="preserve">amount of </w:t>
      </w:r>
      <w:r w:rsidRPr="00395509">
        <w:t xml:space="preserve">OSW of 6,098 MW was interconnected to the NYCA system and </w:t>
      </w:r>
      <w:r>
        <w:t>was</w:t>
      </w:r>
      <w:r w:rsidRPr="00395509">
        <w:t xml:space="preserve"> split between New York City (4,320 MW in Zone J) and Long Island (1,778 MW in Zone K). </w:t>
      </w:r>
      <w:r>
        <w:t xml:space="preserve"> The evaluation of the sudden loss of </w:t>
      </w:r>
      <w:proofErr w:type="gramStart"/>
      <w:r>
        <w:t>off-shore</w:t>
      </w:r>
      <w:proofErr w:type="gramEnd"/>
      <w:r>
        <w:t xml:space="preserve"> wind is not predicated on an electrical fault.  Rather this condition is more plausible under weather related conditions.</w:t>
      </w:r>
    </w:p>
    <w:p w14:paraId="246251F5" w14:textId="77777777" w:rsidR="00E66CCA" w:rsidRDefault="00E66CCA" w:rsidP="00E66CCA">
      <w:pPr>
        <w:pStyle w:val="BodyText"/>
      </w:pPr>
      <w:r w:rsidRPr="00395509">
        <w:t xml:space="preserve">In order to evaluate the impact of the </w:t>
      </w:r>
      <w:r>
        <w:t xml:space="preserve">sudden loss of all </w:t>
      </w:r>
      <w:r w:rsidRPr="00395509">
        <w:t xml:space="preserve">OSW, three scenarios were considered for the analysis: Peak Load (Case 1), Light Load (Case 3) and Shoulder Load (Case 6). </w:t>
      </w:r>
      <w:r>
        <w:t xml:space="preserve"> The percentage of dispatch of OSW for each case is shown in </w:t>
      </w:r>
      <w:fldSimple w:instr=" REF _Ref76996194 ">
        <w:r>
          <w:t xml:space="preserve">Figure </w:t>
        </w:r>
        <w:r>
          <w:rPr>
            <w:noProof/>
          </w:rPr>
          <w:t>6</w:t>
        </w:r>
      </w:fldSimple>
      <w:r>
        <w:t>.  For each case, the dynamic response of the system was evaluated under N-1 conditions and N-1-1, with the first level contingency being the loss of Sprain Brook – East Garden City 345 kV (Y49), and the second level contingency being the loss of OSW.</w:t>
      </w:r>
    </w:p>
    <w:p w14:paraId="6AEEEEB5" w14:textId="5362F307" w:rsidR="00E66CCA" w:rsidRDefault="00E66CCA" w:rsidP="00E66CCA">
      <w:pPr>
        <w:pStyle w:val="Heading3"/>
      </w:pPr>
      <w:bookmarkStart w:id="158" w:name="_Toc81138730"/>
      <w:r>
        <w:t>N-1 &amp; N-1-1 Analysis</w:t>
      </w:r>
      <w:bookmarkEnd w:id="158"/>
      <w:r>
        <w:t xml:space="preserve"> </w:t>
      </w:r>
    </w:p>
    <w:p w14:paraId="6B487343" w14:textId="77777777" w:rsidR="00E66CCA" w:rsidRDefault="00E66CCA" w:rsidP="00E66CCA">
      <w:pPr>
        <w:pStyle w:val="BodyText"/>
      </w:pPr>
      <w:r>
        <w:t xml:space="preserve">Under the conditions shown in </w:t>
      </w:r>
      <w:fldSimple w:instr=" REF _Ref76996194 ">
        <w:r>
          <w:t xml:space="preserve">Figure </w:t>
        </w:r>
        <w:r>
          <w:rPr>
            <w:noProof/>
          </w:rPr>
          <w:t>6</w:t>
        </w:r>
      </w:fldSimple>
      <w:r>
        <w:t xml:space="preserve"> (Cases 1, 3, and 6), in all cases the sudden loss of OSW shows a stable system response under N-1 and N-1-1.  As can be seen in </w:t>
      </w:r>
      <w:fldSimple w:instr=" REF _Ref77066285 ">
        <w:r>
          <w:t xml:space="preserve">Figure </w:t>
        </w:r>
        <w:r>
          <w:rPr>
            <w:noProof/>
          </w:rPr>
          <w:t>10</w:t>
        </w:r>
      </w:fldSimple>
      <w:r>
        <w:t xml:space="preserve"> (which provides an example of the changing interface flows under light load conditions in response to the event), to account for the loss of OSW the generators from the Eastern Interconnection provide MW output in respond to the event. </w:t>
      </w:r>
    </w:p>
    <w:p w14:paraId="557AC58D" w14:textId="77777777" w:rsidR="00E66CCA" w:rsidRPr="003D5E7E" w:rsidRDefault="00E66CCA" w:rsidP="00E66CCA">
      <w:pPr>
        <w:pStyle w:val="Caption"/>
        <w:rPr>
          <w:rFonts w:ascii="Cambria" w:hAnsi="Cambria"/>
          <w:sz w:val="22"/>
        </w:rPr>
      </w:pPr>
      <w:r>
        <w:t xml:space="preserve">Figure </w:t>
      </w:r>
      <w:fldSimple w:instr=" SEQ Figure \* ARABIC ">
        <w:r>
          <w:rPr>
            <w:noProof/>
          </w:rPr>
          <w:t>10</w:t>
        </w:r>
      </w:fldSimple>
      <w:r>
        <w:t>:  Light Load Interface Flows for the Loss of Off-Shore Wind (Base Output)</w:t>
      </w:r>
      <w:r w:rsidRPr="003D5E7E">
        <w:rPr>
          <w:rFonts w:ascii="Cambria" w:hAnsi="Cambria"/>
          <w:noProof/>
        </w:rPr>
        <w:drawing>
          <wp:inline distT="0" distB="0" distL="0" distR="0" wp14:anchorId="0337D899" wp14:editId="107D1ED5">
            <wp:extent cx="5943600" cy="1876425"/>
            <wp:effectExtent l="19050" t="19050" r="19050" b="285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1876425"/>
                    </a:xfrm>
                    <a:prstGeom prst="rect">
                      <a:avLst/>
                    </a:prstGeom>
                    <a:ln>
                      <a:solidFill>
                        <a:schemeClr val="tx1"/>
                      </a:solidFill>
                    </a:ln>
                  </pic:spPr>
                </pic:pic>
              </a:graphicData>
            </a:graphic>
          </wp:inline>
        </w:drawing>
      </w:r>
    </w:p>
    <w:p w14:paraId="61F9A7EF" w14:textId="77777777" w:rsidR="00E66CCA" w:rsidRDefault="00E66CCA" w:rsidP="00E66CCA">
      <w:pPr>
        <w:pStyle w:val="Heading3"/>
      </w:pPr>
      <w:bookmarkStart w:id="159" w:name="_Toc81138731"/>
      <w:r>
        <w:t>N-1 &amp; N-1-1 Analysis (Off-Shore Wind at Maximum Output)</w:t>
      </w:r>
      <w:bookmarkEnd w:id="159"/>
    </w:p>
    <w:p w14:paraId="41AC6360" w14:textId="0F49B045" w:rsidR="00E66CCA" w:rsidRPr="0064043B" w:rsidRDefault="0040021B" w:rsidP="00E66CCA">
      <w:pPr>
        <w:pStyle w:val="BodyText"/>
      </w:pPr>
      <w:r>
        <w:t xml:space="preserve">As depicted in Figure 6, </w:t>
      </w:r>
      <w:r w:rsidR="00E66CCA">
        <w:t>the N-1 and N-1-1 analyses under base OSW output conditions</w:t>
      </w:r>
      <w:r>
        <w:t xml:space="preserve"> </w:t>
      </w:r>
      <w:r w:rsidR="00E66CCA">
        <w:t>showed a stable system response</w:t>
      </w:r>
      <w:r>
        <w:t>.  Therefore</w:t>
      </w:r>
      <w:r w:rsidR="00E66CCA">
        <w:t xml:space="preserve">, further investigation was performed to evaluate the dynamic response of the system with OSW at maximum output.  </w:t>
      </w:r>
      <w:r w:rsidR="00E66CCA" w:rsidRPr="0064043B">
        <w:t xml:space="preserve">To create the condition of full OSW output, </w:t>
      </w:r>
      <w:r w:rsidR="00E66CCA">
        <w:t xml:space="preserve">the output of </w:t>
      </w:r>
      <w:proofErr w:type="gramStart"/>
      <w:r w:rsidR="00E66CCA" w:rsidRPr="0064043B">
        <w:t>fossil based</w:t>
      </w:r>
      <w:proofErr w:type="gramEnd"/>
      <w:r w:rsidR="00E66CCA" w:rsidRPr="0064043B">
        <w:t xml:space="preserve"> generation in New York City and Long Island was reduced.  These dispatch adjustments result in N-0 thermal violations and PARs hitting angle limits.  For this analysis these issues were ignored.</w:t>
      </w:r>
    </w:p>
    <w:p w14:paraId="0D6D34C4" w14:textId="77777777" w:rsidR="00E66CCA" w:rsidRDefault="00E66CCA" w:rsidP="00E66CCA">
      <w:pPr>
        <w:pStyle w:val="BodyText"/>
      </w:pPr>
      <w:r>
        <w:t xml:space="preserve">With OSW at full output, in all cases the sudden loss of OSW also shows a stable system response.  </w:t>
      </w:r>
      <w:r>
        <w:lastRenderedPageBreak/>
        <w:t xml:space="preserve">However, as shown in </w:t>
      </w:r>
      <w:fldSimple w:instr=" REF _Ref77066777 ">
        <w:r>
          <w:t xml:space="preserve">Figure </w:t>
        </w:r>
        <w:r>
          <w:rPr>
            <w:noProof/>
          </w:rPr>
          <w:t>11</w:t>
        </w:r>
      </w:fldSimple>
      <w:r>
        <w:t xml:space="preserve"> the amount of MW flows across the NYCA interfaces has significantly increased as compared to the OSW base output conditions.  There is also a noticeable degradation in the frequency response of the system when comparing the conditions shown in </w:t>
      </w:r>
      <w:fldSimple w:instr=" REF _Ref76996194 ">
        <w:r>
          <w:t xml:space="preserve">Figure </w:t>
        </w:r>
        <w:r>
          <w:rPr>
            <w:noProof/>
          </w:rPr>
          <w:t>6</w:t>
        </w:r>
      </w:fldSimple>
      <w:r>
        <w:t xml:space="preserve"> as compared to the condition with OSW at maximum capability.  </w:t>
      </w:r>
    </w:p>
    <w:p w14:paraId="318E0358" w14:textId="3DC4B09B" w:rsidR="00E66CCA" w:rsidRDefault="00E66CCA" w:rsidP="00E66CCA">
      <w:pPr>
        <w:pStyle w:val="Caption"/>
      </w:pPr>
      <w:r>
        <w:t xml:space="preserve">Figure </w:t>
      </w:r>
      <w:fldSimple w:instr=" SEQ Figure \* ARABIC ">
        <w:r>
          <w:rPr>
            <w:noProof/>
          </w:rPr>
          <w:t>11</w:t>
        </w:r>
      </w:fldSimple>
      <w:r>
        <w:t>:  Light Load interface Flows for the Loss of Off-Shore Wind (Maximum Output)</w:t>
      </w:r>
      <w:r w:rsidRPr="00C41A65">
        <w:rPr>
          <w:rFonts w:ascii="Times New Roman" w:hAnsi="Times New Roman"/>
          <w:noProof/>
        </w:rPr>
        <w:drawing>
          <wp:inline distT="0" distB="0" distL="0" distR="0" wp14:anchorId="2B147C2B" wp14:editId="4BEC3D3C">
            <wp:extent cx="5943600" cy="2576830"/>
            <wp:effectExtent l="19050" t="19050" r="19050" b="1397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2576830"/>
                    </a:xfrm>
                    <a:prstGeom prst="rect">
                      <a:avLst/>
                    </a:prstGeom>
                    <a:ln>
                      <a:solidFill>
                        <a:schemeClr val="tx1"/>
                      </a:solidFill>
                    </a:ln>
                  </pic:spPr>
                </pic:pic>
              </a:graphicData>
            </a:graphic>
          </wp:inline>
        </w:drawing>
      </w:r>
    </w:p>
    <w:p w14:paraId="3DB7EF18" w14:textId="77777777" w:rsidR="00043B9C" w:rsidRPr="00102F14" w:rsidRDefault="00043B9C" w:rsidP="0031764F"/>
    <w:p w14:paraId="30230D07" w14:textId="7E6FA730" w:rsidR="00E66CCA" w:rsidRDefault="00E66CCA" w:rsidP="00E66CCA">
      <w:pPr>
        <w:pStyle w:val="Heading3"/>
      </w:pPr>
      <w:bookmarkStart w:id="160" w:name="_Toc81138732"/>
      <w:r>
        <w:t>System Frequency Response for the Sudden Loss of Off-Shore Wind</w:t>
      </w:r>
      <w:bookmarkEnd w:id="160"/>
    </w:p>
    <w:p w14:paraId="4BB79903" w14:textId="77777777" w:rsidR="00E66CCA" w:rsidRDefault="00E66CCA" w:rsidP="00E66CCA"/>
    <w:p w14:paraId="5D75EF44" w14:textId="77777777" w:rsidR="00E66CCA" w:rsidRPr="00E4725F" w:rsidRDefault="00E66CCA" w:rsidP="00E66CCA">
      <w:pPr>
        <w:pStyle w:val="Heading4"/>
      </w:pPr>
      <w:r w:rsidRPr="00E4725F">
        <w:rPr>
          <w:i w:val="0"/>
        </w:rPr>
        <w:t>Background on Frequency Response</w:t>
      </w:r>
    </w:p>
    <w:p w14:paraId="1068E21E" w14:textId="77777777" w:rsidR="00E66CCA" w:rsidRPr="004D17B7" w:rsidRDefault="00E66CCA" w:rsidP="00E66CCA">
      <w:pPr>
        <w:pStyle w:val="BodyText"/>
      </w:pPr>
      <w:r w:rsidRPr="004D17B7">
        <w:t>Maintaining system frequency within appropriate bounds is an essential measure to the reliable operation of the system.</w:t>
      </w:r>
      <w:r w:rsidRPr="004D17B7">
        <w:rPr>
          <w:vertAlign w:val="superscript"/>
        </w:rPr>
        <w:footnoteReference w:id="44"/>
      </w:r>
      <w:r w:rsidRPr="004D17B7">
        <w:t xml:space="preserve"> At the most basic level, frequency is maintained at 60 Hz when load and generation on the system is perfectly balanced.  For normal state operation, the frequency of the system is not less than 59.95 Hz or greater than 60.05 Hz.</w:t>
      </w:r>
      <w:r w:rsidRPr="004D17B7">
        <w:rPr>
          <w:vertAlign w:val="superscript"/>
        </w:rPr>
        <w:footnoteReference w:id="45"/>
      </w:r>
      <w:r w:rsidRPr="004D17B7">
        <w:t xml:space="preserve"> Additionally, it is critical to keep the frequency response above the Under-Frequency Load Shedding (UFLS) thresholds</w:t>
      </w:r>
      <w:r w:rsidRPr="004D17B7">
        <w:rPr>
          <w:vertAlign w:val="superscript"/>
        </w:rPr>
        <w:footnoteReference w:id="46"/>
      </w:r>
      <w:r w:rsidRPr="004D17B7">
        <w:rPr>
          <w:vertAlign w:val="superscript"/>
        </w:rPr>
        <w:t xml:space="preserve"> </w:t>
      </w:r>
      <w:r w:rsidRPr="004D17B7">
        <w:t>so that load is not tripped.</w:t>
      </w:r>
      <w:r w:rsidRPr="004D17B7">
        <w:rPr>
          <w:vertAlign w:val="superscript"/>
        </w:rPr>
        <w:footnoteReference w:id="47"/>
      </w:r>
      <w:r w:rsidRPr="004D17B7">
        <w:rPr>
          <w:vertAlign w:val="superscript"/>
        </w:rPr>
        <w:t xml:space="preserve"> </w:t>
      </w:r>
      <w:r w:rsidRPr="004D17B7">
        <w:t xml:space="preserve"> </w:t>
      </w:r>
    </w:p>
    <w:p w14:paraId="22B74748" w14:textId="77777777" w:rsidR="00E66CCA" w:rsidRPr="004D17B7" w:rsidRDefault="00E66CCA" w:rsidP="00E66CCA">
      <w:pPr>
        <w:pStyle w:val="Caption"/>
        <w:rPr>
          <w:rFonts w:ascii="Cambria" w:hAnsi="Cambria"/>
          <w:sz w:val="22"/>
        </w:rPr>
      </w:pPr>
      <w:r>
        <w:lastRenderedPageBreak/>
        <w:t xml:space="preserve">Figure </w:t>
      </w:r>
      <w:fldSimple w:instr=" SEQ Figure \* ARABIC ">
        <w:r>
          <w:rPr>
            <w:noProof/>
          </w:rPr>
          <w:t>12</w:t>
        </w:r>
      </w:fldSimple>
      <w:r>
        <w:t>:  Frequency Response Characteristics</w:t>
      </w:r>
      <w:r>
        <w:rPr>
          <w:rStyle w:val="FootnoteReference"/>
        </w:rPr>
        <w:footnoteReference w:id="48"/>
      </w:r>
      <w:r w:rsidRPr="004D17B7">
        <w:rPr>
          <w:rFonts w:ascii="Cambria" w:hAnsi="Cambria"/>
          <w:noProof/>
        </w:rPr>
        <w:drawing>
          <wp:inline distT="0" distB="0" distL="0" distR="0" wp14:anchorId="40F608CE" wp14:editId="39BC90CA">
            <wp:extent cx="3981450" cy="2809875"/>
            <wp:effectExtent l="19050" t="19050" r="19050" b="285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981450" cy="2809875"/>
                    </a:xfrm>
                    <a:prstGeom prst="rect">
                      <a:avLst/>
                    </a:prstGeom>
                    <a:ln>
                      <a:solidFill>
                        <a:schemeClr val="tx1"/>
                      </a:solidFill>
                    </a:ln>
                  </pic:spPr>
                </pic:pic>
              </a:graphicData>
            </a:graphic>
          </wp:inline>
        </w:drawing>
      </w:r>
    </w:p>
    <w:p w14:paraId="6C365957" w14:textId="48C492BE" w:rsidR="00E66CCA" w:rsidRPr="004D17B7" w:rsidRDefault="00E66CCA" w:rsidP="00E66CCA">
      <w:pPr>
        <w:pStyle w:val="BodyText"/>
      </w:pPr>
      <w:r w:rsidRPr="004D17B7">
        <w:t>Upon loss of a large generation facility</w:t>
      </w:r>
      <w:r>
        <w:t>,</w:t>
      </w:r>
      <w:r w:rsidRPr="004D17B7">
        <w:t xml:space="preserve"> the frequency response on the system will immediately fall</w:t>
      </w:r>
      <w:r>
        <w:t>,</w:t>
      </w:r>
      <w:r w:rsidRPr="004D17B7">
        <w:t xml:space="preserve"> requiring a fast response to slow the rate of frequency decline and restore the system back to normal conditions.  A visual description of the characteristics of frequency response is provided in</w:t>
      </w:r>
      <w:r>
        <w:t xml:space="preserve"> </w:t>
      </w:r>
      <w:fldSimple w:instr=" REF _Ref77067554 ">
        <w:r>
          <w:t xml:space="preserve">Figure </w:t>
        </w:r>
        <w:r>
          <w:rPr>
            <w:noProof/>
          </w:rPr>
          <w:t>12</w:t>
        </w:r>
      </w:fldSimple>
      <w:r w:rsidRPr="004D17B7">
        <w:t xml:space="preserve">.  Point “A” in </w:t>
      </w:r>
      <w:fldSimple w:instr=" REF _Ref77067554 ">
        <w:r>
          <w:t xml:space="preserve">Figure </w:t>
        </w:r>
        <w:r>
          <w:rPr>
            <w:noProof/>
          </w:rPr>
          <w:t>12</w:t>
        </w:r>
      </w:fldSimple>
      <w:r>
        <w:t xml:space="preserve"> </w:t>
      </w:r>
      <w:r w:rsidRPr="004D17B7">
        <w:t xml:space="preserve">is the pre-disturbance frequency (at 60 Hz).  The period between the time of the disturbance and the lowest frequency at point “C” (or frequency nadir) is called the arresting period (shown in blue).  </w:t>
      </w:r>
      <w:r w:rsidR="004A2E73">
        <w:t xml:space="preserve"> </w:t>
      </w:r>
      <w:r w:rsidRPr="004D17B7">
        <w:t xml:space="preserve">The nadir point shown in </w:t>
      </w:r>
      <w:fldSimple w:instr=" REF _Ref77067554 ">
        <w:r>
          <w:t xml:space="preserve">Figure </w:t>
        </w:r>
        <w:r>
          <w:rPr>
            <w:noProof/>
          </w:rPr>
          <w:t>12</w:t>
        </w:r>
      </w:fldSimple>
      <w:r>
        <w:t xml:space="preserve"> </w:t>
      </w:r>
      <w:r w:rsidRPr="004D17B7">
        <w:t xml:space="preserve">is 59.9 Hz. </w:t>
      </w:r>
      <w:r>
        <w:t xml:space="preserve"> </w:t>
      </w:r>
      <w:r w:rsidRPr="004D17B7">
        <w:t>As rotating machines slow down (shown as a frequency decline) the generator governors sense this change in speed and act to increase the speed of the generator.</w:t>
      </w:r>
      <w:r w:rsidRPr="004D17B7">
        <w:rPr>
          <w:vertAlign w:val="superscript"/>
        </w:rPr>
        <w:footnoteReference w:id="49"/>
      </w:r>
      <w:r w:rsidRPr="004D17B7">
        <w:t xml:space="preserve"> In order to arrest the frequency decline the governor response must offset the power deficit and replace the balancing power that had extracted inertial energy from the rotating machines of the interconnection.  When the balance of power is re-established (called the “nadir”), primary response resources continue to provide additional power to the system.  </w:t>
      </w:r>
    </w:p>
    <w:p w14:paraId="7C0E43AE" w14:textId="77777777" w:rsidR="00E66CCA" w:rsidRPr="004D17B7" w:rsidRDefault="00E66CCA" w:rsidP="00E66CCA">
      <w:pPr>
        <w:pStyle w:val="BodyText"/>
      </w:pPr>
      <w:r w:rsidRPr="004D17B7">
        <w:t>Primary frequency control (or primary frequency response) is the response of generation and load to arrest local changes in frequency.  This state of frequency response is automatic and begins moments after an event</w:t>
      </w:r>
      <w:r>
        <w:t>,</w:t>
      </w:r>
      <w:r w:rsidRPr="004D17B7">
        <w:t xml:space="preserve"> such as loss of generation</w:t>
      </w:r>
      <w:r>
        <w:t>,</w:t>
      </w:r>
      <w:r w:rsidRPr="004D17B7">
        <w:t xml:space="preserve"> occurs on the system.  The initial rate at which the frequency declines </w:t>
      </w:r>
      <w:proofErr w:type="gramStart"/>
      <w:r w:rsidRPr="004D17B7">
        <w:t>depends</w:t>
      </w:r>
      <w:proofErr w:type="gramEnd"/>
      <w:r w:rsidRPr="004D17B7">
        <w:t xml:space="preserve"> on the amount of inertial response of the system at the time of the event.  The inertial response depends on the available kinetic energy provided by rotating machines</w:t>
      </w:r>
      <w:r>
        <w:t>,</w:t>
      </w:r>
      <w:r w:rsidRPr="004D17B7">
        <w:t xml:space="preserve"> such as synchronous generation and </w:t>
      </w:r>
      <w:r w:rsidRPr="004D17B7">
        <w:lastRenderedPageBreak/>
        <w:t>load</w:t>
      </w:r>
      <w:r>
        <w:t>,</w:t>
      </w:r>
      <w:r w:rsidRPr="004D17B7">
        <w:t xml:space="preserve"> as well as governor response.</w:t>
      </w:r>
      <w:r w:rsidRPr="004D17B7">
        <w:rPr>
          <w:vertAlign w:val="superscript"/>
        </w:rPr>
        <w:footnoteReference w:id="50"/>
      </w:r>
      <w:r w:rsidRPr="004D17B7">
        <w:t xml:space="preserve">  Inertia constants (H) are provided for individual </w:t>
      </w:r>
      <w:proofErr w:type="gramStart"/>
      <w:r w:rsidRPr="004D17B7">
        <w:t>machines, but</w:t>
      </w:r>
      <w:proofErr w:type="gramEnd"/>
      <w:r w:rsidRPr="004D17B7">
        <w:t xml:space="preserve"> can also be calculated for an equivalent system-wide H (or </w:t>
      </w:r>
      <w:proofErr w:type="spellStart"/>
      <w:r w:rsidRPr="004D17B7">
        <w:t>Heq</w:t>
      </w:r>
      <w:proofErr w:type="spellEnd"/>
      <w:r w:rsidRPr="004D17B7">
        <w:t xml:space="preserve">).  As shown in </w:t>
      </w:r>
      <w:r>
        <w:t>the equation below</w:t>
      </w:r>
      <w:r w:rsidRPr="004D17B7">
        <w:t>, the equivalent system inertia is ratio of Total Inertia of the System (sum of the product of Base MVA and Inertia Constant for each generator) to Total MVA Base of the System (sum of the Base MVA for each generator).</w:t>
      </w:r>
      <w:r>
        <w:t xml:space="preserve">  Typical inertia constants for different types of generators </w:t>
      </w:r>
      <w:proofErr w:type="gramStart"/>
      <w:r>
        <w:t>is</w:t>
      </w:r>
      <w:proofErr w:type="gramEnd"/>
      <w:r>
        <w:t xml:space="preserve"> shown in </w:t>
      </w:r>
      <w:fldSimple w:instr=" REF _Ref79492758 ">
        <w:r>
          <w:t xml:space="preserve">Figure </w:t>
        </w:r>
        <w:r>
          <w:rPr>
            <w:noProof/>
          </w:rPr>
          <w:t>13</w:t>
        </w:r>
      </w:fldSimple>
      <w:r>
        <w:t>.</w:t>
      </w:r>
      <w:r>
        <w:rPr>
          <w:rStyle w:val="FootnoteReference"/>
        </w:rPr>
        <w:footnoteReference w:id="51"/>
      </w:r>
      <w:r w:rsidRPr="004D17B7">
        <w:t xml:space="preserve"> </w:t>
      </w:r>
    </w:p>
    <w:p w14:paraId="4A476BC3" w14:textId="77777777" w:rsidR="00E66CCA" w:rsidRPr="004D17B7" w:rsidRDefault="0008271B" w:rsidP="00E66CCA">
      <w:pPr>
        <w:pStyle w:val="BodyText"/>
      </w:pPr>
      <m:oMathPara>
        <m:oMathParaPr>
          <m:jc m:val="center"/>
        </m:oMathParaPr>
        <m:oMath>
          <m:sSub>
            <m:sSubPr>
              <m:ctrlPr>
                <w:rPr>
                  <w:rFonts w:ascii="Cambria Math" w:hAnsi="Cambria Math"/>
                </w:rPr>
              </m:ctrlPr>
            </m:sSubPr>
            <m:e>
              <m:r>
                <w:rPr>
                  <w:rFonts w:ascii="Cambria Math" w:hAnsi="Cambria Math"/>
                </w:rPr>
                <m:t>H</m:t>
              </m:r>
            </m:e>
            <m:sub>
              <m:r>
                <w:rPr>
                  <w:rFonts w:ascii="Cambria Math" w:hAnsi="Cambria Math"/>
                </w:rPr>
                <m:t>eq</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sub>
                <m:sup>
                  <m:r>
                    <w:rPr>
                      <w:rFonts w:ascii="Cambria Math" w:hAnsi="Cambria Math"/>
                    </w:rPr>
                    <m:t>n</m:t>
                  </m:r>
                </m:sup>
                <m:e>
                  <m:sSub>
                    <m:sSubPr>
                      <m:ctrlPr>
                        <w:rPr>
                          <w:rFonts w:ascii="Cambria Math" w:hAnsi="Cambria Math"/>
                        </w:rPr>
                      </m:ctrlPr>
                    </m:sSubPr>
                    <m:e>
                      <m:r>
                        <w:rPr>
                          <w:rFonts w:ascii="Cambria Math" w:hAnsi="Cambria Math"/>
                        </w:rPr>
                        <m:t>H</m:t>
                      </m:r>
                    </m:e>
                    <m:sub>
                      <m:sSup>
                        <m:sSupPr>
                          <m:ctrlPr>
                            <w:rPr>
                              <w:rFonts w:ascii="Cambria Math" w:hAnsi="Cambria Math"/>
                            </w:rPr>
                          </m:ctrlPr>
                        </m:sSupPr>
                        <m:e>
                          <m:r>
                            <w:rPr>
                              <w:rFonts w:ascii="Cambria Math" w:hAnsi="Cambria Math"/>
                            </w:rPr>
                            <m:t>i</m:t>
                          </m:r>
                        </m:e>
                        <m:sup>
                          <m:r>
                            <m:rPr>
                              <m:sty m:val="p"/>
                            </m:rPr>
                            <w:rPr>
                              <w:rFonts w:ascii="Cambria Math" w:hAnsi="Cambria Math"/>
                            </w:rPr>
                            <m:t>*</m:t>
                          </m:r>
                        </m:sup>
                      </m:sSup>
                    </m:sub>
                  </m:sSub>
                  <m:r>
                    <w:rPr>
                      <w:rFonts w:ascii="Cambria Math" w:hAnsi="Cambria Math"/>
                    </w:rPr>
                    <m:t>MBAS</m:t>
                  </m:r>
                  <m:sSub>
                    <m:sSubPr>
                      <m:ctrlPr>
                        <w:rPr>
                          <w:rFonts w:ascii="Cambria Math" w:hAnsi="Cambria Math"/>
                        </w:rPr>
                      </m:ctrlPr>
                    </m:sSubPr>
                    <m:e>
                      <m:r>
                        <w:rPr>
                          <w:rFonts w:ascii="Cambria Math" w:hAnsi="Cambria Math"/>
                        </w:rPr>
                        <m:t>E</m:t>
                      </m:r>
                    </m:e>
                    <m:sub>
                      <m:r>
                        <w:rPr>
                          <w:rFonts w:ascii="Cambria Math" w:hAnsi="Cambria Math"/>
                        </w:rPr>
                        <m:t>i</m:t>
                      </m:r>
                    </m:sub>
                  </m:sSub>
                </m:e>
              </m:nary>
            </m:num>
            <m:den>
              <m:nary>
                <m:naryPr>
                  <m:chr m:val="∑"/>
                  <m:limLoc m:val="undOvr"/>
                  <m:ctrlPr>
                    <w:rPr>
                      <w:rFonts w:ascii="Cambria Math" w:hAnsi="Cambria Math"/>
                    </w:rPr>
                  </m:ctrlPr>
                </m:naryPr>
                <m:sub>
                  <m:r>
                    <w:rPr>
                      <w:rFonts w:ascii="Cambria Math" w:hAnsi="Cambria Math"/>
                    </w:rPr>
                    <m:t>i</m:t>
                  </m:r>
                </m:sub>
                <m:sup>
                  <m:r>
                    <w:rPr>
                      <w:rFonts w:ascii="Cambria Math" w:hAnsi="Cambria Math"/>
                    </w:rPr>
                    <m:t>n</m:t>
                  </m:r>
                </m:sup>
                <m:e>
                  <m:r>
                    <w:rPr>
                      <w:rFonts w:ascii="Cambria Math" w:hAnsi="Cambria Math"/>
                    </w:rPr>
                    <m:t>MBAS</m:t>
                  </m:r>
                  <m:sSub>
                    <m:sSubPr>
                      <m:ctrlPr>
                        <w:rPr>
                          <w:rFonts w:ascii="Cambria Math" w:hAnsi="Cambria Math"/>
                        </w:rPr>
                      </m:ctrlPr>
                    </m:sSubPr>
                    <m:e>
                      <m:r>
                        <w:rPr>
                          <w:rFonts w:ascii="Cambria Math" w:hAnsi="Cambria Math"/>
                        </w:rPr>
                        <m:t>E</m:t>
                      </m:r>
                    </m:e>
                    <m:sub>
                      <m:r>
                        <w:rPr>
                          <w:rFonts w:ascii="Cambria Math" w:hAnsi="Cambria Math"/>
                        </w:rPr>
                        <m:t>i</m:t>
                      </m:r>
                    </m:sub>
                  </m:sSub>
                </m:e>
              </m:nary>
            </m:den>
          </m:f>
        </m:oMath>
      </m:oMathPara>
    </w:p>
    <w:p w14:paraId="30FDF3EE" w14:textId="77777777" w:rsidR="00E66CCA" w:rsidRDefault="00E66CCA" w:rsidP="00E66CCA">
      <w:pPr>
        <w:pStyle w:val="Caption"/>
      </w:pPr>
      <w:r>
        <w:t xml:space="preserve">Figure </w:t>
      </w:r>
      <w:fldSimple w:instr=" SEQ Figure \* ARABIC ">
        <w:r>
          <w:rPr>
            <w:noProof/>
          </w:rPr>
          <w:t>13</w:t>
        </w:r>
      </w:fldSimple>
      <w:r>
        <w:t>:  Typical Inertia Constant (H) Range</w:t>
      </w:r>
      <w:r>
        <w:rPr>
          <w:noProof/>
        </w:rPr>
        <w:drawing>
          <wp:inline distT="0" distB="0" distL="0" distR="0" wp14:anchorId="120B79F1" wp14:editId="5D51BCE2">
            <wp:extent cx="4333188" cy="2926080"/>
            <wp:effectExtent l="0" t="0" r="0" b="762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st.png"/>
                    <pic:cNvPicPr/>
                  </pic:nvPicPr>
                  <pic:blipFill>
                    <a:blip r:embed="rId149">
                      <a:extLst>
                        <a:ext uri="{28A0092B-C50C-407E-A947-70E740481C1C}">
                          <a14:useLocalDpi xmlns:a14="http://schemas.microsoft.com/office/drawing/2010/main" val="0"/>
                        </a:ext>
                      </a:extLst>
                    </a:blip>
                    <a:stretch>
                      <a:fillRect/>
                    </a:stretch>
                  </pic:blipFill>
                  <pic:spPr>
                    <a:xfrm>
                      <a:off x="0" y="0"/>
                      <a:ext cx="4333188" cy="2926080"/>
                    </a:xfrm>
                    <a:prstGeom prst="rect">
                      <a:avLst/>
                    </a:prstGeom>
                  </pic:spPr>
                </pic:pic>
              </a:graphicData>
            </a:graphic>
          </wp:inline>
        </w:drawing>
      </w:r>
    </w:p>
    <w:p w14:paraId="1983AE01" w14:textId="77777777" w:rsidR="00E66CCA" w:rsidRPr="004D17B7" w:rsidRDefault="00E66CCA" w:rsidP="00E66CCA">
      <w:pPr>
        <w:pStyle w:val="BodyText"/>
      </w:pPr>
      <w:r w:rsidRPr="004D17B7">
        <w:t>The behavior of the frequency through the rebound, stabilizing, and recovery periods depends on the behavior of primary and secondary frequency control action as well as other system characteristics</w:t>
      </w:r>
      <w:r>
        <w:t>,</w:t>
      </w:r>
      <w:r w:rsidRPr="004D17B7">
        <w:t xml:space="preserve"> such as the behavior of load, </w:t>
      </w:r>
      <w:r>
        <w:t xml:space="preserve">and </w:t>
      </w:r>
      <w:r w:rsidRPr="004D17B7">
        <w:t xml:space="preserve">bus voltages.  The frequency behavior shown in </w:t>
      </w:r>
      <w:fldSimple w:instr=" REF _Ref77067554 ">
        <w:r>
          <w:t xml:space="preserve">Figure </w:t>
        </w:r>
        <w:r>
          <w:rPr>
            <w:noProof/>
          </w:rPr>
          <w:t>12</w:t>
        </w:r>
      </w:fldSimple>
      <w:r>
        <w:t xml:space="preserve"> </w:t>
      </w:r>
      <w:r w:rsidRPr="004D17B7">
        <w:t xml:space="preserve">between points “C” and “B” is the rebound period.  The frequency during the rebound period is primarily driven by the governor response of generators.  Governor response is primarily driven by its droop settings and </w:t>
      </w:r>
      <w:proofErr w:type="spellStart"/>
      <w:r w:rsidRPr="004D17B7">
        <w:t>deadband</w:t>
      </w:r>
      <w:proofErr w:type="spellEnd"/>
      <w:r w:rsidRPr="004D17B7">
        <w:t>.  The droop setting of a generator is defined by the frequency change that is necessary to cause the generator to operate from no output to full output</w:t>
      </w:r>
      <w:r>
        <w:t xml:space="preserve">.  For example, </w:t>
      </w:r>
      <w:r w:rsidRPr="004D17B7">
        <w:t>a</w:t>
      </w:r>
      <w:r>
        <w:t xml:space="preserve"> three percent</w:t>
      </w:r>
      <w:r w:rsidRPr="004D17B7">
        <w:t xml:space="preserve"> droop characteristic means that a </w:t>
      </w:r>
      <w:r>
        <w:t>three percent</w:t>
      </w:r>
      <w:r w:rsidRPr="004D17B7">
        <w:t xml:space="preserve">% change in frequency causes a generator to move from full output to no output and vice versa.  </w:t>
      </w:r>
      <w:proofErr w:type="spellStart"/>
      <w:r w:rsidRPr="004D17B7">
        <w:lastRenderedPageBreak/>
        <w:t>Deadband</w:t>
      </w:r>
      <w:proofErr w:type="spellEnd"/>
      <w:r w:rsidRPr="004D17B7">
        <w:t xml:space="preserve"> is the amount of frequency change that a generator must see before the governor will respond. NERC recommend</w:t>
      </w:r>
      <w:r>
        <w:t>s</w:t>
      </w:r>
      <w:r w:rsidRPr="004D17B7">
        <w:t xml:space="preserve"> </w:t>
      </w:r>
      <w:proofErr w:type="spellStart"/>
      <w:r w:rsidRPr="004D17B7">
        <w:t>deadband</w:t>
      </w:r>
      <w:proofErr w:type="spellEnd"/>
      <w:r w:rsidRPr="004D17B7">
        <w:t xml:space="preserve"> settings should not exceed ±36 </w:t>
      </w:r>
      <w:proofErr w:type="spellStart"/>
      <w:r w:rsidRPr="004D17B7">
        <w:t>mHz</w:t>
      </w:r>
      <w:proofErr w:type="spellEnd"/>
      <w:r w:rsidRPr="004D17B7">
        <w:t xml:space="preserve"> and droop settings of no more than </w:t>
      </w:r>
      <w:r>
        <w:t>five percent</w:t>
      </w:r>
      <w:r w:rsidRPr="004D17B7">
        <w:t>.</w:t>
      </w:r>
    </w:p>
    <w:p w14:paraId="6BB72D35" w14:textId="77777777" w:rsidR="00E66CCA" w:rsidRPr="004D17B7" w:rsidRDefault="00E66CCA" w:rsidP="00E66CCA">
      <w:pPr>
        <w:pStyle w:val="BodyText"/>
      </w:pPr>
      <w:r w:rsidRPr="004D17B7">
        <w:t>The overall responsiveness of a generator during the rebound period also depends on other plant control factors.  For example, the early withdrawal of primary frequency response by generators returning to their original basepoints (</w:t>
      </w:r>
      <w:r w:rsidRPr="00E4725F">
        <w:t>i.e</w:t>
      </w:r>
      <w:r w:rsidRPr="00E4725F">
        <w:rPr>
          <w:i/>
        </w:rPr>
        <w:t>.,</w:t>
      </w:r>
      <w:r w:rsidRPr="00E4725F">
        <w:t xml:space="preserve"> </w:t>
      </w:r>
      <w:r w:rsidRPr="004D17B7">
        <w:t xml:space="preserve">generators that have a squelched governor response) will slow the frequency recovery. According to Eastern Interconnection Reliability Assessment Group’s (ERAG) Multi-Regional Modeling Working Group (MMWG) Procedure Manual, </w:t>
      </w:r>
      <w:r>
        <w:t>a generators governor response is</w:t>
      </w:r>
      <w:r w:rsidRPr="004D17B7">
        <w:t xml:space="preserve"> assigned one of the three classifications: </w:t>
      </w:r>
    </w:p>
    <w:p w14:paraId="6D4E4A14" w14:textId="77777777" w:rsidR="00E66CCA" w:rsidRPr="004D17B7" w:rsidRDefault="00E66CCA" w:rsidP="00E66CCA">
      <w:pPr>
        <w:pStyle w:val="BodyText"/>
      </w:pPr>
      <w:r w:rsidRPr="004D17B7">
        <w:t xml:space="preserve">Full Responsive: The generator is sensitive to system frequency and will response according to the change in system frequency based on the model settings. </w:t>
      </w:r>
    </w:p>
    <w:p w14:paraId="6F7CDCF8" w14:textId="77777777" w:rsidR="00E66CCA" w:rsidRPr="004D17B7" w:rsidRDefault="00E66CCA" w:rsidP="00E66CCA">
      <w:pPr>
        <w:pStyle w:val="BodyText"/>
      </w:pPr>
      <w:r w:rsidRPr="004D17B7">
        <w:t xml:space="preserve">Squelched: The generator will respond to the change in system frequency but will return to its initialized value after 10-20 seconds due to load controller action. </w:t>
      </w:r>
    </w:p>
    <w:p w14:paraId="2436121A" w14:textId="77777777" w:rsidR="00E66CCA" w:rsidRPr="004D17B7" w:rsidRDefault="00E66CCA" w:rsidP="00E66CCA">
      <w:pPr>
        <w:pStyle w:val="BodyText"/>
      </w:pPr>
      <w:r w:rsidRPr="004D17B7">
        <w:t xml:space="preserve">Non-Responsive: The generator power output changes minimally for change in system frequency. </w:t>
      </w:r>
    </w:p>
    <w:p w14:paraId="49613A99" w14:textId="77777777" w:rsidR="00E66CCA" w:rsidRPr="004D17B7" w:rsidRDefault="00E66CCA" w:rsidP="00E66CCA">
      <w:pPr>
        <w:pStyle w:val="BodyText"/>
      </w:pPr>
      <w:r w:rsidRPr="004D17B7">
        <w:t>The importance of primary frequency response (PFR) is shown in</w:t>
      </w:r>
      <w:r>
        <w:t xml:space="preserve"> </w:t>
      </w:r>
      <w:fldSimple w:instr=" REF _Ref77068002 ">
        <w:r>
          <w:t xml:space="preserve">Figure </w:t>
        </w:r>
        <w:r>
          <w:rPr>
            <w:noProof/>
          </w:rPr>
          <w:t>14</w:t>
        </w:r>
      </w:fldSimple>
      <w:r w:rsidRPr="004D17B7">
        <w:t>.  If sufficient sustained PFR is not available (</w:t>
      </w:r>
      <w:r w:rsidRPr="00E4725F">
        <w:t>i.e</w:t>
      </w:r>
      <w:r w:rsidRPr="00E4725F">
        <w:rPr>
          <w:i/>
        </w:rPr>
        <w:t>.,</w:t>
      </w:r>
      <w:r w:rsidRPr="004D17B7">
        <w:t xml:space="preserve"> a large portion of the system has a squelched or non-responsive governor response), although the frequency begins to recover, ultimately the frequency will collapse due to insufficient resources.  FERC Order No. 842 requires all “newly interconnecting large and small generating facilities, both synchronous and non-synchronous, to install, maintain, and operate equipment capable of providing PFR as a condition of interconnection.”</w:t>
      </w:r>
      <w:r w:rsidRPr="00AB3EC0">
        <w:rPr>
          <w:vertAlign w:val="superscript"/>
        </w:rPr>
        <w:footnoteReference w:id="52"/>
      </w:r>
      <w:r w:rsidRPr="004D17B7">
        <w:t xml:space="preserve">  </w:t>
      </w:r>
    </w:p>
    <w:p w14:paraId="3211E08A" w14:textId="77777777" w:rsidR="00E66CCA" w:rsidRPr="004D17B7" w:rsidRDefault="00E66CCA" w:rsidP="00E66CCA">
      <w:pPr>
        <w:pStyle w:val="Caption"/>
        <w:rPr>
          <w:rFonts w:ascii="Cambria" w:hAnsi="Cambria"/>
          <w:sz w:val="22"/>
        </w:rPr>
      </w:pPr>
      <w:r>
        <w:lastRenderedPageBreak/>
        <w:t xml:space="preserve">Figure </w:t>
      </w:r>
      <w:fldSimple w:instr=" SEQ Figure \* ARABIC ">
        <w:r>
          <w:rPr>
            <w:noProof/>
          </w:rPr>
          <w:t>14</w:t>
        </w:r>
      </w:fldSimple>
      <w:r>
        <w:t>:  Effect of Primary Frequency Response on System Frequency</w:t>
      </w:r>
      <w:r>
        <w:rPr>
          <w:rStyle w:val="FootnoteReference"/>
        </w:rPr>
        <w:footnoteReference w:id="53"/>
      </w:r>
      <w:r w:rsidRPr="004D17B7">
        <w:rPr>
          <w:rFonts w:ascii="Cambria" w:hAnsi="Cambria"/>
          <w:noProof/>
        </w:rPr>
        <w:drawing>
          <wp:inline distT="0" distB="0" distL="0" distR="0" wp14:anchorId="23C81BFF" wp14:editId="4EE6BCB5">
            <wp:extent cx="4152516" cy="2487881"/>
            <wp:effectExtent l="19050" t="19050" r="19685" b="2730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164859" cy="2495276"/>
                    </a:xfrm>
                    <a:prstGeom prst="rect">
                      <a:avLst/>
                    </a:prstGeom>
                    <a:ln>
                      <a:solidFill>
                        <a:schemeClr val="tx1"/>
                      </a:solidFill>
                    </a:ln>
                  </pic:spPr>
                </pic:pic>
              </a:graphicData>
            </a:graphic>
          </wp:inline>
        </w:drawing>
      </w:r>
    </w:p>
    <w:p w14:paraId="72DFE99E" w14:textId="77777777" w:rsidR="00E66CCA" w:rsidRPr="004D17B7" w:rsidRDefault="00E66CCA" w:rsidP="00E66CCA">
      <w:pPr>
        <w:pStyle w:val="BodyText"/>
      </w:pPr>
      <w:r w:rsidRPr="004D17B7">
        <w:t>As shown in</w:t>
      </w:r>
      <w:r>
        <w:t xml:space="preserve"> </w:t>
      </w:r>
      <w:fldSimple w:instr=" REF _Ref77067554 ">
        <w:r>
          <w:t xml:space="preserve">Figure </w:t>
        </w:r>
        <w:r>
          <w:rPr>
            <w:noProof/>
          </w:rPr>
          <w:t>12</w:t>
        </w:r>
      </w:fldSimple>
      <w:r w:rsidRPr="004D17B7">
        <w:t>, the stabilizing period is between points “B” and “D”.  Frequency is stabilized at a value lower than the original scheduled frequency due to droop control characteristics.  Finally, the frequency is restored back to 60 Hz during the recovery period by means of automatic generation control and other manual actions directed by system operators.</w:t>
      </w:r>
    </w:p>
    <w:p w14:paraId="13124A49" w14:textId="77777777" w:rsidR="00E66CCA" w:rsidRPr="004D17B7" w:rsidRDefault="00E66CCA" w:rsidP="00E66CCA">
      <w:pPr>
        <w:pStyle w:val="BodyText"/>
      </w:pPr>
      <w:r w:rsidRPr="004D17B7">
        <w:t>As the penetration of renewable generation increases and to the extent that these resources replace the synchronous generation across the system, the system inertia will reduce and the Rate of Change of Frequency (ROCOF) will increase</w:t>
      </w:r>
      <w:r>
        <w:t>.</w:t>
      </w:r>
      <w:r>
        <w:rPr>
          <w:rStyle w:val="FootnoteReference"/>
        </w:rPr>
        <w:footnoteReference w:id="54"/>
      </w:r>
      <w:r>
        <w:t xml:space="preserve"> </w:t>
      </w:r>
      <w:r w:rsidRPr="004D17B7">
        <w:t xml:space="preserve"> Some key system characteristics that affect the ROCOF include</w:t>
      </w:r>
      <w:r>
        <w:t>; (</w:t>
      </w:r>
      <w:proofErr w:type="spellStart"/>
      <w:r>
        <w:t>i</w:t>
      </w:r>
      <w:proofErr w:type="spellEnd"/>
      <w:r>
        <w:t>)</w:t>
      </w:r>
      <w:r w:rsidRPr="004D17B7">
        <w:t xml:space="preserve"> the overall system inertia from synchronous machines and loads, </w:t>
      </w:r>
      <w:r>
        <w:t xml:space="preserve">(ii) </w:t>
      </w:r>
      <w:r w:rsidRPr="004D17B7">
        <w:t xml:space="preserve">speed and magnitude of energy injection response, </w:t>
      </w:r>
      <w:r>
        <w:t xml:space="preserve">(iii) </w:t>
      </w:r>
      <w:r w:rsidRPr="004D17B7">
        <w:t xml:space="preserve">speed and magnitude of load tripping due to frequency change, </w:t>
      </w:r>
      <w:r>
        <w:t xml:space="preserve">and (iv) </w:t>
      </w:r>
      <w:r w:rsidRPr="004D17B7">
        <w:t>magnitude of the contingency</w:t>
      </w:r>
      <w:r>
        <w:t xml:space="preserve">, including </w:t>
      </w:r>
      <w:r w:rsidRPr="004D17B7">
        <w:t xml:space="preserve">loss of source or load and its corresponding impact in system losses. </w:t>
      </w:r>
    </w:p>
    <w:p w14:paraId="3FB89DF9" w14:textId="77777777" w:rsidR="00E66CCA" w:rsidRPr="004D17B7" w:rsidRDefault="00E66CCA" w:rsidP="00E66CCA">
      <w:pPr>
        <w:pStyle w:val="BodyText"/>
      </w:pPr>
      <w:r w:rsidRPr="004D17B7">
        <w:t>In general, as ROCOF increases, fast frequency response to arrest the ROCOF and deeper frequency nadir may be needed to avoid triggering of UFLS.</w:t>
      </w:r>
      <w:r w:rsidRPr="00AB3EC0">
        <w:rPr>
          <w:vertAlign w:val="superscript"/>
        </w:rPr>
        <w:footnoteReference w:id="55"/>
      </w:r>
      <w:r w:rsidRPr="004D17B7">
        <w:t xml:space="preserve"> Fast frequency response (FFR)</w:t>
      </w:r>
      <w:r w:rsidRPr="004D17B7">
        <w:fldChar w:fldCharType="begin"/>
      </w:r>
      <w:r w:rsidRPr="004D17B7">
        <w:instrText xml:space="preserve"> NOTEREF _Ref75455790 \h  \* MERGEFORMAT </w:instrText>
      </w:r>
      <w:r w:rsidRPr="004D17B7">
        <w:fldChar w:fldCharType="separate"/>
      </w:r>
      <w:r w:rsidRPr="00E4725F">
        <w:rPr>
          <w:vertAlign w:val="superscript"/>
        </w:rPr>
        <w:t>68</w:t>
      </w:r>
      <w:r w:rsidRPr="004D17B7">
        <w:fldChar w:fldCharType="end"/>
      </w:r>
      <w:r w:rsidRPr="004D17B7">
        <w:t xml:space="preserve"> is power injected </w:t>
      </w:r>
      <w:r>
        <w:t>in</w:t>
      </w:r>
      <w:r w:rsidRPr="004D17B7">
        <w:t>to</w:t>
      </w:r>
      <w:r>
        <w:t xml:space="preserve"> or absorbed from</w:t>
      </w:r>
      <w:r w:rsidRPr="004D17B7">
        <w:t xml:space="preserve"> the grid in response to change in the frequency during the arresting phase to improve frequency nadir and initial ROCOF. </w:t>
      </w:r>
      <w:r>
        <w:t xml:space="preserve"> </w:t>
      </w:r>
      <w:r w:rsidRPr="004D17B7">
        <w:t>FFR can be provided by synchronous machine inertial response, governor response of synchronous machines, additional power from rotating wind turbines</w:t>
      </w:r>
      <w:r>
        <w:t>,</w:t>
      </w:r>
      <w:r w:rsidRPr="004D17B7">
        <w:t xml:space="preserve"> and fast responding batteries and solar PV. </w:t>
      </w:r>
    </w:p>
    <w:p w14:paraId="28912FED" w14:textId="77777777" w:rsidR="00E66CCA" w:rsidRPr="004D17B7" w:rsidRDefault="00E66CCA" w:rsidP="00E66CCA">
      <w:pPr>
        <w:pStyle w:val="BodyText"/>
      </w:pPr>
      <w:r w:rsidRPr="004D17B7">
        <w:lastRenderedPageBreak/>
        <w:t>The FFR will be part of primary frequency response of the system and can be coordinated with the synchronous inertial response and PFR to sustain the overall frequency response of the system. As shown in</w:t>
      </w:r>
      <w:r>
        <w:t xml:space="preserve"> </w:t>
      </w:r>
      <w:fldSimple w:instr=" REF _Ref77068575 ">
        <w:r>
          <w:t xml:space="preserve">Figure </w:t>
        </w:r>
        <w:r>
          <w:rPr>
            <w:noProof/>
          </w:rPr>
          <w:t>15</w:t>
        </w:r>
      </w:fldSimple>
      <w:r w:rsidRPr="004D17B7">
        <w:t xml:space="preserve">, immediately after an event such as loss of large source of generation, the system indicates a non-sustained frequency response (arresting period) as the synchronous inertial response of the system along with FFR and PFR arrest the decline in the frequency. Once the nadir is established, the system indicates a sustained frequency response (rebound period) as FFR and PFR maintain change in power injection into the system until new balance of generation, load and frequency is achieved. Once the stable frequency response is achieved, the secondary frequency controls will return the system to the nominal frequency. </w:t>
      </w:r>
    </w:p>
    <w:p w14:paraId="64E86219" w14:textId="77777777" w:rsidR="00E66CCA" w:rsidRPr="004D17B7" w:rsidRDefault="00E66CCA" w:rsidP="00E66CCA">
      <w:pPr>
        <w:pStyle w:val="Caption"/>
        <w:rPr>
          <w:rFonts w:ascii="Cambria" w:hAnsi="Cambria"/>
          <w:sz w:val="22"/>
        </w:rPr>
      </w:pPr>
      <w:r>
        <w:t xml:space="preserve">Figure </w:t>
      </w:r>
      <w:fldSimple w:instr=" SEQ Figure \* ARABIC ">
        <w:r>
          <w:rPr>
            <w:noProof/>
          </w:rPr>
          <w:t>15</w:t>
        </w:r>
      </w:fldSimple>
      <w:r>
        <w:t>:  Simultaneous Contributions of Inertia Response, FFR, and PFR</w:t>
      </w:r>
      <w:r w:rsidRPr="00AB3EC0">
        <w:rPr>
          <w:vertAlign w:val="superscript"/>
        </w:rPr>
        <w:fldChar w:fldCharType="begin"/>
      </w:r>
      <w:r w:rsidRPr="00AB3EC0">
        <w:rPr>
          <w:vertAlign w:val="superscript"/>
        </w:rPr>
        <w:instrText xml:space="preserve"> NOTEREF _Ref75455790 </w:instrText>
      </w:r>
      <w:r>
        <w:rPr>
          <w:vertAlign w:val="superscript"/>
        </w:rPr>
        <w:instrText xml:space="preserve"> \* MERGEFORMAT </w:instrText>
      </w:r>
      <w:r w:rsidRPr="00AB3EC0">
        <w:rPr>
          <w:vertAlign w:val="superscript"/>
        </w:rPr>
        <w:fldChar w:fldCharType="separate"/>
      </w:r>
      <w:r>
        <w:rPr>
          <w:vertAlign w:val="superscript"/>
        </w:rPr>
        <w:t>68</w:t>
      </w:r>
      <w:r w:rsidRPr="00AB3EC0">
        <w:rPr>
          <w:vertAlign w:val="superscript"/>
        </w:rPr>
        <w:fldChar w:fldCharType="end"/>
      </w:r>
      <w:r w:rsidRPr="004D17B7">
        <w:rPr>
          <w:rFonts w:ascii="Cambria" w:hAnsi="Cambria"/>
          <w:noProof/>
        </w:rPr>
        <w:drawing>
          <wp:inline distT="0" distB="0" distL="0" distR="0" wp14:anchorId="04E25901" wp14:editId="7A7D2864">
            <wp:extent cx="5179406" cy="2844800"/>
            <wp:effectExtent l="19050" t="19050" r="21590" b="1270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181107" cy="2845734"/>
                    </a:xfrm>
                    <a:prstGeom prst="rect">
                      <a:avLst/>
                    </a:prstGeom>
                    <a:ln>
                      <a:solidFill>
                        <a:schemeClr val="tx1"/>
                      </a:solidFill>
                    </a:ln>
                  </pic:spPr>
                </pic:pic>
              </a:graphicData>
            </a:graphic>
          </wp:inline>
        </w:drawing>
      </w:r>
    </w:p>
    <w:p w14:paraId="42085277" w14:textId="77777777" w:rsidR="00E66CCA" w:rsidRPr="004D17B7" w:rsidRDefault="00E66CCA" w:rsidP="00E66CCA">
      <w:pPr>
        <w:pStyle w:val="BodyText"/>
      </w:pPr>
      <w:r w:rsidRPr="004D17B7">
        <w:t xml:space="preserve">The FFR from different technologies can be available under non-sustained and sustained frequency response phases. For the system with large synchronous inertia will have low ROCOF and a separate FFR than the PFR may not be needed. However, as the system inertia reduces, synchronous inertial response can reach a threshold at which the non-sustained frequency response can trigger </w:t>
      </w:r>
      <w:r>
        <w:t>UFLS actions</w:t>
      </w:r>
      <w:r w:rsidRPr="004D17B7">
        <w:t xml:space="preserve">. Thus, in order to compensate for the reduced synchronous inertial response in the system FFR can be introduced as a part of the PFR to improve the overall frequency response of the system.   </w:t>
      </w:r>
    </w:p>
    <w:p w14:paraId="545082F6" w14:textId="77777777" w:rsidR="00E66CCA" w:rsidRPr="00C41A65" w:rsidRDefault="00E66CCA" w:rsidP="00E66CCA">
      <w:pPr>
        <w:pStyle w:val="BodyText"/>
      </w:pPr>
      <w:r w:rsidRPr="004D17B7">
        <w:t xml:space="preserve">As new interconnecting renewable facilities will be capable of providing frequency response, FFR from these </w:t>
      </w:r>
      <w:proofErr w:type="gramStart"/>
      <w:r w:rsidRPr="004D17B7">
        <w:t>inverter based</w:t>
      </w:r>
      <w:proofErr w:type="gramEnd"/>
      <w:r w:rsidRPr="004D17B7">
        <w:t xml:space="preserve"> resources (IBR) can be an option to improve the ROCOF and frequency nadir. As </w:t>
      </w:r>
      <w:r>
        <w:t>shown by NERC in</w:t>
      </w:r>
      <w:r w:rsidRPr="004D17B7">
        <w:t xml:space="preserve"> </w:t>
      </w:r>
      <w:fldSimple w:instr=" REF _Ref77068806 ">
        <w:r>
          <w:t xml:space="preserve">Figure </w:t>
        </w:r>
        <w:r>
          <w:rPr>
            <w:noProof/>
          </w:rPr>
          <w:t>16</w:t>
        </w:r>
      </w:fldSimple>
      <w:r>
        <w:t xml:space="preserve">, </w:t>
      </w:r>
      <w:r w:rsidRPr="004D17B7">
        <w:t>IBR can provide FFR under different frequency control delay settings to improve the frequency response. The blue and purple curves are frequency response of a system with all synchronous generation with a standard delay of 100 m</w:t>
      </w:r>
      <w:r>
        <w:t>illi</w:t>
      </w:r>
      <w:r w:rsidRPr="004D17B7">
        <w:t>s</w:t>
      </w:r>
      <w:r>
        <w:t>econds</w:t>
      </w:r>
      <w:r w:rsidRPr="004D17B7">
        <w:t xml:space="preserve"> and a delay of 1 second respectively. The red, green and orange curves are frequency responses of the same system with 80% of the synchronous generators </w:t>
      </w:r>
      <w:r w:rsidRPr="004D17B7">
        <w:lastRenderedPageBreak/>
        <w:t xml:space="preserve">replaced by same sized renewable generators under different delay settings. </w:t>
      </w:r>
    </w:p>
    <w:p w14:paraId="2FBCE824" w14:textId="77777777" w:rsidR="00E66CCA" w:rsidRPr="004D17B7" w:rsidRDefault="00E66CCA" w:rsidP="00E66CCA">
      <w:pPr>
        <w:pStyle w:val="Caption"/>
        <w:rPr>
          <w:rFonts w:ascii="Cambria" w:hAnsi="Cambria"/>
          <w:sz w:val="22"/>
        </w:rPr>
      </w:pPr>
      <w:r>
        <w:t xml:space="preserve">Figure </w:t>
      </w:r>
      <w:fldSimple w:instr=" SEQ Figure \* ARABIC ">
        <w:r>
          <w:rPr>
            <w:noProof/>
          </w:rPr>
          <w:t>16</w:t>
        </w:r>
      </w:fldSimple>
      <w:r>
        <w:t>:  FFR Response from Inverter Based Resources</w:t>
      </w:r>
      <w:r w:rsidRPr="00027A3C">
        <w:rPr>
          <w:vertAlign w:val="superscript"/>
        </w:rPr>
        <w:fldChar w:fldCharType="begin"/>
      </w:r>
      <w:r w:rsidRPr="00027A3C">
        <w:rPr>
          <w:vertAlign w:val="superscript"/>
        </w:rPr>
        <w:instrText xml:space="preserve"> NOTEREF _Ref75455790 </w:instrText>
      </w:r>
      <w:r>
        <w:rPr>
          <w:vertAlign w:val="superscript"/>
        </w:rPr>
        <w:instrText xml:space="preserve"> \* MERGEFORMAT </w:instrText>
      </w:r>
      <w:r w:rsidRPr="00027A3C">
        <w:rPr>
          <w:vertAlign w:val="superscript"/>
        </w:rPr>
        <w:fldChar w:fldCharType="separate"/>
      </w:r>
      <w:r>
        <w:rPr>
          <w:vertAlign w:val="superscript"/>
        </w:rPr>
        <w:t>68</w:t>
      </w:r>
      <w:r w:rsidRPr="00027A3C">
        <w:rPr>
          <w:vertAlign w:val="superscript"/>
        </w:rPr>
        <w:fldChar w:fldCharType="end"/>
      </w:r>
      <w:r w:rsidRPr="004D17B7">
        <w:rPr>
          <w:rFonts w:ascii="Cambria" w:hAnsi="Cambria"/>
          <w:noProof/>
        </w:rPr>
        <w:drawing>
          <wp:inline distT="0" distB="0" distL="0" distR="0" wp14:anchorId="2E838AE7" wp14:editId="07747C17">
            <wp:extent cx="5943600" cy="3147695"/>
            <wp:effectExtent l="19050" t="19050" r="19050" b="1460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3147695"/>
                    </a:xfrm>
                    <a:prstGeom prst="rect">
                      <a:avLst/>
                    </a:prstGeom>
                    <a:ln>
                      <a:solidFill>
                        <a:schemeClr val="tx1"/>
                      </a:solidFill>
                    </a:ln>
                  </pic:spPr>
                </pic:pic>
              </a:graphicData>
            </a:graphic>
          </wp:inline>
        </w:drawing>
      </w:r>
    </w:p>
    <w:p w14:paraId="7D227F92" w14:textId="77777777" w:rsidR="00E66CCA" w:rsidRDefault="00E66CCA" w:rsidP="00E66CCA">
      <w:pPr>
        <w:pStyle w:val="Heading4"/>
      </w:pPr>
      <w:r>
        <w:t>NYCA Frequency Response for the Loss of Off-Shore Wind</w:t>
      </w:r>
    </w:p>
    <w:p w14:paraId="2F8503B8" w14:textId="76CA58B0" w:rsidR="00E66CCA" w:rsidRPr="00C958F9" w:rsidRDefault="00E66CCA" w:rsidP="00E66CCA">
      <w:pPr>
        <w:pStyle w:val="BodyText"/>
      </w:pPr>
      <w:r w:rsidRPr="00C958F9">
        <w:t>To evaluate the frequency response of the system</w:t>
      </w:r>
      <w:r>
        <w:t>,</w:t>
      </w:r>
      <w:r w:rsidRPr="00C958F9">
        <w:t xml:space="preserve"> the sudden loss of OSW generation is simulated under the conditions </w:t>
      </w:r>
      <w:r>
        <w:t xml:space="preserve">shown in </w:t>
      </w:r>
      <w:fldSimple w:instr=" REF _Ref76996194 ">
        <w:r>
          <w:t xml:space="preserve">Figure </w:t>
        </w:r>
        <w:r>
          <w:rPr>
            <w:noProof/>
          </w:rPr>
          <w:t>6</w:t>
        </w:r>
      </w:fldSimple>
      <w:r w:rsidRPr="00C958F9">
        <w:t>.  This simulation includes the loss of OSW as an N-1 event as well as a second level contingency under N-1-1</w:t>
      </w:r>
      <w:r>
        <w:t xml:space="preserve"> conditions, </w:t>
      </w:r>
      <w:r w:rsidRPr="00C958F9">
        <w:t xml:space="preserve">with the first contingency as loss of </w:t>
      </w:r>
      <w:r>
        <w:t xml:space="preserve">the </w:t>
      </w:r>
      <w:r w:rsidRPr="00C958F9">
        <w:t>Y49</w:t>
      </w:r>
      <w:r>
        <w:t xml:space="preserve"> cable</w:t>
      </w:r>
      <w:r w:rsidRPr="00C958F9">
        <w:t>.</w:t>
      </w:r>
    </w:p>
    <w:p w14:paraId="1CEC711A" w14:textId="77777777" w:rsidR="00E66CCA" w:rsidRPr="00C958F9" w:rsidRDefault="00E66CCA" w:rsidP="00E66CCA">
      <w:pPr>
        <w:pStyle w:val="BodyText"/>
      </w:pPr>
      <w:r>
        <w:fldChar w:fldCharType="begin"/>
      </w:r>
      <w:r>
        <w:instrText xml:space="preserve"> REF _Ref77077581 </w:instrText>
      </w:r>
      <w:r>
        <w:rPr>
          <w:noProof/>
        </w:rPr>
        <w:fldChar w:fldCharType="end"/>
      </w:r>
      <w:r>
        <w:rPr>
          <w:noProof/>
        </w:rPr>
        <w:t xml:space="preserve">Figure </w:t>
      </w:r>
      <w:r w:rsidRPr="00E4725F">
        <w:rPr>
          <w:noProof/>
          <w:highlight w:val="yellow"/>
        </w:rPr>
        <w:t>XX</w:t>
      </w:r>
      <w:r>
        <w:t xml:space="preserve"> </w:t>
      </w:r>
      <w:r w:rsidRPr="00C958F9">
        <w:t xml:space="preserve">shows the system frequency response and NYCA generation response in Case 1 (peak) conditions for the loss of OSW event. </w:t>
      </w:r>
      <w:fldSimple w:instr=" REF _Ref77077969 ">
        <w:r>
          <w:t xml:space="preserve">Figure </w:t>
        </w:r>
        <w:r>
          <w:rPr>
            <w:noProof/>
          </w:rPr>
          <w:t>18</w:t>
        </w:r>
      </w:fldSimple>
      <w:r>
        <w:t xml:space="preserve"> </w:t>
      </w:r>
      <w:r w:rsidRPr="00C958F9">
        <w:t>provides a summary of several important characteristics of the system frequency response. For this report all frequency response plots are from the Farragut 345 kV bus. The generation MW amounts are the total NYCA generation dispatch through the simulation.</w:t>
      </w:r>
    </w:p>
    <w:p w14:paraId="35BBC252" w14:textId="77777777" w:rsidR="00E66CCA" w:rsidRPr="00C958F9" w:rsidRDefault="00E66CCA" w:rsidP="00E66CCA">
      <w:pPr>
        <w:pStyle w:val="Caption"/>
      </w:pPr>
      <w:r>
        <w:lastRenderedPageBreak/>
        <w:t xml:space="preserve">Figure </w:t>
      </w:r>
      <w:fldSimple w:instr=" SEQ Figure \* ARABIC ">
        <w:r>
          <w:rPr>
            <w:noProof/>
          </w:rPr>
          <w:t>17</w:t>
        </w:r>
      </w:fldSimple>
      <w:r>
        <w:t>:  System Frequency Response and NYCA Generation Response for the Loss of Off-Shore Wind - Case 1</w:t>
      </w:r>
      <w:r w:rsidRPr="00C958F9">
        <w:rPr>
          <w:noProof/>
        </w:rPr>
        <w:drawing>
          <wp:inline distT="0" distB="0" distL="0" distR="0" wp14:anchorId="1AC92C5D" wp14:editId="32B7B37E">
            <wp:extent cx="5943600" cy="303149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3031490"/>
                    </a:xfrm>
                    <a:prstGeom prst="rect">
                      <a:avLst/>
                    </a:prstGeom>
                  </pic:spPr>
                </pic:pic>
              </a:graphicData>
            </a:graphic>
          </wp:inline>
        </w:drawing>
      </w:r>
    </w:p>
    <w:p w14:paraId="7F1A8F63" w14:textId="77777777" w:rsidR="00E66CCA" w:rsidRDefault="00E66CCA" w:rsidP="00E66CCA">
      <w:pPr>
        <w:pStyle w:val="Caption"/>
      </w:pPr>
      <w:r>
        <w:t xml:space="preserve">Figure </w:t>
      </w:r>
      <w:fldSimple w:instr=" SEQ Figure \* ARABIC ">
        <w:r>
          <w:rPr>
            <w:noProof/>
          </w:rPr>
          <w:t>18</w:t>
        </w:r>
      </w:fldSimple>
      <w:r>
        <w:t>:  Summary of System Frequency Response Characteristics - Case 1</w:t>
      </w:r>
    </w:p>
    <w:p w14:paraId="38FBD3BC" w14:textId="77777777" w:rsidR="00E66CCA" w:rsidRPr="00C958F9" w:rsidRDefault="00E66CCA" w:rsidP="00E66CCA">
      <w:pPr>
        <w:pStyle w:val="BodyText"/>
        <w:jc w:val="center"/>
      </w:pPr>
      <w:r w:rsidRPr="00285F1D">
        <w:rPr>
          <w:noProof/>
        </w:rPr>
        <w:drawing>
          <wp:inline distT="0" distB="0" distL="0" distR="0" wp14:anchorId="4C6DBC18" wp14:editId="28D5BDF6">
            <wp:extent cx="5943600" cy="1127118"/>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1127118"/>
                    </a:xfrm>
                    <a:prstGeom prst="rect">
                      <a:avLst/>
                    </a:prstGeom>
                    <a:noFill/>
                    <a:ln>
                      <a:noFill/>
                    </a:ln>
                  </pic:spPr>
                </pic:pic>
              </a:graphicData>
            </a:graphic>
          </wp:inline>
        </w:drawing>
      </w:r>
    </w:p>
    <w:p w14:paraId="2FF6960F" w14:textId="1C977B85" w:rsidR="00E66CCA" w:rsidRPr="00C958F9" w:rsidRDefault="00E66CCA" w:rsidP="00E66CCA">
      <w:pPr>
        <w:pStyle w:val="BodyText"/>
      </w:pPr>
      <w:r>
        <w:t xml:space="preserve">Figure </w:t>
      </w:r>
      <w:r w:rsidRPr="00E4725F">
        <w:rPr>
          <w:bCs w:val="0"/>
          <w:highlight w:val="yellow"/>
        </w:rPr>
        <w:t>XX</w:t>
      </w:r>
      <w:r>
        <w:fldChar w:fldCharType="begin"/>
      </w:r>
      <w:r>
        <w:instrText xml:space="preserve"> REF _Ref77077581 </w:instrText>
      </w:r>
      <w:r>
        <w:rPr>
          <w:noProof/>
        </w:rPr>
        <w:fldChar w:fldCharType="end"/>
      </w:r>
      <w:r>
        <w:t xml:space="preserve"> </w:t>
      </w:r>
      <w:r w:rsidRPr="00C958F9">
        <w:t xml:space="preserve">and </w:t>
      </w:r>
      <w:fldSimple w:instr=" REF _Ref77077969 ">
        <w:r>
          <w:t xml:space="preserve">Figure </w:t>
        </w:r>
        <w:r>
          <w:rPr>
            <w:noProof/>
          </w:rPr>
          <w:t>18</w:t>
        </w:r>
      </w:fldSimple>
      <w:r w:rsidR="0040021B">
        <w:rPr>
          <w:noProof/>
        </w:rPr>
        <w:t xml:space="preserve"> show that</w:t>
      </w:r>
      <w:r w:rsidRPr="00C958F9">
        <w:t xml:space="preserve"> with higher equivalent system inertia, lower ROCOF is observed. This is due to more synchronous generation in-service in the model with OSW dispatched at 20% output as compared to having less synchronous generation in-service in the model with OSW dispatched at maximum output. </w:t>
      </w:r>
    </w:p>
    <w:p w14:paraId="21E79139" w14:textId="77777777" w:rsidR="00E66CCA" w:rsidRPr="00C958F9" w:rsidRDefault="00E66CCA" w:rsidP="00E66CCA">
      <w:pPr>
        <w:pStyle w:val="BodyText"/>
      </w:pPr>
      <w:r w:rsidRPr="00C958F9">
        <w:t>As observed in</w:t>
      </w:r>
      <w:r>
        <w:t xml:space="preserve"> </w:t>
      </w:r>
      <w:r w:rsidRPr="00E4725F">
        <w:rPr>
          <w:bCs w:val="0"/>
          <w:highlight w:val="yellow"/>
        </w:rPr>
        <w:t>__</w:t>
      </w:r>
      <w:r>
        <w:fldChar w:fldCharType="begin"/>
      </w:r>
      <w:r>
        <w:instrText xml:space="preserve"> REF _Ref77077581 </w:instrText>
      </w:r>
      <w:r>
        <w:rPr>
          <w:noProof/>
        </w:rPr>
        <w:fldChar w:fldCharType="end"/>
      </w:r>
      <w:r w:rsidRPr="00C958F9">
        <w:t xml:space="preserve">, the loss of OSW event results in damped electrical power swing across the system.  The total electrical power loss shown in </w:t>
      </w:r>
      <w:r w:rsidRPr="00CB26F4">
        <w:rPr>
          <w:highlight w:val="yellow"/>
        </w:rPr>
        <w:t>__</w:t>
      </w:r>
      <w:r>
        <w:fldChar w:fldCharType="begin"/>
      </w:r>
      <w:r>
        <w:instrText xml:space="preserve"> REF _Ref77077581 </w:instrText>
      </w:r>
      <w:r>
        <w:rPr>
          <w:noProof/>
        </w:rPr>
        <w:fldChar w:fldCharType="end"/>
      </w:r>
      <w:r w:rsidRPr="00CB26F4">
        <w:rPr>
          <w:highlight w:val="yellow"/>
        </w:rPr>
        <w:t>__</w:t>
      </w:r>
      <w:r>
        <w:t xml:space="preserve"> </w:t>
      </w:r>
      <w:r w:rsidRPr="00C958F9">
        <w:t xml:space="preserve">shows that the loss of generation from the OSW but also includes the impacts of electrical power swings which in total impact the system frequency response of the system. For example, there are multiple rises and dips in frequency shown in </w:t>
      </w:r>
      <w:r w:rsidRPr="00CB26F4">
        <w:rPr>
          <w:highlight w:val="yellow"/>
        </w:rPr>
        <w:t>__</w:t>
      </w:r>
      <w:r>
        <w:fldChar w:fldCharType="begin"/>
      </w:r>
      <w:r>
        <w:instrText xml:space="preserve"> REF _Ref77077581 </w:instrText>
      </w:r>
      <w:r>
        <w:rPr>
          <w:noProof/>
        </w:rPr>
        <w:fldChar w:fldCharType="end"/>
      </w:r>
      <w:r>
        <w:t xml:space="preserve"> </w:t>
      </w:r>
      <w:r w:rsidRPr="00C958F9">
        <w:t xml:space="preserve">which correspond with the rises and dips in electrical power output.  The role of generator governors is to respond to these rises and dips in electric power output to ultimately settle the system response.  </w:t>
      </w:r>
    </w:p>
    <w:p w14:paraId="4BBAEE08" w14:textId="77777777" w:rsidR="00E66CCA" w:rsidRPr="00C958F9" w:rsidRDefault="00E66CCA" w:rsidP="00E66CCA">
      <w:pPr>
        <w:pStyle w:val="BodyText"/>
      </w:pPr>
      <w:r w:rsidRPr="00E4725F">
        <w:rPr>
          <w:rFonts w:asciiTheme="majorHAnsi" w:hAnsiTheme="majorHAnsi" w:cs="Arial"/>
          <w:iCs/>
        </w:rPr>
        <w:fldChar w:fldCharType="begin"/>
      </w:r>
      <w:r w:rsidRPr="00E4725F">
        <w:rPr>
          <w:rFonts w:asciiTheme="majorHAnsi" w:hAnsiTheme="majorHAnsi" w:cs="Arial"/>
          <w:iCs/>
        </w:rPr>
        <w:instrText xml:space="preserve"> REF _Ref77078300  \* MERGEFORMAT </w:instrText>
      </w:r>
      <w:r w:rsidRPr="00E4725F">
        <w:rPr>
          <w:rFonts w:asciiTheme="majorHAnsi" w:hAnsiTheme="majorHAnsi" w:cs="Arial"/>
          <w:iCs/>
        </w:rPr>
        <w:fldChar w:fldCharType="separate"/>
      </w:r>
      <w:r w:rsidRPr="00E4725F">
        <w:rPr>
          <w:rFonts w:asciiTheme="majorHAnsi" w:hAnsiTheme="majorHAnsi" w:cs="Arial"/>
          <w:iCs/>
        </w:rPr>
        <w:t xml:space="preserve">Figure </w:t>
      </w:r>
      <w:r w:rsidRPr="00E4725F">
        <w:rPr>
          <w:rFonts w:asciiTheme="majorHAnsi" w:hAnsiTheme="majorHAnsi" w:cs="Arial"/>
          <w:iCs/>
          <w:noProof/>
        </w:rPr>
        <w:t>19</w:t>
      </w:r>
      <w:r w:rsidRPr="00E4725F">
        <w:rPr>
          <w:rFonts w:asciiTheme="majorHAnsi" w:hAnsiTheme="majorHAnsi" w:cs="Arial"/>
          <w:iCs/>
          <w:noProof/>
        </w:rPr>
        <w:fldChar w:fldCharType="end"/>
      </w:r>
      <w:r w:rsidRPr="00E4725F">
        <w:rPr>
          <w:rFonts w:asciiTheme="majorHAnsi" w:hAnsiTheme="majorHAnsi" w:cs="Arial"/>
          <w:iCs/>
          <w:szCs w:val="20"/>
        </w:rPr>
        <w:t xml:space="preserve"> and </w:t>
      </w:r>
      <w:r w:rsidRPr="00E4725F">
        <w:rPr>
          <w:rFonts w:asciiTheme="majorHAnsi" w:hAnsiTheme="majorHAnsi" w:cs="Arial"/>
          <w:iCs/>
        </w:rPr>
        <w:fldChar w:fldCharType="begin"/>
      </w:r>
      <w:r w:rsidRPr="00E4725F">
        <w:rPr>
          <w:rFonts w:asciiTheme="majorHAnsi" w:hAnsiTheme="majorHAnsi" w:cs="Arial"/>
          <w:iCs/>
        </w:rPr>
        <w:instrText xml:space="preserve"> REF _Ref77078308  \* MERGEFORMAT </w:instrText>
      </w:r>
      <w:r w:rsidRPr="00E4725F">
        <w:rPr>
          <w:rFonts w:asciiTheme="majorHAnsi" w:hAnsiTheme="majorHAnsi" w:cs="Arial"/>
          <w:iCs/>
        </w:rPr>
        <w:fldChar w:fldCharType="separate"/>
      </w:r>
      <w:r w:rsidRPr="00E4725F">
        <w:rPr>
          <w:rFonts w:asciiTheme="majorHAnsi" w:hAnsiTheme="majorHAnsi" w:cs="Arial"/>
          <w:iCs/>
        </w:rPr>
        <w:t xml:space="preserve">Figure </w:t>
      </w:r>
      <w:r w:rsidRPr="00E4725F">
        <w:rPr>
          <w:rFonts w:asciiTheme="majorHAnsi" w:hAnsiTheme="majorHAnsi" w:cs="Arial"/>
          <w:iCs/>
          <w:noProof/>
        </w:rPr>
        <w:t>20</w:t>
      </w:r>
      <w:r w:rsidRPr="00E4725F">
        <w:rPr>
          <w:rFonts w:asciiTheme="majorHAnsi" w:hAnsiTheme="majorHAnsi" w:cs="Arial"/>
          <w:iCs/>
          <w:noProof/>
        </w:rPr>
        <w:fldChar w:fldCharType="end"/>
      </w:r>
      <w:r w:rsidRPr="00E4725F">
        <w:rPr>
          <w:rFonts w:asciiTheme="majorHAnsi" w:hAnsiTheme="majorHAnsi" w:cs="Arial"/>
          <w:iCs/>
          <w:szCs w:val="20"/>
        </w:rPr>
        <w:t xml:space="preserve"> </w:t>
      </w:r>
      <w:r w:rsidRPr="00E4725F">
        <w:rPr>
          <w:rFonts w:asciiTheme="minorHAnsi" w:hAnsiTheme="minorHAnsi" w:cs="Arial"/>
          <w:iCs/>
          <w:sz w:val="24"/>
          <w:szCs w:val="20"/>
        </w:rPr>
        <w:t xml:space="preserve">provide the system frequency response details under light load conditions.  </w:t>
      </w:r>
      <w:r w:rsidRPr="00E4725F">
        <w:rPr>
          <w:rFonts w:asciiTheme="majorHAnsi" w:eastAsia="Times New Roman" w:hAnsiTheme="majorHAnsi" w:cs="Arial"/>
          <w:bCs w:val="0"/>
          <w:iCs/>
          <w:szCs w:val="20"/>
        </w:rPr>
        <w:fldChar w:fldCharType="begin"/>
      </w:r>
      <w:r w:rsidRPr="00E4725F">
        <w:rPr>
          <w:rFonts w:asciiTheme="majorHAnsi" w:hAnsiTheme="majorHAnsi" w:cs="Arial"/>
          <w:iCs/>
          <w:szCs w:val="20"/>
        </w:rPr>
        <w:instrText xml:space="preserve"> REF _Ref77078433</w:instrText>
      </w:r>
      <w:r w:rsidRPr="00E4725F">
        <w:rPr>
          <w:rFonts w:asciiTheme="majorHAnsi" w:hAnsiTheme="majorHAnsi" w:cs="Arial"/>
          <w:iCs/>
        </w:rPr>
        <w:instrText xml:space="preserve">  \* MERGEFORMAT</w:instrText>
      </w:r>
      <w:r w:rsidRPr="00E4725F">
        <w:rPr>
          <w:rFonts w:asciiTheme="majorHAnsi" w:hAnsiTheme="majorHAnsi" w:cs="Arial"/>
          <w:iCs/>
          <w:szCs w:val="20"/>
        </w:rPr>
        <w:instrText xml:space="preserve"> </w:instrText>
      </w:r>
      <w:r w:rsidRPr="00E4725F">
        <w:rPr>
          <w:rFonts w:asciiTheme="majorHAnsi" w:hAnsiTheme="majorHAnsi"/>
        </w:rPr>
        <w:fldChar w:fldCharType="end"/>
      </w:r>
      <w:fldSimple w:instr=" REF _Ref77078440 ">
        <w:r>
          <w:t xml:space="preserve">Figure </w:t>
        </w:r>
        <w:r>
          <w:rPr>
            <w:noProof/>
          </w:rPr>
          <w:t>22</w:t>
        </w:r>
      </w:fldSimple>
      <w:r>
        <w:t xml:space="preserve"> </w:t>
      </w:r>
      <w:r w:rsidRPr="00C958F9">
        <w:t>provide</w:t>
      </w:r>
      <w:r>
        <w:t>s</w:t>
      </w:r>
      <w:r w:rsidRPr="00C958F9">
        <w:t xml:space="preserve"> the system frequency response details under shoulder load conditions.  For all cases the </w:t>
      </w:r>
      <w:r w:rsidRPr="00C958F9">
        <w:lastRenderedPageBreak/>
        <w:t xml:space="preserve">system frequency response passes criteria. Additionally, no UFLS is triggered. </w:t>
      </w:r>
    </w:p>
    <w:p w14:paraId="5D4A76D5" w14:textId="77777777" w:rsidR="00E66CCA" w:rsidRPr="00C958F9" w:rsidRDefault="00E66CCA" w:rsidP="00E66CCA">
      <w:pPr>
        <w:pStyle w:val="Caption"/>
      </w:pPr>
      <w:r>
        <w:t xml:space="preserve">Figure </w:t>
      </w:r>
      <w:fldSimple w:instr=" SEQ Figure \* ARABIC ">
        <w:r>
          <w:rPr>
            <w:noProof/>
          </w:rPr>
          <w:t>19</w:t>
        </w:r>
      </w:fldSimple>
      <w:r>
        <w:t>:  System Frequency Response and NYCA Generation Response for the Loss of Off-Shire Wind - Case 3</w:t>
      </w:r>
      <w:r w:rsidRPr="00C958F9">
        <w:rPr>
          <w:noProof/>
        </w:rPr>
        <w:drawing>
          <wp:inline distT="0" distB="0" distL="0" distR="0" wp14:anchorId="2AE546A8" wp14:editId="38D46F07">
            <wp:extent cx="5943600" cy="304927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3049270"/>
                    </a:xfrm>
                    <a:prstGeom prst="rect">
                      <a:avLst/>
                    </a:prstGeom>
                  </pic:spPr>
                </pic:pic>
              </a:graphicData>
            </a:graphic>
          </wp:inline>
        </w:drawing>
      </w:r>
    </w:p>
    <w:p w14:paraId="0CBD9FA0" w14:textId="77777777" w:rsidR="00E66CCA" w:rsidRPr="00C41A65" w:rsidRDefault="00E66CCA" w:rsidP="00E66CCA">
      <w:pPr>
        <w:pStyle w:val="Caption"/>
      </w:pPr>
      <w:r>
        <w:t xml:space="preserve">Figure </w:t>
      </w:r>
      <w:fldSimple w:instr=" SEQ Figure \* ARABIC ">
        <w:r>
          <w:rPr>
            <w:noProof/>
          </w:rPr>
          <w:t>20</w:t>
        </w:r>
      </w:fldSimple>
      <w:r>
        <w:t>:  Summary of System Frequency Response Characteristics - Case 3</w:t>
      </w:r>
      <w:r w:rsidRPr="00BE6958">
        <w:rPr>
          <w:noProof/>
        </w:rPr>
        <w:drawing>
          <wp:inline distT="0" distB="0" distL="0" distR="0" wp14:anchorId="48B42AC5" wp14:editId="42D9AF7E">
            <wp:extent cx="5943600" cy="1127118"/>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1127118"/>
                    </a:xfrm>
                    <a:prstGeom prst="rect">
                      <a:avLst/>
                    </a:prstGeom>
                    <a:noFill/>
                    <a:ln>
                      <a:noFill/>
                    </a:ln>
                  </pic:spPr>
                </pic:pic>
              </a:graphicData>
            </a:graphic>
          </wp:inline>
        </w:drawing>
      </w:r>
    </w:p>
    <w:p w14:paraId="463E21F6" w14:textId="77777777" w:rsidR="00E66CCA" w:rsidRPr="00C41A65" w:rsidRDefault="00E66CCA" w:rsidP="00E66CCA">
      <w:pPr>
        <w:pStyle w:val="BodyText"/>
      </w:pPr>
    </w:p>
    <w:p w14:paraId="58A9B5B4" w14:textId="77777777" w:rsidR="00E66CCA" w:rsidRPr="00C958F9" w:rsidRDefault="00E66CCA" w:rsidP="00E66CCA">
      <w:pPr>
        <w:pStyle w:val="Caption"/>
      </w:pPr>
      <w:r>
        <w:lastRenderedPageBreak/>
        <w:t xml:space="preserve">Figure </w:t>
      </w:r>
      <w:fldSimple w:instr=" SEQ Figure \* ARABIC ">
        <w:r>
          <w:rPr>
            <w:noProof/>
          </w:rPr>
          <w:t>21</w:t>
        </w:r>
      </w:fldSimple>
      <w:r>
        <w:t>:  System Frequency Response and NYCA Generation Response for the Loss of Off-Shore Wind - Case 6</w:t>
      </w:r>
      <w:r w:rsidRPr="00C958F9">
        <w:rPr>
          <w:noProof/>
        </w:rPr>
        <w:drawing>
          <wp:inline distT="0" distB="0" distL="0" distR="0" wp14:anchorId="342E4C24" wp14:editId="6F2BD2F9">
            <wp:extent cx="5943600" cy="3079115"/>
            <wp:effectExtent l="0" t="0" r="0"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3600" cy="3079115"/>
                    </a:xfrm>
                    <a:prstGeom prst="rect">
                      <a:avLst/>
                    </a:prstGeom>
                  </pic:spPr>
                </pic:pic>
              </a:graphicData>
            </a:graphic>
          </wp:inline>
        </w:drawing>
      </w:r>
    </w:p>
    <w:p w14:paraId="01ACA458" w14:textId="6276753E" w:rsidR="00E66CCA" w:rsidRDefault="00E66CCA" w:rsidP="00E66CCA">
      <w:pPr>
        <w:pStyle w:val="Caption"/>
      </w:pPr>
      <w:r>
        <w:t xml:space="preserve">Figure </w:t>
      </w:r>
      <w:fldSimple w:instr=" SEQ Figure \* ARABIC ">
        <w:r>
          <w:rPr>
            <w:noProof/>
          </w:rPr>
          <w:t>22</w:t>
        </w:r>
      </w:fldSimple>
      <w:r>
        <w:t>:  Summary of Frequency Response Characteristics - Case 6</w:t>
      </w:r>
      <w:r w:rsidRPr="00BE6958">
        <w:rPr>
          <w:noProof/>
        </w:rPr>
        <w:drawing>
          <wp:inline distT="0" distB="0" distL="0" distR="0" wp14:anchorId="7F4988BF" wp14:editId="431015FA">
            <wp:extent cx="5943600" cy="1127118"/>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1127118"/>
                    </a:xfrm>
                    <a:prstGeom prst="rect">
                      <a:avLst/>
                    </a:prstGeom>
                    <a:noFill/>
                    <a:ln>
                      <a:noFill/>
                    </a:ln>
                  </pic:spPr>
                </pic:pic>
              </a:graphicData>
            </a:graphic>
          </wp:inline>
        </w:drawing>
      </w:r>
    </w:p>
    <w:p w14:paraId="757CB458" w14:textId="77777777" w:rsidR="00AF0BC3" w:rsidRPr="00102F14" w:rsidRDefault="00AF0BC3" w:rsidP="0031764F"/>
    <w:p w14:paraId="5729714D" w14:textId="77777777" w:rsidR="00E66CCA" w:rsidRPr="00E4725F" w:rsidRDefault="00E66CCA" w:rsidP="00E66CCA">
      <w:pPr>
        <w:pStyle w:val="Heading4"/>
      </w:pPr>
      <w:r w:rsidRPr="00E4725F">
        <w:t>Impact of System Inertia &amp; Governor Response on System Frequency</w:t>
      </w:r>
    </w:p>
    <w:p w14:paraId="6BEC6CB1" w14:textId="77777777" w:rsidR="00E66CCA" w:rsidRPr="00C958F9" w:rsidRDefault="00E66CCA" w:rsidP="00E66CCA">
      <w:pPr>
        <w:pStyle w:val="BodyText"/>
      </w:pPr>
      <w:r w:rsidRPr="00C958F9">
        <w:t xml:space="preserve">Although all cases show a stable system response, the loss of OSW event under light load conditions has a noticeably poorer system response in terms of the point at which the system frequency response is arrested (or “nadir” point) as well as primary frequency response characteristics. </w:t>
      </w:r>
      <w:r>
        <w:t xml:space="preserve"> </w:t>
      </w:r>
      <w:r w:rsidRPr="00C958F9">
        <w:t xml:space="preserve">In general, a light load case has less synchronous generation operating on the system which results in less inertia compared to instances of higher load.  </w:t>
      </w:r>
      <w:r>
        <w:t xml:space="preserve"> </w:t>
      </w:r>
      <w:r w:rsidRPr="00C958F9">
        <w:t xml:space="preserve">Figure </w:t>
      </w:r>
      <w:r>
        <w:t>17</w:t>
      </w:r>
      <w:r w:rsidRPr="00C958F9">
        <w:t xml:space="preserve"> shows the system frequency response, under Case 3 conditions with OSW at its maximum and </w:t>
      </w:r>
      <w:r>
        <w:t xml:space="preserve">the </w:t>
      </w:r>
      <w:r w:rsidRPr="00C958F9">
        <w:t>Y49</w:t>
      </w:r>
      <w:r>
        <w:t xml:space="preserve"> cable</w:t>
      </w:r>
      <w:r w:rsidRPr="00C958F9">
        <w:t xml:space="preserve"> out of service, </w:t>
      </w:r>
      <w:r>
        <w:t xml:space="preserve">as </w:t>
      </w:r>
      <w:r w:rsidRPr="00C958F9">
        <w:t xml:space="preserve">seen across some of the buses located in NYCA and in the adjacent areas. Figure </w:t>
      </w:r>
      <w:r>
        <w:t>17 demonstrates that</w:t>
      </w:r>
      <w:r w:rsidRPr="00C958F9">
        <w:t xml:space="preserve">, although the primary system frequency response after the loss of OSW across these buses is different, the frequency recovery across these buses is similar. </w:t>
      </w:r>
    </w:p>
    <w:p w14:paraId="6812AB59" w14:textId="77777777" w:rsidR="00E66CCA" w:rsidRPr="00C958F9" w:rsidRDefault="00E66CCA" w:rsidP="00E66CCA">
      <w:pPr>
        <w:pStyle w:val="BodyText"/>
      </w:pPr>
    </w:p>
    <w:p w14:paraId="43E9FD8A" w14:textId="1C996239" w:rsidR="00AF0BC3" w:rsidRDefault="00E66CCA" w:rsidP="00AF0BC3">
      <w:pPr>
        <w:pStyle w:val="Caption"/>
      </w:pPr>
      <w:r>
        <w:lastRenderedPageBreak/>
        <w:t xml:space="preserve">Figure </w:t>
      </w:r>
      <w:fldSimple w:instr=" SEQ Figure \* ARABIC ">
        <w:r>
          <w:rPr>
            <w:noProof/>
          </w:rPr>
          <w:t>23</w:t>
        </w:r>
      </w:fldSimple>
      <w:r>
        <w:t xml:space="preserve">:  Case 3 (Light Load) System Frequency Response (Including Externa Ares) with Y49 </w:t>
      </w:r>
      <w:proofErr w:type="spellStart"/>
      <w:r>
        <w:t>Out-of</w:t>
      </w:r>
      <w:proofErr w:type="spellEnd"/>
      <w:r w:rsidR="00AF0BC3">
        <w:t xml:space="preserve"> </w:t>
      </w:r>
      <w:r>
        <w:t>Service</w:t>
      </w:r>
    </w:p>
    <w:p w14:paraId="2F4468A6" w14:textId="4DF4D05A" w:rsidR="00E66CCA" w:rsidRDefault="00E66CCA" w:rsidP="00102F14">
      <w:pPr>
        <w:pStyle w:val="Caption"/>
      </w:pPr>
      <w:r>
        <w:rPr>
          <w:noProof/>
        </w:rPr>
        <w:drawing>
          <wp:inline distT="0" distB="0" distL="0" distR="0" wp14:anchorId="5B27E4C5" wp14:editId="24804850">
            <wp:extent cx="5944235" cy="366395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4235" cy="3663950"/>
                    </a:xfrm>
                    <a:prstGeom prst="rect">
                      <a:avLst/>
                    </a:prstGeom>
                    <a:noFill/>
                  </pic:spPr>
                </pic:pic>
              </a:graphicData>
            </a:graphic>
          </wp:inline>
        </w:drawing>
      </w:r>
    </w:p>
    <w:p w14:paraId="2F377475" w14:textId="77777777" w:rsidR="00E66CCA" w:rsidRPr="007F4000" w:rsidRDefault="00E66CCA" w:rsidP="007F4000"/>
    <w:p w14:paraId="6E6F70AF" w14:textId="77777777" w:rsidR="00E66CCA" w:rsidRPr="00C958F9" w:rsidRDefault="00E66CCA" w:rsidP="00E66CCA">
      <w:pPr>
        <w:pStyle w:val="BodyText"/>
      </w:pPr>
      <w:r w:rsidRPr="00C958F9">
        <w:t xml:space="preserve">As renewable generation interconnects to the system and synchronous generation retires, an overall decrease in the average system inertia is </w:t>
      </w:r>
      <w:r>
        <w:t>expected</w:t>
      </w:r>
      <w:r w:rsidRPr="00C958F9">
        <w:t xml:space="preserve">. Since the future renewable models interconnecting in the other areas are not available for this assessment, the impact of external area inertia on maintaining system stability was investigated by reducing the inertia constant of the synchronous generators in the other areas. Thus, in order to model and study penetration of renewable resources across the other portion of </w:t>
      </w:r>
      <w:r>
        <w:t>the Eastern Interconnection</w:t>
      </w:r>
      <w:r w:rsidRPr="00C958F9">
        <w:t xml:space="preserve">, as a proxy, the inertia constant (H) of all the synchronous generator models was reduced, which in turn will reduce the overall inertia of the system. For this study, the inertia constant across the </w:t>
      </w:r>
      <w:r>
        <w:t>Eastern Interconnection</w:t>
      </w:r>
      <w:r w:rsidRPr="00C958F9">
        <w:t xml:space="preserve">, except for the NYCA generators, was reduced by </w:t>
      </w:r>
      <w:r>
        <w:t xml:space="preserve">approximately </w:t>
      </w:r>
      <w:r w:rsidRPr="00C958F9">
        <w:t>50%</w:t>
      </w:r>
      <w:r>
        <w:t xml:space="preserve"> (NYCA generators were not reduced as we included age-based generation removals and the 70x30 renewable dispatch in the development of the cases)</w:t>
      </w:r>
      <w:r w:rsidRPr="00C958F9">
        <w:t xml:space="preserve">. </w:t>
      </w:r>
    </w:p>
    <w:p w14:paraId="4442D53F" w14:textId="77777777" w:rsidR="00E66CCA" w:rsidRPr="00C958F9" w:rsidRDefault="00E66CCA" w:rsidP="00E66CCA">
      <w:pPr>
        <w:pStyle w:val="BodyText"/>
      </w:pPr>
      <w:r w:rsidRPr="00C958F9">
        <w:t>As seen in</w:t>
      </w:r>
      <w:r>
        <w:t xml:space="preserve"> </w:t>
      </w:r>
      <w:fldSimple w:instr=" REF _Ref77078951 ">
        <w:r>
          <w:t xml:space="preserve">Figure </w:t>
        </w:r>
        <w:r>
          <w:rPr>
            <w:noProof/>
          </w:rPr>
          <w:t>24</w:t>
        </w:r>
      </w:fldSimple>
      <w:r w:rsidRPr="00C958F9">
        <w:t xml:space="preserve">, the </w:t>
      </w:r>
      <w:r>
        <w:t>frequency response observed</w:t>
      </w:r>
      <w:r w:rsidRPr="00C958F9">
        <w:t xml:space="preserve"> with inertia constant (H) reduced by </w:t>
      </w:r>
      <w:r>
        <w:t xml:space="preserve">approximately </w:t>
      </w:r>
      <w:r w:rsidRPr="00C958F9">
        <w:t xml:space="preserve">50% are slightly inferior to the system frequency response with 100% of the inertia constant. However, the simulation indicated an overall stable response. The summary of the system frequency response characteristics </w:t>
      </w:r>
      <w:r>
        <w:t xml:space="preserve">for the Eastern Interconnection </w:t>
      </w:r>
      <w:r w:rsidRPr="00C958F9">
        <w:t xml:space="preserve">is provided </w:t>
      </w:r>
      <w:r>
        <w:t xml:space="preserve">in </w:t>
      </w:r>
      <w:fldSimple w:instr=" REF _Ref77079535 ">
        <w:r>
          <w:t xml:space="preserve">Figure </w:t>
        </w:r>
        <w:r>
          <w:rPr>
            <w:noProof/>
          </w:rPr>
          <w:t>25</w:t>
        </w:r>
      </w:fldSimple>
      <w:r>
        <w:t xml:space="preserve">.  As seen in Figure 19, the nadir point for the frequency in New York is reduced along with an increased ROCOF.  As there was no change </w:t>
      </w:r>
      <w:r>
        <w:lastRenderedPageBreak/>
        <w:t>in this simulation to the governor response, the primary frequency response through 15 seconds is insignificantly changed.</w:t>
      </w:r>
    </w:p>
    <w:p w14:paraId="52FBAC79" w14:textId="77777777" w:rsidR="00E66CCA" w:rsidRDefault="00E66CCA" w:rsidP="00E66CCA">
      <w:pPr>
        <w:pStyle w:val="Caption"/>
        <w:jc w:val="left"/>
      </w:pPr>
      <w:r>
        <w:t xml:space="preserve">Figure </w:t>
      </w:r>
      <w:fldSimple w:instr=" SEQ Figure \* ARABIC ">
        <w:r>
          <w:rPr>
            <w:noProof/>
          </w:rPr>
          <w:t>24</w:t>
        </w:r>
      </w:fldSimple>
      <w:r>
        <w:t>:  System Frequency Response with External Area Inertia Constant (H) Reduced by Approx. 50%</w:t>
      </w:r>
    </w:p>
    <w:p w14:paraId="1C148EF4" w14:textId="77777777" w:rsidR="00E66CCA" w:rsidRPr="00C958F9" w:rsidRDefault="00E66CCA" w:rsidP="00E66CCA">
      <w:pPr>
        <w:pStyle w:val="Caption"/>
        <w:jc w:val="left"/>
      </w:pPr>
      <w:r>
        <w:rPr>
          <w:noProof/>
        </w:rPr>
        <w:drawing>
          <wp:inline distT="0" distB="0" distL="0" distR="0" wp14:anchorId="6862EA5E" wp14:editId="35C61907">
            <wp:extent cx="5488305" cy="3383280"/>
            <wp:effectExtent l="0" t="0" r="0" b="7620"/>
            <wp:docPr id="147" name="Picture 147" descr="cid:image006.png@01D7789B.48E91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6.png@01D7789B.48E91DA0"/>
                    <pic:cNvPicPr>
                      <a:picLocks noChangeAspect="1" noChangeArrowheads="1"/>
                    </pic:cNvPicPr>
                  </pic:nvPicPr>
                  <pic:blipFill>
                    <a:blip r:embed="rId160" r:link="rId161">
                      <a:extLst>
                        <a:ext uri="{28A0092B-C50C-407E-A947-70E740481C1C}">
                          <a14:useLocalDpi xmlns:a14="http://schemas.microsoft.com/office/drawing/2010/main" val="0"/>
                        </a:ext>
                      </a:extLst>
                    </a:blip>
                    <a:srcRect/>
                    <a:stretch>
                      <a:fillRect/>
                    </a:stretch>
                  </pic:blipFill>
                  <pic:spPr bwMode="auto">
                    <a:xfrm>
                      <a:off x="0" y="0"/>
                      <a:ext cx="5488305" cy="3383280"/>
                    </a:xfrm>
                    <a:prstGeom prst="rect">
                      <a:avLst/>
                    </a:prstGeom>
                    <a:noFill/>
                    <a:ln>
                      <a:noFill/>
                    </a:ln>
                  </pic:spPr>
                </pic:pic>
              </a:graphicData>
            </a:graphic>
          </wp:inline>
        </w:drawing>
      </w:r>
    </w:p>
    <w:p w14:paraId="5BBCD6D1" w14:textId="77777777" w:rsidR="00E66CCA" w:rsidRPr="00C958F9" w:rsidRDefault="00E66CCA" w:rsidP="00E66CCA">
      <w:pPr>
        <w:pStyle w:val="Caption"/>
      </w:pPr>
      <w:r>
        <w:t xml:space="preserve">Figure </w:t>
      </w:r>
      <w:fldSimple w:instr=" SEQ Figure \* ARABIC ">
        <w:r>
          <w:rPr>
            <w:noProof/>
          </w:rPr>
          <w:t>25</w:t>
        </w:r>
      </w:fldSimple>
      <w:r>
        <w:t>:  Summary of System Frequency Response Characteristics - With H Reduced by Approx. 50% in External Areas</w:t>
      </w:r>
      <w:r w:rsidRPr="00EC6720">
        <w:rPr>
          <w:noProof/>
        </w:rPr>
        <w:drawing>
          <wp:inline distT="0" distB="0" distL="0" distR="0" wp14:anchorId="0BBAE535" wp14:editId="1BF7D68E">
            <wp:extent cx="5638644" cy="1463040"/>
            <wp:effectExtent l="0" t="0" r="635" b="381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638644" cy="1463040"/>
                    </a:xfrm>
                    <a:prstGeom prst="rect">
                      <a:avLst/>
                    </a:prstGeom>
                    <a:noFill/>
                    <a:ln>
                      <a:noFill/>
                    </a:ln>
                  </pic:spPr>
                </pic:pic>
              </a:graphicData>
            </a:graphic>
          </wp:inline>
        </w:drawing>
      </w:r>
    </w:p>
    <w:p w14:paraId="768A0842" w14:textId="77777777" w:rsidR="00E66CCA" w:rsidRPr="00C958F9" w:rsidRDefault="00E66CCA" w:rsidP="00E66CCA">
      <w:pPr>
        <w:pStyle w:val="BodyText"/>
      </w:pPr>
      <w:r>
        <w:t xml:space="preserve">In addition to the expectation for reduced system inertia with increased renewable resource penetration it is also anticipated that the governor responsiveness may be increasingly squelched.  To account for this expectation an additional evaluation was performed, </w:t>
      </w:r>
      <w:r w:rsidRPr="00C958F9">
        <w:t>in addition to the reduction in inertia by 50%</w:t>
      </w:r>
      <w:r>
        <w:t xml:space="preserve">, by squelching the governor response characteristics of </w:t>
      </w:r>
      <w:r w:rsidRPr="00C958F9">
        <w:t xml:space="preserve">generators </w:t>
      </w:r>
      <w:r>
        <w:t>in the eastern interconnection that have</w:t>
      </w:r>
      <w:r w:rsidRPr="00C958F9">
        <w:t xml:space="preserve"> more than 200 MVA in capacity and</w:t>
      </w:r>
      <w:r>
        <w:t xml:space="preserve"> that are </w:t>
      </w:r>
      <w:r w:rsidRPr="00C958F9">
        <w:t>classified as full responsive.</w:t>
      </w:r>
      <w:r w:rsidRPr="007B0B89">
        <w:rPr>
          <w:vertAlign w:val="superscript"/>
        </w:rPr>
        <w:footnoteReference w:id="56"/>
      </w:r>
    </w:p>
    <w:p w14:paraId="286BC13E" w14:textId="4359DE2D" w:rsidR="00E66CCA" w:rsidRPr="00C958F9" w:rsidRDefault="00E66CCA" w:rsidP="00E66CCA">
      <w:pPr>
        <w:pStyle w:val="BodyText"/>
      </w:pPr>
      <w:r w:rsidRPr="00C958F9">
        <w:lastRenderedPageBreak/>
        <w:t>The system frequency response and response characteristics seen for this condition for the loss of OSW are shown in</w:t>
      </w:r>
      <w:r>
        <w:t xml:space="preserve"> </w:t>
      </w:r>
      <w:fldSimple w:instr=" REF _Ref77080229 ">
        <w:r>
          <w:t xml:space="preserve">Figure </w:t>
        </w:r>
        <w:r>
          <w:rPr>
            <w:noProof/>
          </w:rPr>
          <w:t>26</w:t>
        </w:r>
      </w:fldSimple>
      <w:r>
        <w:rPr>
          <w:noProof/>
        </w:rPr>
        <w:t xml:space="preserve">. </w:t>
      </w:r>
      <w:r>
        <w:t xml:space="preserve"> The frequency response characteristics for this condition are the same as shown in </w:t>
      </w:r>
      <w:fldSimple w:instr=" REF _Ref77079535 ">
        <w:r>
          <w:t xml:space="preserve">Figure </w:t>
        </w:r>
        <w:r>
          <w:rPr>
            <w:noProof/>
          </w:rPr>
          <w:t>25</w:t>
        </w:r>
      </w:fldSimple>
      <w:r>
        <w:t xml:space="preserve"> with 50% inertia constant</w:t>
      </w:r>
      <w:r w:rsidRPr="00C958F9">
        <w:t xml:space="preserve">. </w:t>
      </w:r>
      <w:r>
        <w:t xml:space="preserve">  As observed from comparing </w:t>
      </w:r>
      <w:fldSimple w:instr=" REF _Ref77078951 ">
        <w:r>
          <w:t xml:space="preserve">Figure </w:t>
        </w:r>
        <w:r>
          <w:rPr>
            <w:noProof/>
          </w:rPr>
          <w:t>24</w:t>
        </w:r>
      </w:fldSimple>
      <w:r>
        <w:t xml:space="preserve"> to </w:t>
      </w:r>
      <w:fldSimple w:instr=" REF _Ref77080229 ">
        <w:r>
          <w:t xml:space="preserve">Figure </w:t>
        </w:r>
        <w:r>
          <w:rPr>
            <w:noProof/>
          </w:rPr>
          <w:t>26</w:t>
        </w:r>
      </w:fldSimple>
      <w:r>
        <w:t xml:space="preserve"> and </w:t>
      </w:r>
      <w:fldSimple w:instr=" REF _Ref77079535 ">
        <w:r>
          <w:t xml:space="preserve">Figure </w:t>
        </w:r>
        <w:r>
          <w:rPr>
            <w:noProof/>
          </w:rPr>
          <w:t>25</w:t>
        </w:r>
      </w:fldSimple>
      <w:r>
        <w:t xml:space="preserve"> to </w:t>
      </w:r>
      <w:fldSimple w:instr=" REF _Ref77156819 ">
        <w:r>
          <w:t xml:space="preserve">Figure </w:t>
        </w:r>
        <w:r>
          <w:rPr>
            <w:noProof/>
          </w:rPr>
          <w:t>27</w:t>
        </w:r>
      </w:fldSimple>
      <w:r>
        <w:t xml:space="preserve">, </w:t>
      </w:r>
      <w:r w:rsidRPr="00C958F9">
        <w:t xml:space="preserve">the </w:t>
      </w:r>
      <w:r>
        <w:t xml:space="preserve">change in nadir point in each area is not impacted by squelching the governor response as the nadir point is primarily impacted by system inertia.  </w:t>
      </w:r>
      <w:r w:rsidRPr="00C958F9">
        <w:t xml:space="preserve">However, the frequency recovery response is different. In the case with system inertia reduced by 50%, the bus frequency recovers to 59.9 Hz in </w:t>
      </w:r>
      <w:r>
        <w:t>10 seconds with increased frequency improvement seen through 15 seconds,</w:t>
      </w:r>
      <w:r w:rsidRPr="00C958F9">
        <w:t xml:space="preserve"> </w:t>
      </w:r>
      <w:proofErr w:type="gramStart"/>
      <w:r w:rsidRPr="00C958F9">
        <w:t>where as</w:t>
      </w:r>
      <w:proofErr w:type="gramEnd"/>
      <w:r w:rsidRPr="00C958F9">
        <w:t xml:space="preserve"> in the case with system inertia reduced by 50% and generators squelched, the frequency </w:t>
      </w:r>
      <w:r>
        <w:t>does not recovery</w:t>
      </w:r>
      <w:r w:rsidRPr="00C958F9">
        <w:t xml:space="preserve"> to 59.9 Hz by 15 seconds. Thus, it is seen from this analysis that reduction in system inertia can degrade the frequency nadir and ROCOF</w:t>
      </w:r>
      <w:r>
        <w:t>,</w:t>
      </w:r>
      <w:r w:rsidRPr="00C958F9">
        <w:t xml:space="preserve"> while the reduction in the governor response capabilities impacts the stabilizing and recovery characteristics of the system frequency response. </w:t>
      </w:r>
    </w:p>
    <w:p w14:paraId="48E12557" w14:textId="77777777" w:rsidR="00E66CCA" w:rsidRDefault="00E66CCA" w:rsidP="00E66CCA">
      <w:pPr>
        <w:pStyle w:val="Caption"/>
      </w:pPr>
      <w:r>
        <w:t xml:space="preserve">Figure </w:t>
      </w:r>
      <w:fldSimple w:instr=" SEQ Figure \* ARABIC ">
        <w:r>
          <w:rPr>
            <w:noProof/>
          </w:rPr>
          <w:t>26</w:t>
        </w:r>
      </w:fldSimple>
      <w:r>
        <w:t>:  System Frequency Response Characteristic with External Area Inertia Constant (H) Reduced by 50% and Increased Governor Squelching</w:t>
      </w:r>
      <w:r>
        <w:rPr>
          <w:noProof/>
        </w:rPr>
        <w:drawing>
          <wp:inline distT="0" distB="0" distL="0" distR="0" wp14:anchorId="0DEED730" wp14:editId="1EC1F87F">
            <wp:extent cx="5499568" cy="3383280"/>
            <wp:effectExtent l="0" t="0" r="6350" b="7620"/>
            <wp:docPr id="149" name="Picture 149" descr="cid:image007.png@01D7789B.48E91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7.png@01D7789B.48E91DA0"/>
                    <pic:cNvPicPr>
                      <a:picLocks noChangeAspect="1" noChangeArrowheads="1"/>
                    </pic:cNvPicPr>
                  </pic:nvPicPr>
                  <pic:blipFill>
                    <a:blip r:embed="rId163" r:link="rId164">
                      <a:extLst>
                        <a:ext uri="{28A0092B-C50C-407E-A947-70E740481C1C}">
                          <a14:useLocalDpi xmlns:a14="http://schemas.microsoft.com/office/drawing/2010/main" val="0"/>
                        </a:ext>
                      </a:extLst>
                    </a:blip>
                    <a:srcRect/>
                    <a:stretch>
                      <a:fillRect/>
                    </a:stretch>
                  </pic:blipFill>
                  <pic:spPr bwMode="auto">
                    <a:xfrm>
                      <a:off x="0" y="0"/>
                      <a:ext cx="5499568" cy="3383280"/>
                    </a:xfrm>
                    <a:prstGeom prst="rect">
                      <a:avLst/>
                    </a:prstGeom>
                    <a:noFill/>
                    <a:ln>
                      <a:noFill/>
                    </a:ln>
                  </pic:spPr>
                </pic:pic>
              </a:graphicData>
            </a:graphic>
          </wp:inline>
        </w:drawing>
      </w:r>
    </w:p>
    <w:p w14:paraId="00624ED4" w14:textId="77777777" w:rsidR="00E66CCA" w:rsidRPr="00445BC7" w:rsidRDefault="00E66CCA" w:rsidP="00E66CCA"/>
    <w:p w14:paraId="7C806702" w14:textId="77777777" w:rsidR="0040021B" w:rsidRDefault="00E66CCA" w:rsidP="00E66CCA">
      <w:pPr>
        <w:pStyle w:val="Caption"/>
      </w:pPr>
      <w:r>
        <w:lastRenderedPageBreak/>
        <w:t xml:space="preserve">Figure </w:t>
      </w:r>
      <w:fldSimple w:instr=" SEQ Figure \* ARABIC ">
        <w:r>
          <w:rPr>
            <w:noProof/>
          </w:rPr>
          <w:t>27</w:t>
        </w:r>
      </w:fldSimple>
      <w:r>
        <w:t>:  Summary of Frequency Response Characteristics - With H Reduced by Approx. 50% and Increased Governor Squelching</w:t>
      </w:r>
      <w:r w:rsidRPr="00445BC7">
        <w:t xml:space="preserve"> </w:t>
      </w:r>
    </w:p>
    <w:p w14:paraId="5676D4C9" w14:textId="5246ADA5" w:rsidR="00E66CCA" w:rsidRDefault="00E66CCA" w:rsidP="00E66CCA">
      <w:pPr>
        <w:pStyle w:val="Caption"/>
      </w:pPr>
      <w:r w:rsidRPr="00445BC7">
        <w:rPr>
          <w:noProof/>
        </w:rPr>
        <w:drawing>
          <wp:inline distT="0" distB="0" distL="0" distR="0" wp14:anchorId="1266F27C" wp14:editId="12714A6E">
            <wp:extent cx="5943600" cy="1514527"/>
            <wp:effectExtent l="0" t="0" r="0"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1514527"/>
                    </a:xfrm>
                    <a:prstGeom prst="rect">
                      <a:avLst/>
                    </a:prstGeom>
                    <a:noFill/>
                    <a:ln>
                      <a:noFill/>
                    </a:ln>
                  </pic:spPr>
                </pic:pic>
              </a:graphicData>
            </a:graphic>
          </wp:inline>
        </w:drawing>
      </w:r>
    </w:p>
    <w:p w14:paraId="6138038E" w14:textId="77777777" w:rsidR="00E66CCA" w:rsidRPr="007F4000" w:rsidRDefault="00E66CCA" w:rsidP="007F4000"/>
    <w:p w14:paraId="0A93D7EB" w14:textId="5E28D3F5" w:rsidR="00F245B6" w:rsidRDefault="00F245B6" w:rsidP="00F245B6">
      <w:pPr>
        <w:pStyle w:val="Heading2"/>
      </w:pPr>
      <w:bookmarkStart w:id="161" w:name="_Toc80191688"/>
      <w:bookmarkStart w:id="162" w:name="_Toc81138733"/>
      <w:r>
        <w:t>Short-Circuit</w:t>
      </w:r>
      <w:bookmarkEnd w:id="161"/>
      <w:r w:rsidR="00E41016">
        <w:t xml:space="preserve"> Ratio</w:t>
      </w:r>
      <w:bookmarkEnd w:id="162"/>
    </w:p>
    <w:p w14:paraId="5F144024" w14:textId="77777777" w:rsidR="00E66CCA" w:rsidRPr="00E64E70" w:rsidRDefault="00E66CCA" w:rsidP="00E66CCA">
      <w:pPr>
        <w:pStyle w:val="Heading3"/>
      </w:pPr>
      <w:bookmarkStart w:id="163" w:name="_Toc81138734"/>
      <w:r>
        <w:t>Background on Short-Circuit Ratio</w:t>
      </w:r>
      <w:bookmarkEnd w:id="163"/>
    </w:p>
    <w:p w14:paraId="26ED8CEE" w14:textId="253C36BF" w:rsidR="00E66CCA" w:rsidRDefault="00E66CCA" w:rsidP="00E66CCA">
      <w:pPr>
        <w:pStyle w:val="BodyText"/>
      </w:pPr>
      <w:r>
        <w:t>With the planned increased to renewable energy resources on the system, there are several important considerations to evaluate in addition to traditional steady state and dynamics analysis.  It is expected that many renewable generators will connect to the grid asynchronously through power electronic devices (</w:t>
      </w:r>
      <w:r w:rsidRPr="0040021B">
        <w:rPr>
          <w:i/>
        </w:rPr>
        <w:t>i.e.</w:t>
      </w:r>
      <w:r w:rsidR="0040021B" w:rsidRPr="0040021B">
        <w:rPr>
          <w:i/>
        </w:rPr>
        <w:t>,</w:t>
      </w:r>
      <w:r>
        <w:t xml:space="preserve"> inverter-based resources).  The ability of inverter-based resources to function properly often depends on the strength of the grid at or near the interconnection of the resources.  Grid strength is a commonly used term to describe how the system responds to system changes (</w:t>
      </w:r>
      <w:r w:rsidRPr="00E4725F">
        <w:rPr>
          <w:i/>
        </w:rPr>
        <w:t>e.g</w:t>
      </w:r>
      <w:r w:rsidRPr="00AF41CA">
        <w:rPr>
          <w:i/>
        </w:rPr>
        <w:t>.,</w:t>
      </w:r>
      <w:r>
        <w:t xml:space="preserve"> changes in load,</w:t>
      </w:r>
      <w:r w:rsidR="0040021B">
        <w:t xml:space="preserve"> and</w:t>
      </w:r>
      <w:r>
        <w:t xml:space="preserve"> equipment switching).  In a “strong” system, the voltage and angle are relatively insensitive to changes in current injection from the inverter-based resource.  Inverter-based resources connecting to a portion of the system rich in synchronous generation that is electrically close or relatively large is likely connecting to a strong system.  Inverter-based resources connected to a “weak” portion of the grid may be subject to instability, adverse control interactions, and other issues.</w:t>
      </w:r>
      <w:r w:rsidRPr="00E64E70">
        <w:rPr>
          <w:vertAlign w:val="superscript"/>
        </w:rPr>
        <w:footnoteReference w:id="57"/>
      </w:r>
      <w:r w:rsidRPr="00E64E70">
        <w:rPr>
          <w:vertAlign w:val="superscript"/>
        </w:rPr>
        <w:t xml:space="preserve"> </w:t>
      </w:r>
      <w:r>
        <w:t xml:space="preserve"> </w:t>
      </w:r>
    </w:p>
    <w:p w14:paraId="024456DD" w14:textId="77777777" w:rsidR="00E66CCA" w:rsidRDefault="00E66CCA" w:rsidP="00E66CCA">
      <w:pPr>
        <w:pStyle w:val="BodyText"/>
      </w:pPr>
      <w:r>
        <w:t xml:space="preserve">As documented by NERC, inverter-based resources are particularly susceptible to weak grid conditions for several reasons.  First, they have little or no inertia in their mechanical systems to provide the synchronizing power inherent in more traditional generation forms.  Their ability to provide expected real and reactive power is dependent on the electronic controls which separate the power source from the grid.  These controls depend on a stable voltage reference from the grid.  As the system is weakened, the voltage reference becomes less stable thereby leading to unstable controls behavior.  </w:t>
      </w:r>
    </w:p>
    <w:p w14:paraId="12C50BF1" w14:textId="6D7AEFDF" w:rsidR="00E66CCA" w:rsidRDefault="00E66CCA" w:rsidP="00E66CCA">
      <w:pPr>
        <w:pStyle w:val="BodyText"/>
      </w:pPr>
      <w:r>
        <w:t xml:space="preserve">The prevailing measure of system strength is the </w:t>
      </w:r>
      <w:r w:rsidR="00A132AD">
        <w:t>s</w:t>
      </w:r>
      <w:r>
        <w:t>hort-</w:t>
      </w:r>
      <w:r w:rsidR="00A132AD">
        <w:t>c</w:t>
      </w:r>
      <w:r>
        <w:t xml:space="preserve">ircuit </w:t>
      </w:r>
      <w:r w:rsidR="00A132AD">
        <w:t>r</w:t>
      </w:r>
      <w:r>
        <w:t xml:space="preserve">atio calculation.  </w:t>
      </w:r>
      <w:r w:rsidR="00A132AD">
        <w:t xml:space="preserve">Short-circuit ratio </w:t>
      </w:r>
      <w:r>
        <w:t xml:space="preserve">is </w:t>
      </w:r>
      <w:r>
        <w:lastRenderedPageBreak/>
        <w:t>defined as the ratio of short-circuit apparent power (SCMVA) at the point of interconnection (POI) from a 3-phase fault at the POI to the power rating of the resource.</w:t>
      </w:r>
    </w:p>
    <w:p w14:paraId="2C67E41C" w14:textId="20513D64" w:rsidR="00E66CCA" w:rsidRPr="005176C8" w:rsidRDefault="0008271B" w:rsidP="00E66CCA">
      <w:pPr>
        <w:pStyle w:val="BodyText"/>
      </w:pPr>
      <m:oMathPara>
        <m:oMath>
          <m:sSub>
            <m:sSubPr>
              <m:ctrlPr>
                <w:rPr>
                  <w:rFonts w:ascii="Cambria Math" w:hAnsi="Cambria Math"/>
                </w:rPr>
              </m:ctrlPr>
            </m:sSubPr>
            <m:e>
              <m:r>
                <w:rPr>
                  <w:rFonts w:ascii="Cambria Math" w:hAnsi="Cambria Math"/>
                </w:rPr>
                <m:t>Short</m:t>
              </m:r>
              <m:r>
                <m:rPr>
                  <m:sty m:val="p"/>
                </m:rPr>
                <w:rPr>
                  <w:rFonts w:ascii="Cambria Math" w:hAnsi="Cambria Math"/>
                </w:rPr>
                <w:softHyphen/>
              </m:r>
              <m:r>
                <w:rPr>
                  <w:rFonts w:ascii="Cambria Math" w:hAnsi="Cambria Math"/>
                </w:rPr>
                <m:t xml:space="preserve"> Circuit Ratio</m:t>
              </m:r>
            </m:e>
            <m:sub>
              <m:r>
                <w:rPr>
                  <w:rFonts w:ascii="Cambria Math" w:hAnsi="Cambria Math"/>
                </w:rPr>
                <m:t>POI</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SCMVA</m:t>
                  </m:r>
                </m:e>
                <m:sub>
                  <m:r>
                    <w:rPr>
                      <w:rFonts w:ascii="Cambria Math" w:hAnsi="Cambria Math"/>
                    </w:rPr>
                    <m:t>POI</m:t>
                  </m:r>
                </m:sub>
              </m:sSub>
            </m:num>
            <m:den>
              <m:r>
                <w:rPr>
                  <w:rFonts w:ascii="Cambria Math" w:hAnsi="Cambria Math"/>
                </w:rPr>
                <m:t>MW</m:t>
              </m:r>
            </m:den>
          </m:f>
        </m:oMath>
      </m:oMathPara>
    </w:p>
    <w:p w14:paraId="28A6E28F" w14:textId="276BF872" w:rsidR="00E66CCA" w:rsidRDefault="00E66CCA" w:rsidP="00E66CCA">
      <w:pPr>
        <w:pStyle w:val="BodyText"/>
      </w:pPr>
      <w:r>
        <w:t xml:space="preserve">For example, a 300 MW </w:t>
      </w:r>
      <w:proofErr w:type="gramStart"/>
      <w:r>
        <w:t>inverter based</w:t>
      </w:r>
      <w:proofErr w:type="gramEnd"/>
      <w:r>
        <w:t xml:space="preserve"> resource with a SCMVA of 717 MVA equates to a </w:t>
      </w:r>
      <w:r w:rsidR="00A132AD">
        <w:t xml:space="preserve">short-circuit ratio </w:t>
      </w:r>
      <w:r>
        <w:t xml:space="preserve">of 2.39.  This method of calculating </w:t>
      </w:r>
      <w:r w:rsidR="00A132AD">
        <w:t xml:space="preserve">short-circuit ratio </w:t>
      </w:r>
      <w:r>
        <w:t xml:space="preserve">is most appropriate when the </w:t>
      </w:r>
      <w:proofErr w:type="gramStart"/>
      <w:r>
        <w:t>inverter based</w:t>
      </w:r>
      <w:proofErr w:type="gramEnd"/>
      <w:r>
        <w:t xml:space="preserve"> resource is not in close proximity to other inverter-based resources.  The weighted short-circuit ratio (WSCR) is a more appropriate methodology for determining the short-circuit ratio amongst closely connected </w:t>
      </w:r>
      <w:proofErr w:type="gramStart"/>
      <w:r>
        <w:t>inverter based</w:t>
      </w:r>
      <w:proofErr w:type="gramEnd"/>
      <w:r>
        <w:t xml:space="preserve"> resources where </w:t>
      </w:r>
      <w:proofErr w:type="spellStart"/>
      <w:r>
        <w:t>SCMVA</w:t>
      </w:r>
      <w:r w:rsidRPr="00E64E70">
        <w:t>i</w:t>
      </w:r>
      <w:proofErr w:type="spellEnd"/>
      <w:r>
        <w:t xml:space="preserve"> is the short-circuit capacity at bus </w:t>
      </w:r>
      <w:proofErr w:type="spellStart"/>
      <w:r>
        <w:t>i</w:t>
      </w:r>
      <w:proofErr w:type="spellEnd"/>
      <w:r>
        <w:t xml:space="preserve"> without current contribution from non-synchronous generation and </w:t>
      </w:r>
      <w:proofErr w:type="spellStart"/>
      <w:r>
        <w:t>P</w:t>
      </w:r>
      <w:r w:rsidRPr="00E64E70">
        <w:t>RMWi</w:t>
      </w:r>
      <w:proofErr w:type="spellEnd"/>
      <w:r>
        <w:t xml:space="preserve"> is the MW rating of non-synchronous generation to be connected at bus </w:t>
      </w:r>
      <w:proofErr w:type="spellStart"/>
      <w:r w:rsidRPr="00E64E70">
        <w:t>i</w:t>
      </w:r>
      <w:proofErr w:type="spellEnd"/>
      <w:r>
        <w:t xml:space="preserve">.  N is the number of inverter-based resource plants fully interacting with each other and </w:t>
      </w:r>
      <w:proofErr w:type="spellStart"/>
      <w:r w:rsidRPr="00E64E70">
        <w:t>i</w:t>
      </w:r>
      <w:proofErr w:type="spellEnd"/>
      <w:r>
        <w:t xml:space="preserve"> is the plant index.  </w:t>
      </w:r>
    </w:p>
    <w:p w14:paraId="254E605E" w14:textId="77777777" w:rsidR="00E66CCA" w:rsidRPr="005C467F" w:rsidRDefault="00E66CCA" w:rsidP="00E66CCA">
      <w:pPr>
        <w:pStyle w:val="BodyText"/>
      </w:pPr>
      <m:oMathPara>
        <m:oMath>
          <m:r>
            <w:rPr>
              <w:rFonts w:ascii="Cambria Math" w:hAnsi="Cambria Math"/>
            </w:rPr>
            <m:t>WSCR</m:t>
          </m:r>
          <m:r>
            <m:rPr>
              <m:sty m:val="p"/>
            </m:rPr>
            <w:rPr>
              <w:rFonts w:ascii="Cambria Math" w:hAnsi="Cambria Math"/>
            </w:rPr>
            <m:t xml:space="preserve">= </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sub>
                <m:sup>
                  <m:r>
                    <w:rPr>
                      <w:rFonts w:ascii="Cambria Math" w:hAnsi="Cambria Math"/>
                    </w:rPr>
                    <m:t>N</m:t>
                  </m:r>
                </m:sup>
                <m:e>
                  <m:sSub>
                    <m:sSubPr>
                      <m:ctrlPr>
                        <w:rPr>
                          <w:rFonts w:ascii="Cambria Math" w:hAnsi="Cambria Math"/>
                        </w:rPr>
                      </m:ctrlPr>
                    </m:sSubPr>
                    <m:e>
                      <m:r>
                        <w:rPr>
                          <w:rFonts w:ascii="Cambria Math" w:hAnsi="Cambria Math"/>
                        </w:rPr>
                        <m:t>SCMVA</m:t>
                      </m:r>
                    </m:e>
                    <m:sub>
                      <m:r>
                        <w:rPr>
                          <w:rFonts w:ascii="Cambria Math" w:hAnsi="Cambria Math"/>
                        </w:rPr>
                        <m:t>i</m:t>
                      </m:r>
                    </m:sub>
                  </m:sSub>
                </m:e>
              </m:nary>
              <m:r>
                <m:rPr>
                  <m:sty m:val="p"/>
                </m:rPr>
                <w:rPr>
                  <w:rFonts w:ascii="Cambria Math" w:hAnsi="Cambria Math"/>
                </w:rPr>
                <m:t>×</m:t>
              </m:r>
              <m:sSub>
                <m:sSubPr>
                  <m:ctrlPr>
                    <w:rPr>
                      <w:rFonts w:ascii="Cambria Math" w:hAnsi="Cambria Math"/>
                    </w:rPr>
                  </m:ctrlPr>
                </m:sSubPr>
                <m:e>
                  <m:sSub>
                    <m:sSubPr>
                      <m:ctrlPr>
                        <w:rPr>
                          <w:rFonts w:ascii="Cambria Math" w:hAnsi="Cambria Math"/>
                        </w:rPr>
                      </m:ctrlPr>
                    </m:sSubPr>
                    <m:e>
                      <m:r>
                        <w:rPr>
                          <w:rFonts w:ascii="Cambria Math" w:hAnsi="Cambria Math"/>
                        </w:rPr>
                        <m:t>P</m:t>
                      </m:r>
                    </m:e>
                    <m:sub>
                      <m:r>
                        <w:rPr>
                          <w:rFonts w:ascii="Cambria Math" w:hAnsi="Cambria Math"/>
                        </w:rPr>
                        <m:t>RMW</m:t>
                      </m:r>
                    </m:sub>
                  </m:sSub>
                </m:e>
                <m:sub>
                  <m:r>
                    <w:rPr>
                      <w:rFonts w:ascii="Cambria Math" w:hAnsi="Cambria Math"/>
                    </w:rPr>
                    <m:t>i</m:t>
                  </m:r>
                </m:sub>
              </m:sSub>
            </m:num>
            <m:den>
              <m:sSup>
                <m:sSupPr>
                  <m:ctrlPr>
                    <w:rPr>
                      <w:rFonts w:ascii="Cambria Math" w:hAnsi="Cambria Math"/>
                    </w:rPr>
                  </m:ctrlPr>
                </m:sSupPr>
                <m:e>
                  <m:d>
                    <m:dPr>
                      <m:ctrlPr>
                        <w:rPr>
                          <w:rFonts w:ascii="Cambria Math" w:hAnsi="Cambria Math"/>
                        </w:rPr>
                      </m:ctrlPr>
                    </m:dPr>
                    <m:e>
                      <m:nary>
                        <m:naryPr>
                          <m:chr m:val="∑"/>
                          <m:limLoc m:val="undOvr"/>
                          <m:ctrlPr>
                            <w:rPr>
                              <w:rFonts w:ascii="Cambria Math" w:hAnsi="Cambria Math"/>
                            </w:rPr>
                          </m:ctrlPr>
                        </m:naryPr>
                        <m:sub>
                          <m:r>
                            <w:rPr>
                              <w:rFonts w:ascii="Cambria Math" w:hAnsi="Cambria Math"/>
                            </w:rPr>
                            <m:t>i</m:t>
                          </m:r>
                        </m:sub>
                        <m:sup>
                          <m:r>
                            <w:rPr>
                              <w:rFonts w:ascii="Cambria Math" w:hAnsi="Cambria Math"/>
                            </w:rPr>
                            <m:t>N</m:t>
                          </m:r>
                        </m:sup>
                        <m:e>
                          <m:sSub>
                            <m:sSubPr>
                              <m:ctrlPr>
                                <w:rPr>
                                  <w:rFonts w:ascii="Cambria Math" w:hAnsi="Cambria Math"/>
                                </w:rPr>
                              </m:ctrlPr>
                            </m:sSubPr>
                            <m:e>
                              <m:sSub>
                                <m:sSubPr>
                                  <m:ctrlPr>
                                    <w:rPr>
                                      <w:rFonts w:ascii="Cambria Math" w:hAnsi="Cambria Math"/>
                                    </w:rPr>
                                  </m:ctrlPr>
                                </m:sSubPr>
                                <m:e>
                                  <m:r>
                                    <w:rPr>
                                      <w:rFonts w:ascii="Cambria Math" w:hAnsi="Cambria Math"/>
                                    </w:rPr>
                                    <m:t>P</m:t>
                                  </m:r>
                                </m:e>
                                <m:sub>
                                  <m:r>
                                    <w:rPr>
                                      <w:rFonts w:ascii="Cambria Math" w:hAnsi="Cambria Math"/>
                                    </w:rPr>
                                    <m:t>RMW</m:t>
                                  </m:r>
                                </m:sub>
                              </m:sSub>
                            </m:e>
                            <m:sub>
                              <m:r>
                                <w:rPr>
                                  <w:rFonts w:ascii="Cambria Math" w:hAnsi="Cambria Math"/>
                                </w:rPr>
                                <m:t>i</m:t>
                              </m:r>
                            </m:sub>
                          </m:sSub>
                        </m:e>
                      </m:nary>
                    </m:e>
                  </m:d>
                </m:e>
                <m:sup>
                  <m:r>
                    <m:rPr>
                      <m:sty m:val="p"/>
                    </m:rPr>
                    <w:rPr>
                      <w:rFonts w:ascii="Cambria Math" w:hAnsi="Cambria Math"/>
                    </w:rPr>
                    <m:t>2</m:t>
                  </m:r>
                </m:sup>
              </m:sSup>
            </m:den>
          </m:f>
        </m:oMath>
      </m:oMathPara>
    </w:p>
    <w:p w14:paraId="4AD3B683" w14:textId="2143F3CF" w:rsidR="00E66CCA" w:rsidRDefault="00A132AD" w:rsidP="00E66CCA">
      <w:pPr>
        <w:pStyle w:val="BodyText"/>
      </w:pPr>
      <w:r>
        <w:t xml:space="preserve">Short-circuit ratio </w:t>
      </w:r>
      <w:r w:rsidR="00E66CCA">
        <w:t xml:space="preserve">or WSCR calculations should be used as a guideline to identify potential areas of concern.  These calculations are a guideline to show areas where additional studies may need to be performed when connecting inverter-based resources.  Once </w:t>
      </w:r>
      <w:r>
        <w:t>weak</w:t>
      </w:r>
      <w:r w:rsidR="00E66CCA">
        <w:t xml:space="preserve"> areas are identified, other analysis may need to be performed, such as sub-synchronous control interaction studies or electromagnetic transient.  A typical threshold for identifying low </w:t>
      </w:r>
      <w:r>
        <w:t xml:space="preserve">short-circuit ratio </w:t>
      </w:r>
      <w:r w:rsidR="00E66CCA">
        <w:t>is 3</w:t>
      </w:r>
      <w:r>
        <w:t>.0</w:t>
      </w:r>
      <w:r w:rsidR="00E66CCA">
        <w:t>.</w:t>
      </w:r>
      <w:r w:rsidR="00E66CCA" w:rsidRPr="00E64E70">
        <w:rPr>
          <w:vertAlign w:val="superscript"/>
        </w:rPr>
        <w:footnoteReference w:id="58"/>
      </w:r>
      <w:r w:rsidR="00E66CCA" w:rsidRPr="00E64E70">
        <w:rPr>
          <w:vertAlign w:val="superscript"/>
        </w:rPr>
        <w:t xml:space="preserve"> </w:t>
      </w:r>
      <w:r w:rsidR="00E66CCA">
        <w:t xml:space="preserve">   </w:t>
      </w:r>
    </w:p>
    <w:p w14:paraId="0A805630" w14:textId="77777777" w:rsidR="00E66CCA" w:rsidRDefault="00E66CCA" w:rsidP="00E66CCA">
      <w:pPr>
        <w:pStyle w:val="Heading3"/>
      </w:pPr>
      <w:bookmarkStart w:id="164" w:name="_Toc81138735"/>
      <w:r>
        <w:t>NYCA Short-Circuit Ratio</w:t>
      </w:r>
      <w:bookmarkEnd w:id="164"/>
    </w:p>
    <w:p w14:paraId="787727DB" w14:textId="1263449C" w:rsidR="00E66CCA" w:rsidRDefault="00E66CCA" w:rsidP="00E66CCA">
      <w:pPr>
        <w:pStyle w:val="BodyText"/>
      </w:pPr>
      <w:r>
        <w:t xml:space="preserve">The NYISO evaluated </w:t>
      </w:r>
      <w:r w:rsidR="00A132AD">
        <w:t xml:space="preserve">short-circuit ratio </w:t>
      </w:r>
      <w:r>
        <w:t xml:space="preserve">and WSCR under the 70x30 scenario transmission security base case assumptions.  </w:t>
      </w:r>
      <w:r w:rsidR="00A132AD">
        <w:t xml:space="preserve">Short-circuit ratio </w:t>
      </w:r>
      <w:r>
        <w:t>and WSCR are calculated for all the new and existing wind and solar</w:t>
      </w:r>
      <w:r w:rsidRPr="00264F52">
        <w:t xml:space="preserve"> </w:t>
      </w:r>
      <w:r>
        <w:t xml:space="preserve">plants.  </w:t>
      </w:r>
    </w:p>
    <w:p w14:paraId="0E40F426" w14:textId="4CC318E4" w:rsidR="00E66CCA" w:rsidRDefault="00E66CCA" w:rsidP="00E66CCA">
      <w:pPr>
        <w:pStyle w:val="BodyText"/>
      </w:pPr>
      <w:r>
        <w:fldChar w:fldCharType="begin"/>
      </w:r>
      <w:r>
        <w:instrText xml:space="preserve"> REF _Ref77230191 \h </w:instrText>
      </w:r>
      <w:r>
        <w:fldChar w:fldCharType="separate"/>
      </w:r>
      <w:r>
        <w:t xml:space="preserve">Figure </w:t>
      </w:r>
      <w:r>
        <w:rPr>
          <w:noProof/>
        </w:rPr>
        <w:t>28</w:t>
      </w:r>
      <w:r>
        <w:fldChar w:fldCharType="end"/>
      </w:r>
      <w:r>
        <w:t xml:space="preserve"> shows a summary of the buses in the NYCA that have </w:t>
      </w:r>
      <w:proofErr w:type="gramStart"/>
      <w:r>
        <w:t>an</w:t>
      </w:r>
      <w:proofErr w:type="gramEnd"/>
      <w:r>
        <w:t xml:space="preserve"> </w:t>
      </w:r>
      <w:r w:rsidR="00A132AD">
        <w:t xml:space="preserve">short-circuit ratio </w:t>
      </w:r>
      <w:r>
        <w:t>of less than 3</w:t>
      </w:r>
      <w:r w:rsidR="00A132AD">
        <w:t>.0</w:t>
      </w:r>
      <w:r>
        <w:t xml:space="preserve">. Appendix A provides a summary of all evaluated buses </w:t>
      </w:r>
      <w:r w:rsidR="00A132AD">
        <w:t>short-circuit ratio</w:t>
      </w:r>
      <w:r>
        <w:t xml:space="preserve">.  </w:t>
      </w:r>
      <w:r>
        <w:fldChar w:fldCharType="begin"/>
      </w:r>
      <w:r>
        <w:instrText xml:space="preserve"> REF _Ref77083594 \h </w:instrText>
      </w:r>
      <w:r>
        <w:fldChar w:fldCharType="separate"/>
      </w:r>
      <w:r>
        <w:t xml:space="preserve">Figure </w:t>
      </w:r>
      <w:r>
        <w:rPr>
          <w:noProof/>
        </w:rPr>
        <w:t>29</w:t>
      </w:r>
      <w:r>
        <w:fldChar w:fldCharType="end"/>
      </w:r>
      <w:r>
        <w:t xml:space="preserve"> shows where these buses are located within </w:t>
      </w:r>
      <w:r w:rsidR="00A132AD">
        <w:t xml:space="preserve">New York </w:t>
      </w:r>
      <w:r>
        <w:t xml:space="preserve">where intensity inversely proportional to </w:t>
      </w:r>
      <w:r w:rsidR="00A132AD">
        <w:t xml:space="preserve">short-circuit ratio </w:t>
      </w:r>
      <w:r>
        <w:t xml:space="preserve">to emphasize </w:t>
      </w:r>
      <w:r w:rsidR="00A132AD">
        <w:t>weak</w:t>
      </w:r>
      <w:r>
        <w:t xml:space="preserve"> locations.   </w:t>
      </w:r>
    </w:p>
    <w:p w14:paraId="6CE30562" w14:textId="739EB060" w:rsidR="00E66CCA" w:rsidRDefault="00E66CCA" w:rsidP="00E66CCA">
      <w:pPr>
        <w:pStyle w:val="Caption"/>
      </w:pPr>
      <w:r>
        <w:lastRenderedPageBreak/>
        <w:t xml:space="preserve">Figure </w:t>
      </w:r>
      <w:fldSimple w:instr=" SEQ Figure \* ARABIC ">
        <w:r>
          <w:rPr>
            <w:noProof/>
          </w:rPr>
          <w:t>28</w:t>
        </w:r>
      </w:fldSimple>
      <w:r>
        <w:t xml:space="preserve">:  NYCA Buses with </w:t>
      </w:r>
      <w:r w:rsidR="00E635E8">
        <w:t xml:space="preserve">Short-Circuit Ratio </w:t>
      </w:r>
      <w:r>
        <w:t>Less than 3</w:t>
      </w:r>
      <w:r w:rsidR="00E635E8">
        <w:t>.0</w:t>
      </w:r>
      <w:r w:rsidRPr="00E64E70">
        <w:rPr>
          <w:noProof/>
        </w:rPr>
        <w:drawing>
          <wp:inline distT="0" distB="0" distL="0" distR="0" wp14:anchorId="560A8E1F" wp14:editId="6DFB2D86">
            <wp:extent cx="4417695" cy="1654810"/>
            <wp:effectExtent l="0" t="0" r="190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417695" cy="1654810"/>
                    </a:xfrm>
                    <a:prstGeom prst="rect">
                      <a:avLst/>
                    </a:prstGeom>
                    <a:noFill/>
                    <a:ln>
                      <a:noFill/>
                    </a:ln>
                  </pic:spPr>
                </pic:pic>
              </a:graphicData>
            </a:graphic>
          </wp:inline>
        </w:drawing>
      </w:r>
    </w:p>
    <w:p w14:paraId="5C52678D" w14:textId="77777777" w:rsidR="00E66CCA" w:rsidRDefault="00E66CCA" w:rsidP="00E66CCA">
      <w:pPr>
        <w:pStyle w:val="BodyText"/>
      </w:pPr>
    </w:p>
    <w:p w14:paraId="605B7C3D" w14:textId="77777777" w:rsidR="00E66CCA" w:rsidRDefault="00E66CCA" w:rsidP="00E66CCA">
      <w:pPr>
        <w:pStyle w:val="Caption"/>
      </w:pPr>
      <w:r>
        <w:t xml:space="preserve">Figure </w:t>
      </w:r>
      <w:fldSimple w:instr=" SEQ Figure \* ARABIC ">
        <w:r>
          <w:rPr>
            <w:noProof/>
          </w:rPr>
          <w:t>29</w:t>
        </w:r>
      </w:fldSimple>
      <w:r>
        <w:t>:  Case 1 Short-Circuit Ratio Locations</w:t>
      </w:r>
      <w:r>
        <w:rPr>
          <w:noProof/>
        </w:rPr>
        <w:drawing>
          <wp:inline distT="0" distB="0" distL="0" distR="0" wp14:anchorId="580E6DF5" wp14:editId="3C9D28A5">
            <wp:extent cx="4541364" cy="3749040"/>
            <wp:effectExtent l="0" t="0" r="0" b="381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49786" t="13629" b="9737"/>
                    <a:stretch/>
                  </pic:blipFill>
                  <pic:spPr bwMode="auto">
                    <a:xfrm>
                      <a:off x="0" y="0"/>
                      <a:ext cx="4541364" cy="3749040"/>
                    </a:xfrm>
                    <a:prstGeom prst="rect">
                      <a:avLst/>
                    </a:prstGeom>
                    <a:ln>
                      <a:noFill/>
                    </a:ln>
                    <a:extLst>
                      <a:ext uri="{53640926-AAD7-44D8-BBD7-CCE9431645EC}">
                        <a14:shadowObscured xmlns:a14="http://schemas.microsoft.com/office/drawing/2010/main"/>
                      </a:ext>
                    </a:extLst>
                  </pic:spPr>
                </pic:pic>
              </a:graphicData>
            </a:graphic>
          </wp:inline>
        </w:drawing>
      </w:r>
    </w:p>
    <w:p w14:paraId="30BA1F35" w14:textId="77777777" w:rsidR="00E66CCA" w:rsidRDefault="00E66CCA" w:rsidP="00E66CCA">
      <w:pPr>
        <w:pStyle w:val="BodyText"/>
      </w:pPr>
    </w:p>
    <w:p w14:paraId="6F4BEF12" w14:textId="29E15301" w:rsidR="00E66CCA" w:rsidRDefault="00E66CCA" w:rsidP="00E66CCA">
      <w:pPr>
        <w:pStyle w:val="BodyText"/>
      </w:pPr>
      <w:r>
        <w:t xml:space="preserve">In performing the WSCR calculations the evaluations included groups of inverter-based generators in a </w:t>
      </w:r>
      <w:proofErr w:type="gramStart"/>
      <w:r>
        <w:t>22 kilometer</w:t>
      </w:r>
      <w:proofErr w:type="gramEnd"/>
      <w:r>
        <w:t xml:space="preserve"> radius.  The </w:t>
      </w:r>
      <w:proofErr w:type="gramStart"/>
      <w:r>
        <w:t>22 kilometer</w:t>
      </w:r>
      <w:proofErr w:type="gramEnd"/>
      <w:r>
        <w:t xml:space="preserve"> distance is selected because this correspond to approximately a </w:t>
      </w:r>
      <m:oMath>
        <m:r>
          <m:rPr>
            <m:sty m:val="p"/>
          </m:rPr>
          <w:rPr>
            <w:rFonts w:ascii="Cambria Math" w:hAnsi="Cambria Math"/>
          </w:rPr>
          <m:t>0.2°</m:t>
        </m:r>
      </m:oMath>
      <w:r>
        <w:t xml:space="preserve"> in either longitude or latitude.  </w:t>
      </w:r>
      <w:r>
        <w:fldChar w:fldCharType="begin"/>
      </w:r>
      <w:r>
        <w:instrText xml:space="preserve"> REF _Ref77230721 \h </w:instrText>
      </w:r>
      <w:r>
        <w:fldChar w:fldCharType="separate"/>
      </w:r>
      <w:r>
        <w:t xml:space="preserve">Figure </w:t>
      </w:r>
      <w:r>
        <w:rPr>
          <w:noProof/>
        </w:rPr>
        <w:t>30</w:t>
      </w:r>
      <w:r>
        <w:fldChar w:fldCharType="end"/>
      </w:r>
      <w:r>
        <w:t xml:space="preserve"> provides a summary of the buses in NYCA that have a WSRC of less than 3</w:t>
      </w:r>
      <w:r w:rsidR="00E635E8">
        <w:t>.0</w:t>
      </w:r>
      <w:r>
        <w:t xml:space="preserve">.  </w:t>
      </w:r>
      <w:fldSimple w:instr=" REF _Ref77083852 ">
        <w:r>
          <w:t xml:space="preserve">Figure </w:t>
        </w:r>
        <w:r>
          <w:rPr>
            <w:noProof/>
          </w:rPr>
          <w:t>31</w:t>
        </w:r>
      </w:fldSimple>
      <w:r>
        <w:t xml:space="preserve"> provides the geographical representation of the </w:t>
      </w:r>
      <w:r w:rsidR="00A132AD">
        <w:t xml:space="preserve">short-circuit ratio </w:t>
      </w:r>
      <w:r>
        <w:t xml:space="preserve">values across the NYCA system.    </w:t>
      </w:r>
    </w:p>
    <w:p w14:paraId="4F1F75EE" w14:textId="773309E8" w:rsidR="00E66CCA" w:rsidRDefault="00E66CCA" w:rsidP="00E66CCA">
      <w:pPr>
        <w:pStyle w:val="Caption"/>
      </w:pPr>
      <w:r>
        <w:lastRenderedPageBreak/>
        <w:t xml:space="preserve">Figure </w:t>
      </w:r>
      <w:fldSimple w:instr=" SEQ Figure \* ARABIC ">
        <w:r>
          <w:rPr>
            <w:noProof/>
          </w:rPr>
          <w:t>30</w:t>
        </w:r>
      </w:fldSimple>
      <w:r>
        <w:t xml:space="preserve">:  </w:t>
      </w:r>
      <w:r w:rsidRPr="0023435D">
        <w:t xml:space="preserve">NYCA Buses with </w:t>
      </w:r>
      <w:r>
        <w:t>W</w:t>
      </w:r>
      <w:r w:rsidRPr="0023435D">
        <w:t>SCR Less than 3</w:t>
      </w:r>
      <w:r w:rsidR="00A132AD">
        <w:t>.0</w:t>
      </w:r>
      <w:r w:rsidRPr="00AC229E">
        <w:rPr>
          <w:noProof/>
        </w:rPr>
        <w:drawing>
          <wp:inline distT="0" distB="0" distL="0" distR="0" wp14:anchorId="742D1735" wp14:editId="00E04139">
            <wp:extent cx="4114800" cy="41148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114800" cy="4114800"/>
                    </a:xfrm>
                    <a:prstGeom prst="rect">
                      <a:avLst/>
                    </a:prstGeom>
                    <a:noFill/>
                    <a:ln>
                      <a:noFill/>
                    </a:ln>
                  </pic:spPr>
                </pic:pic>
              </a:graphicData>
            </a:graphic>
          </wp:inline>
        </w:drawing>
      </w:r>
    </w:p>
    <w:p w14:paraId="04FC16FD" w14:textId="77777777" w:rsidR="00E66CCA" w:rsidRDefault="00E66CCA" w:rsidP="00E66CCA">
      <w:pPr>
        <w:pStyle w:val="Caption"/>
      </w:pPr>
      <w:r>
        <w:t xml:space="preserve">Figure </w:t>
      </w:r>
      <w:fldSimple w:instr=" SEQ Figure \* ARABIC ">
        <w:r>
          <w:rPr>
            <w:noProof/>
          </w:rPr>
          <w:t>31</w:t>
        </w:r>
      </w:fldSimple>
      <w:r>
        <w:t xml:space="preserve">:  </w:t>
      </w:r>
      <w:r w:rsidRPr="008679CA">
        <w:t xml:space="preserve">Case 1 </w:t>
      </w:r>
      <w:r>
        <w:t xml:space="preserve">Weighted </w:t>
      </w:r>
      <w:r w:rsidRPr="008679CA">
        <w:t>Short-Circuit Ratio Locations</w:t>
      </w:r>
      <w:r>
        <w:rPr>
          <w:noProof/>
        </w:rPr>
        <w:drawing>
          <wp:inline distT="0" distB="0" distL="0" distR="0" wp14:anchorId="3632C9A7" wp14:editId="556ECA02">
            <wp:extent cx="4455122" cy="3657600"/>
            <wp:effectExtent l="0" t="0" r="317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47649" t="13628" r="428" b="7565"/>
                    <a:stretch/>
                  </pic:blipFill>
                  <pic:spPr bwMode="auto">
                    <a:xfrm>
                      <a:off x="0" y="0"/>
                      <a:ext cx="4455122" cy="3657600"/>
                    </a:xfrm>
                    <a:prstGeom prst="rect">
                      <a:avLst/>
                    </a:prstGeom>
                    <a:ln>
                      <a:noFill/>
                    </a:ln>
                    <a:extLst>
                      <a:ext uri="{53640926-AAD7-44D8-BBD7-CCE9431645EC}">
                        <a14:shadowObscured xmlns:a14="http://schemas.microsoft.com/office/drawing/2010/main"/>
                      </a:ext>
                    </a:extLst>
                  </pic:spPr>
                </pic:pic>
              </a:graphicData>
            </a:graphic>
          </wp:inline>
        </w:drawing>
      </w:r>
    </w:p>
    <w:p w14:paraId="2AB3719D" w14:textId="77777777" w:rsidR="00E66CCA" w:rsidRPr="007F4000" w:rsidRDefault="00E66CCA" w:rsidP="007F4000"/>
    <w:p w14:paraId="30B11EDE" w14:textId="46863F0C" w:rsidR="00F245B6" w:rsidRDefault="00F245B6" w:rsidP="00F245B6">
      <w:pPr>
        <w:pStyle w:val="Heading2"/>
      </w:pPr>
      <w:bookmarkStart w:id="165" w:name="_Toc80191689"/>
      <w:bookmarkStart w:id="166" w:name="_Toc81138736"/>
      <w:r>
        <w:t>Voltage Flicker</w:t>
      </w:r>
      <w:bookmarkEnd w:id="165"/>
      <w:bookmarkEnd w:id="166"/>
    </w:p>
    <w:p w14:paraId="7BCC235E" w14:textId="77777777" w:rsidR="00E66CCA" w:rsidRDefault="00E66CCA" w:rsidP="00E66CCA">
      <w:pPr>
        <w:pStyle w:val="BodyText"/>
      </w:pPr>
      <w:r>
        <w:t>As the transmission system changes, another important consideration is light flicker caused by the connection of large reactive devices, such as a shunt reactive device or a load.  Some New York Transmission Owners have flicker (or Delta-V) criteria.  For example, Avangrid criteria for voltage flicker is a change of 3% in bus voltage.</w:t>
      </w:r>
      <w:r w:rsidRPr="00DC1BF2">
        <w:rPr>
          <w:vertAlign w:val="superscript"/>
        </w:rPr>
        <w:footnoteReference w:id="59"/>
      </w:r>
      <w:r w:rsidRPr="00DC1BF2">
        <w:rPr>
          <w:vertAlign w:val="superscript"/>
        </w:rPr>
        <w:t xml:space="preserve"> </w:t>
      </w:r>
      <w:r>
        <w:t xml:space="preserve">  </w:t>
      </w:r>
    </w:p>
    <w:p w14:paraId="6175C90A" w14:textId="77777777" w:rsidR="00E66CCA" w:rsidRDefault="00E66CCA" w:rsidP="00E66CCA">
      <w:pPr>
        <w:pStyle w:val="BodyText"/>
      </w:pPr>
      <w:r>
        <w:t>The solution methodology for this analysis is the same as used for switching studies (</w:t>
      </w:r>
      <w:proofErr w:type="spellStart"/>
      <w:r>
        <w:t>triangularized</w:t>
      </w:r>
      <w:proofErr w:type="spellEnd"/>
      <w:r>
        <w:t xml:space="preserve"> Y matrix network solution activity or TYSL).  The TYSL solution methodology is designed for situations where the internal flux linkages of generators are assumed to remain unchanged as load or other devices are switched into the system.  While this solution methodology does provide an instantaneous change to the bus voltage due to a switching event, other fast electromagnetic transient variations are not captured.  </w:t>
      </w:r>
      <w:r w:rsidRPr="003769CD">
        <w:t xml:space="preserve">The effects of voltage change of newly added load </w:t>
      </w:r>
      <w:r>
        <w:t>is influenced by</w:t>
      </w:r>
      <w:r w:rsidRPr="003769CD">
        <w:t xml:space="preserve"> the statuses of generations nea</w:t>
      </w:r>
      <w:r>
        <w:t xml:space="preserve">r that load.  If all available generation near the load is </w:t>
      </w:r>
      <w:r w:rsidRPr="003769CD">
        <w:t>in-service</w:t>
      </w:r>
      <w:r>
        <w:t>, and as these</w:t>
      </w:r>
      <w:r w:rsidRPr="003769CD">
        <w:t xml:space="preserve"> generators would control their “internal” voltage</w:t>
      </w:r>
      <w:r>
        <w:t xml:space="preserve">, the observed voltage drop would then </w:t>
      </w:r>
      <w:r w:rsidRPr="003769CD">
        <w:t xml:space="preserve">be </w:t>
      </w:r>
      <w:r>
        <w:t>less in magnitude</w:t>
      </w:r>
      <w:r w:rsidRPr="003769CD">
        <w:t xml:space="preserve"> than the </w:t>
      </w:r>
      <w:r>
        <w:t xml:space="preserve">instances </w:t>
      </w:r>
      <w:r w:rsidRPr="003769CD">
        <w:t xml:space="preserve">with </w:t>
      </w:r>
      <w:r>
        <w:t xml:space="preserve">some or all </w:t>
      </w:r>
      <w:r w:rsidRPr="003769CD">
        <w:t xml:space="preserve">nearby generators </w:t>
      </w:r>
      <w:r>
        <w:t>out-of-service</w:t>
      </w:r>
      <w:r w:rsidRPr="003769CD">
        <w:t xml:space="preserve">.  </w:t>
      </w:r>
      <w:r>
        <w:t>The f</w:t>
      </w:r>
      <w:r w:rsidRPr="003769CD">
        <w:t xml:space="preserve">licker calculation </w:t>
      </w:r>
      <w:r>
        <w:t xml:space="preserve">also </w:t>
      </w:r>
      <w:r w:rsidRPr="003769CD">
        <w:t xml:space="preserve">assumes that wind or solar farms are stable in controlling their POI and terminal voltages.  </w:t>
      </w:r>
      <w:r>
        <w:t xml:space="preserve"> </w:t>
      </w:r>
    </w:p>
    <w:p w14:paraId="7EAE7ED6" w14:textId="77777777" w:rsidR="00E66CCA" w:rsidRDefault="00E66CCA" w:rsidP="00E66CCA">
      <w:pPr>
        <w:pStyle w:val="BodyText"/>
      </w:pPr>
      <w:r>
        <w:t xml:space="preserve"> The first step in this analysis is to determine the size of reactive device at a given NYCA BES bus using the low renewable generation (</w:t>
      </w:r>
      <w:r w:rsidRPr="00E4725F">
        <w:rPr>
          <w:i/>
        </w:rPr>
        <w:t xml:space="preserve">i.e., </w:t>
      </w:r>
      <w:r>
        <w:t>Case 2, Case 4, and Case 5) that results in a 3% change in bus voltage.  Once the size of the reactive device is known, the second step is to simulate</w:t>
      </w:r>
      <w:r w:rsidRPr="00C302EF">
        <w:t xml:space="preserve"> </w:t>
      </w:r>
      <w:r>
        <w:t>the change in bus voltage under high renewable generation conditions (</w:t>
      </w:r>
      <w:r w:rsidRPr="00E4725F">
        <w:rPr>
          <w:i/>
        </w:rPr>
        <w:t>i.e.,</w:t>
      </w:r>
      <w:r>
        <w:t xml:space="preserve"> Case 1, Case 3, and Case 6).  </w:t>
      </w:r>
      <w:fldSimple w:instr=" REF _Ref77084189 ">
        <w:r>
          <w:t xml:space="preserve">Figure </w:t>
        </w:r>
        <w:r>
          <w:rPr>
            <w:noProof/>
          </w:rPr>
          <w:t>32</w:t>
        </w:r>
      </w:fldSimple>
      <w:r>
        <w:t xml:space="preserve"> provides a summary the largest change in bus voltage observed between peak load, shoulder load, and light load conditions.  The Delta-V column in </w:t>
      </w:r>
      <w:fldSimple w:instr=" REF _Ref77084189 ">
        <w:r>
          <w:t xml:space="preserve">Figure </w:t>
        </w:r>
        <w:r>
          <w:rPr>
            <w:noProof/>
          </w:rPr>
          <w:t>32</w:t>
        </w:r>
      </w:fldSimple>
      <w:r>
        <w:t xml:space="preserve"> shows the additional voltage drop (</w:t>
      </w:r>
      <w:r w:rsidRPr="00E4725F">
        <w:rPr>
          <w:i/>
        </w:rPr>
        <w:t>i.e.,</w:t>
      </w:r>
      <w:r>
        <w:t xml:space="preserve"> beyond 3%).  For example, in Case 2 a reactive load was placed at the Nine Mile Point 345 kV bus that resulted in a 3% change in bus voltage.  When this reactive load was placed in Case 1 the resulting change in voltage was a 5.43% decline.  The difference in bus voltages is 2.43% which is reported in </w:t>
      </w:r>
      <w:fldSimple w:instr=" REF _Ref77084189 ">
        <w:r>
          <w:t xml:space="preserve">Figure </w:t>
        </w:r>
        <w:r>
          <w:rPr>
            <w:noProof/>
          </w:rPr>
          <w:t>32</w:t>
        </w:r>
      </w:fldSimple>
      <w:r>
        <w:t xml:space="preserve">.  </w:t>
      </w:r>
      <w:fldSimple w:instr=" REF _Ref77084450 ">
        <w:r>
          <w:t xml:space="preserve">Figure </w:t>
        </w:r>
        <w:r>
          <w:rPr>
            <w:noProof/>
          </w:rPr>
          <w:t>33</w:t>
        </w:r>
      </w:fldSimple>
      <w:r>
        <w:t xml:space="preserve">, </w:t>
      </w:r>
      <w:fldSimple w:instr=" REF _Ref77084458 ">
        <w:r>
          <w:t xml:space="preserve">Figure </w:t>
        </w:r>
        <w:r>
          <w:rPr>
            <w:noProof/>
          </w:rPr>
          <w:t>34</w:t>
        </w:r>
      </w:fldSimple>
      <w:r>
        <w:t xml:space="preserve">, and </w:t>
      </w:r>
      <w:fldSimple w:instr=" REF _Ref77084465 ">
        <w:r>
          <w:t xml:space="preserve">Figure </w:t>
        </w:r>
        <w:r>
          <w:rPr>
            <w:noProof/>
          </w:rPr>
          <w:t>35</w:t>
        </w:r>
      </w:fldSimple>
      <w:r>
        <w:t xml:space="preserve"> provide a visual representation of the flicker between the peak, light load, and shoulder load cases, respectively. As shown on these figures the flicker results are influenced by</w:t>
      </w:r>
      <w:r w:rsidRPr="003769CD">
        <w:t xml:space="preserve"> the statuses of generations nea</w:t>
      </w:r>
      <w:r>
        <w:t>r the test load.</w:t>
      </w:r>
    </w:p>
    <w:p w14:paraId="0744E1C4" w14:textId="77777777" w:rsidR="00E66CCA" w:rsidRDefault="00E66CCA" w:rsidP="00E66CCA">
      <w:pPr>
        <w:pStyle w:val="Caption"/>
      </w:pPr>
      <w:bookmarkStart w:id="167" w:name="_Ref77084189"/>
      <w:r>
        <w:lastRenderedPageBreak/>
        <w:t xml:space="preserve">Figure </w:t>
      </w:r>
      <w:fldSimple w:instr=" SEQ Figure \* ARABIC ">
        <w:r>
          <w:rPr>
            <w:noProof/>
          </w:rPr>
          <w:t>32</w:t>
        </w:r>
      </w:fldSimple>
      <w:bookmarkEnd w:id="167"/>
      <w:r>
        <w:t>:  Summary of NYCA Flicker</w:t>
      </w:r>
      <w:r w:rsidRPr="00DC1BF2">
        <w:rPr>
          <w:noProof/>
        </w:rPr>
        <w:drawing>
          <wp:inline distT="0" distB="0" distL="0" distR="0" wp14:anchorId="77FE100B" wp14:editId="68BA5BD2">
            <wp:extent cx="4758690" cy="2047875"/>
            <wp:effectExtent l="0" t="0" r="381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58690" cy="2047875"/>
                    </a:xfrm>
                    <a:prstGeom prst="rect">
                      <a:avLst/>
                    </a:prstGeom>
                    <a:noFill/>
                    <a:ln>
                      <a:noFill/>
                    </a:ln>
                  </pic:spPr>
                </pic:pic>
              </a:graphicData>
            </a:graphic>
          </wp:inline>
        </w:drawing>
      </w:r>
    </w:p>
    <w:p w14:paraId="244A61D3" w14:textId="77777777" w:rsidR="00E66CCA" w:rsidRDefault="00E66CCA" w:rsidP="00E66CCA"/>
    <w:p w14:paraId="54978EC1" w14:textId="77777777" w:rsidR="00E66CCA" w:rsidRDefault="00E66CCA" w:rsidP="00E66CCA">
      <w:pPr>
        <w:pStyle w:val="Caption"/>
        <w:rPr>
          <w:noProof/>
        </w:rPr>
      </w:pPr>
      <w:bookmarkStart w:id="168" w:name="_Ref77084450"/>
      <w:r>
        <w:t xml:space="preserve">Figure </w:t>
      </w:r>
      <w:fldSimple w:instr=" SEQ Figure \* ARABIC ">
        <w:r>
          <w:rPr>
            <w:noProof/>
          </w:rPr>
          <w:t>33</w:t>
        </w:r>
      </w:fldSimple>
      <w:bookmarkEnd w:id="168"/>
      <w:r>
        <w:t>:  Peak Load Flicker</w:t>
      </w:r>
      <w:r>
        <w:rPr>
          <w:rStyle w:val="FootnoteReference"/>
        </w:rPr>
        <w:footnoteReference w:id="60"/>
      </w:r>
    </w:p>
    <w:p w14:paraId="554C574E" w14:textId="77777777" w:rsidR="00E66CCA" w:rsidRPr="009E630A" w:rsidRDefault="00E66CCA" w:rsidP="00E66CCA">
      <w:pPr>
        <w:jc w:val="center"/>
      </w:pPr>
      <w:r>
        <w:rPr>
          <w:noProof/>
          <w:lang w:bidi="ar-SA"/>
        </w:rPr>
        <w:drawing>
          <wp:inline distT="0" distB="0" distL="0" distR="0" wp14:anchorId="506181CC" wp14:editId="47BD4846">
            <wp:extent cx="4359275" cy="3657600"/>
            <wp:effectExtent l="0" t="0" r="317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59275" cy="3657600"/>
                    </a:xfrm>
                    <a:prstGeom prst="rect">
                      <a:avLst/>
                    </a:prstGeom>
                  </pic:spPr>
                </pic:pic>
              </a:graphicData>
            </a:graphic>
          </wp:inline>
        </w:drawing>
      </w:r>
    </w:p>
    <w:p w14:paraId="6CBE3954" w14:textId="77777777" w:rsidR="00E66CCA" w:rsidRDefault="00E66CCA" w:rsidP="00E66CCA"/>
    <w:p w14:paraId="5068FA8F" w14:textId="77777777" w:rsidR="00E66CCA" w:rsidRDefault="00E66CCA" w:rsidP="00E66CCA">
      <w:pPr>
        <w:pStyle w:val="Caption"/>
      </w:pPr>
      <w:bookmarkStart w:id="169" w:name="_Ref77084458"/>
      <w:r>
        <w:lastRenderedPageBreak/>
        <w:t xml:space="preserve">Figure </w:t>
      </w:r>
      <w:fldSimple w:instr=" SEQ Figure \* ARABIC ">
        <w:r>
          <w:rPr>
            <w:noProof/>
          </w:rPr>
          <w:t>34</w:t>
        </w:r>
      </w:fldSimple>
      <w:bookmarkEnd w:id="169"/>
      <w:r>
        <w:t>:  Light Load Flicker</w:t>
      </w:r>
    </w:p>
    <w:p w14:paraId="66611464" w14:textId="77777777" w:rsidR="00E66CCA" w:rsidRDefault="00E66CCA" w:rsidP="00E66CCA">
      <w:pPr>
        <w:jc w:val="center"/>
      </w:pPr>
      <w:r>
        <w:rPr>
          <w:noProof/>
          <w:lang w:bidi="ar-SA"/>
        </w:rPr>
        <w:drawing>
          <wp:inline distT="0" distB="0" distL="0" distR="0" wp14:anchorId="438A851D" wp14:editId="342181A7">
            <wp:extent cx="3910180" cy="3743865"/>
            <wp:effectExtent l="0" t="0" r="0" b="952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54872" t="13439" r="1161" b="8596"/>
                    <a:stretch/>
                  </pic:blipFill>
                  <pic:spPr bwMode="auto">
                    <a:xfrm>
                      <a:off x="0" y="0"/>
                      <a:ext cx="3929060" cy="3761942"/>
                    </a:xfrm>
                    <a:prstGeom prst="rect">
                      <a:avLst/>
                    </a:prstGeom>
                    <a:ln>
                      <a:noFill/>
                    </a:ln>
                    <a:extLst>
                      <a:ext uri="{53640926-AAD7-44D8-BBD7-CCE9431645EC}">
                        <a14:shadowObscured xmlns:a14="http://schemas.microsoft.com/office/drawing/2010/main"/>
                      </a:ext>
                    </a:extLst>
                  </pic:spPr>
                </pic:pic>
              </a:graphicData>
            </a:graphic>
          </wp:inline>
        </w:drawing>
      </w:r>
    </w:p>
    <w:p w14:paraId="3558355E" w14:textId="77777777" w:rsidR="00E66CCA" w:rsidRDefault="00E66CCA" w:rsidP="00E66CCA"/>
    <w:p w14:paraId="1404265A" w14:textId="77777777" w:rsidR="00E66CCA" w:rsidRDefault="00E66CCA" w:rsidP="00E66CCA">
      <w:pPr>
        <w:pStyle w:val="Caption"/>
      </w:pPr>
      <w:bookmarkStart w:id="170" w:name="_Ref77084465"/>
      <w:r>
        <w:t xml:space="preserve">Figure </w:t>
      </w:r>
      <w:fldSimple w:instr=" SEQ Figure \* ARABIC ">
        <w:r>
          <w:rPr>
            <w:noProof/>
          </w:rPr>
          <w:t>35</w:t>
        </w:r>
      </w:fldSimple>
      <w:bookmarkEnd w:id="170"/>
      <w:r>
        <w:t>:  Shoulder Load Flicker</w:t>
      </w:r>
    </w:p>
    <w:p w14:paraId="272D7CFD" w14:textId="18F7D9BC" w:rsidR="00B74FE3" w:rsidRDefault="00E66CCA" w:rsidP="004D13D0">
      <w:pPr>
        <w:jc w:val="center"/>
      </w:pPr>
      <w:r>
        <w:rPr>
          <w:noProof/>
          <w:lang w:bidi="ar-SA"/>
        </w:rPr>
        <w:drawing>
          <wp:inline distT="0" distB="0" distL="0" distR="0" wp14:anchorId="0477AE86" wp14:editId="7E6F0FC3">
            <wp:extent cx="3974168" cy="3657600"/>
            <wp:effectExtent l="0" t="0" r="762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51960" t="14248" r="574" b="4847"/>
                    <a:stretch/>
                  </pic:blipFill>
                  <pic:spPr bwMode="auto">
                    <a:xfrm>
                      <a:off x="0" y="0"/>
                      <a:ext cx="3974168" cy="3657600"/>
                    </a:xfrm>
                    <a:prstGeom prst="rect">
                      <a:avLst/>
                    </a:prstGeom>
                    <a:ln>
                      <a:noFill/>
                    </a:ln>
                    <a:extLst>
                      <a:ext uri="{53640926-AAD7-44D8-BBD7-CCE9431645EC}">
                        <a14:shadowObscured xmlns:a14="http://schemas.microsoft.com/office/drawing/2010/main"/>
                      </a:ext>
                    </a:extLst>
                  </pic:spPr>
                </pic:pic>
              </a:graphicData>
            </a:graphic>
          </wp:inline>
        </w:drawing>
      </w:r>
      <w:r w:rsidR="00B74FE3">
        <w:br w:type="page"/>
      </w:r>
    </w:p>
    <w:p w14:paraId="01F91F43" w14:textId="615B61D4" w:rsidR="00C32729" w:rsidRPr="001E7E5A" w:rsidRDefault="00C32729" w:rsidP="00C32729">
      <w:pPr>
        <w:pStyle w:val="Heading1"/>
        <w:rPr>
          <w:color w:val="76923C" w:themeColor="accent3" w:themeShade="BF"/>
        </w:rPr>
      </w:pPr>
      <w:bookmarkStart w:id="171" w:name="_Toc80191690"/>
      <w:bookmarkStart w:id="172" w:name="_Toc81138737"/>
      <w:r w:rsidRPr="00B62FC5">
        <w:lastRenderedPageBreak/>
        <w:t xml:space="preserve">Appendix </w:t>
      </w:r>
      <w:r w:rsidR="00B10D92">
        <w:t>G</w:t>
      </w:r>
      <w:r w:rsidRPr="00B62FC5">
        <w:t xml:space="preserve"> – Reliability Planning Process</w:t>
      </w:r>
      <w:bookmarkEnd w:id="114"/>
      <w:bookmarkEnd w:id="115"/>
      <w:bookmarkEnd w:id="118"/>
      <w:bookmarkEnd w:id="171"/>
      <w:bookmarkEnd w:id="172"/>
    </w:p>
    <w:p w14:paraId="4D310C81" w14:textId="77777777" w:rsidR="00C32729" w:rsidRPr="0068567C" w:rsidRDefault="00C32729" w:rsidP="00C32729">
      <w:pPr>
        <w:pStyle w:val="BodyText"/>
        <w:jc w:val="left"/>
      </w:pPr>
      <w:r w:rsidRPr="0068567C">
        <w:t xml:space="preserve">This appendix presents an overview of the NYISO’s Reliability </w:t>
      </w:r>
      <w:r>
        <w:t xml:space="preserve">Planning Process.  </w:t>
      </w:r>
      <w:r w:rsidRPr="0068567C">
        <w:t>A detailed discussion of the Reliability Planning Process, including applicable Reliability Criteria, is conta</w:t>
      </w:r>
      <w:r>
        <w:t xml:space="preserve">ined in NYISO Manual entitled: </w:t>
      </w:r>
      <w:r w:rsidRPr="00EB0773">
        <w:rPr>
          <w:i/>
        </w:rPr>
        <w:t>Reliability Planning Process Manual</w:t>
      </w:r>
      <w:r>
        <w:t>,</w:t>
      </w:r>
      <w:r w:rsidRPr="0068567C">
        <w:t xml:space="preserve"> which is posted on the NYISO’s website</w:t>
      </w:r>
      <w:r w:rsidRPr="004C4963">
        <w:rPr>
          <w:vertAlign w:val="superscript"/>
        </w:rPr>
        <w:footnoteReference w:id="61"/>
      </w:r>
      <w:r w:rsidRPr="0068567C">
        <w:t>.</w:t>
      </w:r>
      <w:r>
        <w:t xml:space="preserve">  </w:t>
      </w:r>
    </w:p>
    <w:p w14:paraId="6DB98F6C" w14:textId="77777777" w:rsidR="00C32729" w:rsidRPr="0068567C" w:rsidRDefault="00C32729" w:rsidP="00C32729">
      <w:pPr>
        <w:pStyle w:val="BodyText"/>
        <w:jc w:val="left"/>
      </w:pPr>
      <w:r w:rsidRPr="0068567C">
        <w:t>The NYISO Reliability Planning Process is an integral part of the NYISO’s overall Comprehensive S</w:t>
      </w:r>
      <w:r>
        <w:t xml:space="preserve">ystem Planning Process (CSPP).  </w:t>
      </w:r>
    </w:p>
    <w:p w14:paraId="02C01BEC" w14:textId="77777777" w:rsidR="00C32729" w:rsidRPr="00B40EB8" w:rsidRDefault="00C32729" w:rsidP="00C32729">
      <w:pPr>
        <w:pStyle w:val="BodyText"/>
      </w:pPr>
      <w:r w:rsidRPr="00B40EB8">
        <w:t xml:space="preserve">The CSPP is comprised of four components: </w:t>
      </w:r>
    </w:p>
    <w:p w14:paraId="1EFBDF9D" w14:textId="77777777" w:rsidR="00C32729" w:rsidRPr="00B40EB8" w:rsidRDefault="00C32729" w:rsidP="007F4000">
      <w:pPr>
        <w:pStyle w:val="Bulletstyle"/>
        <w:numPr>
          <w:ilvl w:val="0"/>
          <w:numId w:val="14"/>
        </w:numPr>
      </w:pPr>
      <w:r w:rsidRPr="00B40EB8">
        <w:t xml:space="preserve">Local Transmission Planning Process (LTPP), </w:t>
      </w:r>
    </w:p>
    <w:p w14:paraId="3FBE4A54" w14:textId="277D681D" w:rsidR="00C32729" w:rsidRPr="00B40EB8" w:rsidRDefault="00C32729" w:rsidP="007F4000">
      <w:pPr>
        <w:pStyle w:val="Bulletstyle"/>
        <w:numPr>
          <w:ilvl w:val="0"/>
          <w:numId w:val="14"/>
        </w:numPr>
      </w:pPr>
      <w:r w:rsidRPr="00B40EB8">
        <w:t xml:space="preserve">Reliability Planning Process (RPP), along with the </w:t>
      </w:r>
      <w:proofErr w:type="gramStart"/>
      <w:r w:rsidRPr="00B40EB8">
        <w:t>Short Term</w:t>
      </w:r>
      <w:proofErr w:type="gramEnd"/>
      <w:r w:rsidRPr="00B40EB8">
        <w:t xml:space="preserve"> Reliability Process (STRP)</w:t>
      </w:r>
      <w:r w:rsidR="0040021B">
        <w:t>,</w:t>
      </w:r>
    </w:p>
    <w:p w14:paraId="02363D27" w14:textId="6EC1382E" w:rsidR="00C32729" w:rsidRPr="00B40EB8" w:rsidRDefault="00242640" w:rsidP="007F4000">
      <w:pPr>
        <w:pStyle w:val="Bulletstyle"/>
        <w:numPr>
          <w:ilvl w:val="0"/>
          <w:numId w:val="14"/>
        </w:numPr>
      </w:pPr>
      <w:r>
        <w:t>Economic Planning Process</w:t>
      </w:r>
      <w:r w:rsidR="00C32729" w:rsidRPr="00B40EB8">
        <w:t>, and</w:t>
      </w:r>
    </w:p>
    <w:p w14:paraId="75D4C354" w14:textId="77777777" w:rsidR="00C32729" w:rsidRDefault="00C32729" w:rsidP="007F4000">
      <w:pPr>
        <w:pStyle w:val="Bulletstyle"/>
        <w:numPr>
          <w:ilvl w:val="0"/>
          <w:numId w:val="14"/>
        </w:numPr>
      </w:pPr>
      <w:r w:rsidRPr="00B40EB8">
        <w:t>Public Policy Transmission Planning Process.</w:t>
      </w:r>
    </w:p>
    <w:p w14:paraId="68DCE719" w14:textId="77777777" w:rsidR="00F338AF" w:rsidRDefault="00F338AF" w:rsidP="00C32729">
      <w:pPr>
        <w:pStyle w:val="BodyText"/>
        <w:jc w:val="left"/>
        <w:rPr>
          <w:rFonts w:asciiTheme="majorHAnsi" w:hAnsiTheme="majorHAnsi"/>
        </w:rPr>
      </w:pPr>
    </w:p>
    <w:p w14:paraId="51385D12" w14:textId="47CB99ED" w:rsidR="00C32729" w:rsidRPr="00EB0773" w:rsidRDefault="00C32729" w:rsidP="00C32729">
      <w:pPr>
        <w:pStyle w:val="BodyText"/>
        <w:jc w:val="left"/>
      </w:pPr>
      <w:r>
        <w:rPr>
          <w:rFonts w:asciiTheme="majorHAnsi" w:hAnsiTheme="majorHAnsi"/>
        </w:rPr>
        <w:t>Under the LTPP</w:t>
      </w:r>
      <w:r w:rsidRPr="00B40EB8">
        <w:rPr>
          <w:rFonts w:asciiTheme="majorHAnsi" w:hAnsiTheme="majorHAnsi"/>
        </w:rPr>
        <w:t xml:space="preserve">, the local Transmission Owners (TOs) perform transmission studies for their transmission areas according to all applicable criteria.  This process produces the Local Transmission Owner Plan (LTP), which feeds into the NYISO’s determination of system needs through the CSPP. </w:t>
      </w:r>
      <w:r w:rsidRPr="0068567C">
        <w:t>Links to the L</w:t>
      </w:r>
      <w:r>
        <w:t xml:space="preserve">ocal Transmission Owner </w:t>
      </w:r>
      <w:r w:rsidRPr="00EB0773">
        <w:t>Plans (LTPs) can be found on the NYISO’s website</w:t>
      </w:r>
      <w:r w:rsidRPr="004C1B38">
        <w:rPr>
          <w:vertAlign w:val="superscript"/>
        </w:rPr>
        <w:footnoteReference w:id="62"/>
      </w:r>
      <w:r w:rsidRPr="00EB0773">
        <w:t xml:space="preserve">.   </w:t>
      </w:r>
    </w:p>
    <w:p w14:paraId="7A576ACE" w14:textId="492C304E" w:rsidR="00C32729" w:rsidRDefault="00C32729" w:rsidP="00C32729">
      <w:pPr>
        <w:pStyle w:val="BodyText"/>
        <w:jc w:val="left"/>
        <w:rPr>
          <w:rFonts w:asciiTheme="majorHAnsi" w:hAnsiTheme="majorHAnsi"/>
        </w:rPr>
      </w:pPr>
      <w:r w:rsidRPr="00B40EB8">
        <w:rPr>
          <w:rFonts w:asciiTheme="majorHAnsi" w:hAnsiTheme="majorHAnsi"/>
        </w:rPr>
        <w:t xml:space="preserve">The second component in the CSPP cycle is the RPP, covering year 4 through year 10 following the year of starting the study, </w:t>
      </w:r>
      <w:r w:rsidR="00242640">
        <w:rPr>
          <w:rFonts w:asciiTheme="majorHAnsi" w:hAnsiTheme="majorHAnsi"/>
        </w:rPr>
        <w:t xml:space="preserve">in conjunction with </w:t>
      </w:r>
      <w:r>
        <w:rPr>
          <w:rFonts w:asciiTheme="majorHAnsi" w:hAnsiTheme="majorHAnsi"/>
        </w:rPr>
        <w:t xml:space="preserve">the </w:t>
      </w:r>
      <w:r w:rsidRPr="00B40EB8">
        <w:rPr>
          <w:rFonts w:asciiTheme="majorHAnsi" w:hAnsiTheme="majorHAnsi"/>
        </w:rPr>
        <w:t>STRP, covering year 1 through year 5 following the STAR Start Date of the study.</w:t>
      </w:r>
      <w:r>
        <w:rPr>
          <w:rFonts w:asciiTheme="majorHAnsi" w:hAnsiTheme="majorHAnsi"/>
        </w:rPr>
        <w:t xml:space="preserve">  </w:t>
      </w:r>
      <w:r w:rsidR="002D7F5A">
        <w:t>The RPP and STRP</w:t>
      </w:r>
      <w:r w:rsidR="002D7F5A" w:rsidRPr="00802781">
        <w:t xml:space="preserve"> </w:t>
      </w:r>
      <w:r w:rsidR="002D7F5A">
        <w:t xml:space="preserve">requirements are described in detail in the RPP Manual and Attachments Y and FF to the OATT, respectively.  Under the biennial process for conducting the RPP, the reliability of the New York Bulk Power Transmission Facilities (BPTF) is assessed, any Reliability Needs are identified, solutions to identified needs are proposed and evaluated for their viability and sufficiency to satisfy the identified needs, and the more efficient or cost-effective transmission solution to the identified needs is selected by the NYISO.  </w:t>
      </w:r>
    </w:p>
    <w:p w14:paraId="06A956ED" w14:textId="77777777" w:rsidR="00C32729" w:rsidRPr="0068567C" w:rsidRDefault="00C32729" w:rsidP="00C32729">
      <w:pPr>
        <w:pStyle w:val="BodyText"/>
        <w:jc w:val="left"/>
      </w:pPr>
      <w:r w:rsidRPr="00EB0773">
        <w:t xml:space="preserve">During the Reliability Planning Process, the NYISO conducts the Reliability Needs Assessment (RNA) and Comprehensive Reliability Plan (CRP).  The RNA evaluates the adequacy and security of the BPTFs over </w:t>
      </w:r>
      <w:r>
        <w:t>the RNA</w:t>
      </w:r>
      <w:r w:rsidRPr="00EB0773">
        <w:t xml:space="preserve"> Study Period</w:t>
      </w:r>
      <w:r>
        <w:t xml:space="preserve"> (i.e., </w:t>
      </w:r>
      <w:r w:rsidRPr="00533A77">
        <w:t>years 4 through 10 following the year in which the RNA is conducted</w:t>
      </w:r>
      <w:r>
        <w:t>)</w:t>
      </w:r>
      <w:r w:rsidRPr="00EB0773">
        <w:t xml:space="preserve">. In </w:t>
      </w:r>
      <w:r w:rsidRPr="00EB0773">
        <w:lastRenderedPageBreak/>
        <w:t xml:space="preserve">identifying resource adequacy needs, the NYISO identifies the </w:t>
      </w:r>
      <w:proofErr w:type="gramStart"/>
      <w:r w:rsidRPr="00EB0773">
        <w:t>amount</w:t>
      </w:r>
      <w:proofErr w:type="gramEnd"/>
      <w:r w:rsidRPr="00EB0773">
        <w:t xml:space="preserve"> of resources in megawatts (MW, known as “compensatory MW”) and the locations in which they are needed </w:t>
      </w:r>
      <w:r>
        <w:t xml:space="preserve">to meet those needs. </w:t>
      </w:r>
    </w:p>
    <w:p w14:paraId="014BA56D" w14:textId="77777777" w:rsidR="00C32729" w:rsidRPr="008B16DB" w:rsidRDefault="00C32729" w:rsidP="00C32729">
      <w:pPr>
        <w:pStyle w:val="BodyText"/>
        <w:jc w:val="left"/>
        <w:rPr>
          <w:color w:val="FF0000"/>
        </w:rPr>
      </w:pPr>
      <w:r w:rsidRPr="00E303D9">
        <w:rPr>
          <w:rFonts w:asciiTheme="majorHAnsi" w:hAnsiTheme="majorHAnsi"/>
        </w:rPr>
        <w:t>Following approval of the RNA by its Board of Directors</w:t>
      </w:r>
      <w:r w:rsidRPr="00B40EB8">
        <w:rPr>
          <w:rFonts w:asciiTheme="majorHAnsi" w:hAnsiTheme="majorHAnsi"/>
        </w:rPr>
        <w:t xml:space="preserve"> and before NYISO issues a solicitation for regulated backstop, market-based, and alternative regulated solutions, the NYISO will request updated LTPs, NYPA transmission plans, and other status updates relevant to reducing, or eliminating, the Reliability Needs, as timely received from Market Participants, Developers,</w:t>
      </w:r>
      <w:r w:rsidRPr="00B40EB8">
        <w:t xml:space="preserve"> TOs, and </w:t>
      </w:r>
      <w:r w:rsidRPr="00B40EB8">
        <w:rPr>
          <w:rFonts w:asciiTheme="majorHAnsi" w:hAnsiTheme="majorHAnsi"/>
        </w:rPr>
        <w:t>other parties.  Any such update must meet, in NYISO’s determination, the RNA Base Case inclusion rules,</w:t>
      </w:r>
      <w:r>
        <w:rPr>
          <w:rFonts w:asciiTheme="majorHAnsi" w:hAnsiTheme="majorHAnsi"/>
        </w:rPr>
        <w:t xml:space="preserve"> as defined in Section 3 of the RPP</w:t>
      </w:r>
      <w:r w:rsidRPr="00B40EB8">
        <w:rPr>
          <w:rFonts w:asciiTheme="majorHAnsi" w:hAnsiTheme="majorHAnsi"/>
        </w:rPr>
        <w:t xml:space="preserve"> Manual.</w:t>
      </w:r>
      <w:r>
        <w:rPr>
          <w:rFonts w:asciiTheme="majorHAnsi" w:hAnsiTheme="majorHAnsi"/>
        </w:rPr>
        <w:t xml:space="preserve"> </w:t>
      </w:r>
      <w:r w:rsidRPr="00E303D9">
        <w:rPr>
          <w:rFonts w:asciiTheme="majorHAnsi" w:hAnsiTheme="majorHAnsi"/>
        </w:rPr>
        <w:t xml:space="preserve"> If there are remaining Reliability Needs after these updates, t</w:t>
      </w:r>
      <w:r w:rsidRPr="00B40EB8">
        <w:rPr>
          <w:rFonts w:asciiTheme="majorHAnsi" w:hAnsiTheme="majorHAnsi"/>
        </w:rPr>
        <w:t xml:space="preserve">he NYISO will request solutions for the remaining Reliability Needs.  </w:t>
      </w:r>
      <w:r w:rsidRPr="00E303D9">
        <w:rPr>
          <w:rFonts w:asciiTheme="majorHAnsi" w:hAnsiTheme="majorHAnsi"/>
        </w:rPr>
        <w:t xml:space="preserve">These solutions will be then </w:t>
      </w:r>
      <w:proofErr w:type="gramStart"/>
      <w:r w:rsidRPr="00E303D9">
        <w:rPr>
          <w:rFonts w:asciiTheme="majorHAnsi" w:hAnsiTheme="majorHAnsi"/>
        </w:rPr>
        <w:t>u</w:t>
      </w:r>
      <w:r>
        <w:rPr>
          <w:rFonts w:asciiTheme="majorHAnsi" w:hAnsiTheme="majorHAnsi"/>
        </w:rPr>
        <w:t>ndergo</w:t>
      </w:r>
      <w:proofErr w:type="gramEnd"/>
      <w:r w:rsidRPr="00E303D9">
        <w:rPr>
          <w:rFonts w:asciiTheme="majorHAnsi" w:hAnsiTheme="majorHAnsi"/>
        </w:rPr>
        <w:t xml:space="preserve"> the Viability and Sufficiency Assessments under the CRP, and if needed</w:t>
      </w:r>
      <w:r>
        <w:rPr>
          <w:rFonts w:asciiTheme="majorHAnsi" w:hAnsiTheme="majorHAnsi"/>
        </w:rPr>
        <w:t xml:space="preserve"> and as applicable</w:t>
      </w:r>
      <w:r w:rsidRPr="00E303D9">
        <w:rPr>
          <w:rFonts w:asciiTheme="majorHAnsi" w:hAnsiTheme="majorHAnsi"/>
        </w:rPr>
        <w:t>, Transmission Evaluation and Selection</w:t>
      </w:r>
      <w:r>
        <w:rPr>
          <w:rFonts w:asciiTheme="majorHAnsi" w:hAnsiTheme="majorHAnsi"/>
        </w:rPr>
        <w:t>.</w:t>
      </w:r>
      <w:r>
        <w:rPr>
          <w:color w:val="FF0000"/>
        </w:rPr>
        <w:t xml:space="preserve">  </w:t>
      </w:r>
      <w:r w:rsidRPr="00EB4FAB">
        <w:t xml:space="preserve">The CRP </w:t>
      </w:r>
      <w:r>
        <w:t xml:space="preserve">documents </w:t>
      </w:r>
      <w:r w:rsidRPr="00EB4FAB">
        <w:t>the solutions determined to be viable and sufficient to meet the</w:t>
      </w:r>
      <w:r>
        <w:t xml:space="preserve"> identified Reliability Needs.  </w:t>
      </w:r>
      <w:r w:rsidRPr="00EB4FAB">
        <w:t xml:space="preserve">The NYISO ranks any regulated transmission solutions submitted for the Board to consider for selection of the more efficient or </w:t>
      </w:r>
      <w:proofErr w:type="gramStart"/>
      <w:r w:rsidRPr="00EB4FAB">
        <w:t>cost effective</w:t>
      </w:r>
      <w:proofErr w:type="gramEnd"/>
      <w:r w:rsidRPr="00EB4FAB">
        <w:t xml:space="preserve"> transm</w:t>
      </w:r>
      <w:r>
        <w:t>ission project.</w:t>
      </w:r>
      <w:r w:rsidRPr="00EB4FAB">
        <w:t xml:space="preserve"> </w:t>
      </w:r>
      <w:r>
        <w:t xml:space="preserve"> </w:t>
      </w:r>
      <w:r w:rsidRPr="00EB4FAB">
        <w:t>If built, the selected transmission project would be eligible for cost allocation and recovery under the NYISO’s tariff.</w:t>
      </w:r>
      <w:r>
        <w:t xml:space="preserve">  </w:t>
      </w:r>
    </w:p>
    <w:p w14:paraId="4E15FB0C" w14:textId="77777777" w:rsidR="00C32729" w:rsidRPr="00EB4FAB" w:rsidRDefault="00C32729" w:rsidP="00C32729">
      <w:pPr>
        <w:pStyle w:val="BodyText"/>
        <w:jc w:val="left"/>
      </w:pPr>
      <w:r w:rsidRPr="00EB4FAB">
        <w:t>There are two different aspects to analyzing the BPTF’s reliability in t</w:t>
      </w:r>
      <w:r>
        <w:t xml:space="preserve">he RNA: adequacy and security. </w:t>
      </w:r>
      <w:r w:rsidRPr="00EB4FAB">
        <w:t>Adequacy is a plann</w:t>
      </w:r>
      <w:r>
        <w:t xml:space="preserve">ing and probabilistic concept.  </w:t>
      </w:r>
      <w:r w:rsidRPr="00EB4FAB">
        <w:t>A system is adequate if the probability of having sufficient transmission and generation to meet expected demand is equal to or less than the system’s standard, which is expressed as a lo</w:t>
      </w:r>
      <w:r>
        <w:t xml:space="preserve">ss of load expectation (LOLE).  </w:t>
      </w:r>
      <w:r w:rsidRPr="00EB4FAB">
        <w:t>The New York State bulk power system is planned</w:t>
      </w:r>
      <w:r>
        <w:rPr>
          <w:rStyle w:val="FootnoteReference"/>
        </w:rPr>
        <w:footnoteReference w:id="63"/>
      </w:r>
      <w:r w:rsidRPr="00EB4FAB">
        <w:t xml:space="preserve"> to meet an LOLE that, at any given point in time, is less than or equal to an involuntary load disconnection that is not more frequent than once in every 1</w:t>
      </w:r>
      <w:r>
        <w:t xml:space="preserve">0 years, or 0.1 days per year.  </w:t>
      </w:r>
      <w:r w:rsidRPr="00EB4FAB">
        <w:t xml:space="preserve">This requirement </w:t>
      </w:r>
      <w:r>
        <w:t xml:space="preserve">also </w:t>
      </w:r>
      <w:r w:rsidRPr="00EB4FAB">
        <w:t>forms the basis of New York’s installed reserve margin (IRM) resource adequacy requirement.</w:t>
      </w:r>
      <w:r>
        <w:t xml:space="preserve"> </w:t>
      </w:r>
      <w:r w:rsidRPr="00EB4FAB">
        <w:t xml:space="preserve"> </w:t>
      </w:r>
    </w:p>
    <w:p w14:paraId="3C4CDAE5" w14:textId="77777777" w:rsidR="00C32729" w:rsidRPr="00EB4FAB" w:rsidRDefault="00C32729" w:rsidP="00C32729">
      <w:pPr>
        <w:pStyle w:val="BodyText"/>
        <w:jc w:val="left"/>
      </w:pPr>
      <w:r w:rsidRPr="00EB4FAB">
        <w:t>Security is an operat</w:t>
      </w:r>
      <w:r>
        <w:t xml:space="preserve">ing and deterministic concept. </w:t>
      </w:r>
      <w:r w:rsidRPr="00EB4FAB">
        <w:t>This means that possible events are identified as having significant ad</w:t>
      </w:r>
      <w:r>
        <w:t>verse reliability consequences.</w:t>
      </w:r>
      <w:r w:rsidRPr="00EB4FAB">
        <w:t xml:space="preserve"> </w:t>
      </w:r>
      <w:r>
        <w:t xml:space="preserve"> </w:t>
      </w:r>
      <w:r w:rsidRPr="00EB4FAB">
        <w:t>The system is planned and operated so that the system can continue to serve lo</w:t>
      </w:r>
      <w:r>
        <w:t xml:space="preserve">ad even if these events occur.  </w:t>
      </w:r>
      <w:r w:rsidRPr="00EB4FAB">
        <w:t>Security requirements are sometime</w:t>
      </w:r>
      <w:r>
        <w:t xml:space="preserve">s referred to as N-1 or N-1-1. </w:t>
      </w:r>
      <w:r w:rsidRPr="00EB4FAB">
        <w:t>N is th</w:t>
      </w:r>
      <w:r>
        <w:t xml:space="preserve">e number of system components.  </w:t>
      </w:r>
      <w:r w:rsidRPr="00EB4FAB">
        <w:t>An N-1 requirement means that the system can withstand single disturbance events (</w:t>
      </w:r>
      <w:r w:rsidRPr="007A4085">
        <w:rPr>
          <w:i/>
        </w:rPr>
        <w:t>e.g.</w:t>
      </w:r>
      <w:r w:rsidRPr="00EB4FAB">
        <w:t xml:space="preserve">, generator, bus section, transmission circuit, breaker failure, double-circuit tower) without violating thermal, voltage and stability limits or before resulting in </w:t>
      </w:r>
      <w:r w:rsidRPr="00EB4FAB">
        <w:lastRenderedPageBreak/>
        <w:t>unplanne</w:t>
      </w:r>
      <w:r>
        <w:t>d loss of service to consumers.</w:t>
      </w:r>
      <w:r w:rsidRPr="00EB4FAB">
        <w:t xml:space="preserve"> </w:t>
      </w:r>
      <w:r>
        <w:t xml:space="preserve"> </w:t>
      </w:r>
      <w:r w:rsidRPr="00EB4FAB">
        <w:t>An N-1-1 requirement means that the Reliability Criteria apply after any critical element such as a generator, a transmission circuit, a transformer, series or shunt compensating device, or a high voltage direct current (HVD</w:t>
      </w:r>
      <w:r>
        <w:t xml:space="preserve">C) pole has already been lost. </w:t>
      </w:r>
      <w:r w:rsidRPr="00EB4FAB">
        <w:t>Generation and power flows can be adjusted by the use of 10-minute operating reserve, phase angle regulator control, and HVDC control.  Following such adjustments, a second s</w:t>
      </w:r>
      <w:r>
        <w:t xml:space="preserve">ingle disturbance is analyzed.  </w:t>
      </w:r>
    </w:p>
    <w:p w14:paraId="6B7658D5" w14:textId="77777777" w:rsidR="00C32729" w:rsidRPr="0088098D" w:rsidRDefault="00C32729" w:rsidP="00C32729">
      <w:pPr>
        <w:pStyle w:val="BodyText"/>
        <w:jc w:val="left"/>
      </w:pPr>
      <w:r w:rsidRPr="0088098D">
        <w:t xml:space="preserve">The Reliability Planning Process is anchored in the market-based philosophy of the NYISO and its Market Participants, which posits that market solutions should be the preferred choice to meet the identified Reliability Needs reported in the RNA. </w:t>
      </w:r>
      <w:r>
        <w:t xml:space="preserve"> </w:t>
      </w:r>
      <w:r w:rsidRPr="0088098D">
        <w:t>In the CRP, the reliability of the BPTFs is assessed and solutions to Reliability Needs evaluated in accordance with existing Reliability Criteria of the North American Electric Reliability Corporation (NERC), the Northeast Power Coordinating Council, Inc. (NPCC), and the New York State Reliability Council (NYSRC) as they may change from time to time.  These criteria and a description of the nature of long-term bulk power system planning are described in detail in the</w:t>
      </w:r>
      <w:r>
        <w:t xml:space="preserve"> Reliability Planning Process </w:t>
      </w:r>
      <w:hyperlink r:id="rId173" w:history="1">
        <w:r w:rsidRPr="00CF7A7A">
          <w:rPr>
            <w:rStyle w:val="Hyperlink"/>
          </w:rPr>
          <w:t>Manual</w:t>
        </w:r>
      </w:hyperlink>
      <w:r w:rsidRPr="0088098D">
        <w:t xml:space="preserve">, and are briefly summarized below. </w:t>
      </w:r>
      <w:r>
        <w:t xml:space="preserve"> </w:t>
      </w:r>
    </w:p>
    <w:p w14:paraId="363AD4D2" w14:textId="77777777" w:rsidR="00C32729" w:rsidRPr="0088098D" w:rsidRDefault="00C32729" w:rsidP="00C32729">
      <w:pPr>
        <w:pStyle w:val="BodyText"/>
        <w:jc w:val="left"/>
      </w:pPr>
      <w:r w:rsidRPr="0088098D">
        <w:t xml:space="preserve">In the event that market-based solutions do not materialize to meet a Reliability Need in a timely manner, the NYISO designates the Responsible TO or Responsible TOs or developer of an alternative regulated solution to proceed with a regulated solution in order to maintain system reliability. </w:t>
      </w:r>
      <w:r>
        <w:t xml:space="preserve"> </w:t>
      </w:r>
      <w:r w:rsidRPr="0088098D">
        <w:t xml:space="preserve">Under the Reliability Planning Process, the NYISO also has an affirmative obligation to report historic congestion across the transmission system. </w:t>
      </w:r>
      <w:r>
        <w:t xml:space="preserve"> </w:t>
      </w:r>
      <w:r w:rsidRPr="0088098D">
        <w:t>In addition, the draft RNA is provide</w:t>
      </w:r>
      <w:r>
        <w:t xml:space="preserve">d to the Market Monitoring Unit (MMU) </w:t>
      </w:r>
      <w:r w:rsidRPr="0088098D">
        <w:t xml:space="preserve">for review and consideration of whether market rules changes are necessary to address an identified failure, if any, in one of the NYISO’s competitive markets. </w:t>
      </w:r>
      <w:r>
        <w:t xml:space="preserve"> </w:t>
      </w:r>
      <w:r w:rsidRPr="0088098D">
        <w:t xml:space="preserve">If a market failure is identified as the reason for the lack of market-based solutions to a Reliability Need, the NYISO will explore appropriate changes in its market rules with its stakeholders and the </w:t>
      </w:r>
      <w:r>
        <w:t>MMU</w:t>
      </w:r>
      <w:r w:rsidRPr="0088098D">
        <w:t xml:space="preserve">. </w:t>
      </w:r>
      <w:r>
        <w:t xml:space="preserve"> </w:t>
      </w:r>
      <w:r w:rsidRPr="0088098D">
        <w:t>The Reliability Planning Process does not substitute for the planning that each TO conducts to maintain the reliability of its own bulk and non-bulk power systems.</w:t>
      </w:r>
      <w:r>
        <w:t xml:space="preserve">  </w:t>
      </w:r>
    </w:p>
    <w:p w14:paraId="0A03566E" w14:textId="77777777" w:rsidR="00C32729" w:rsidRDefault="00C32729" w:rsidP="00C32729">
      <w:pPr>
        <w:pStyle w:val="BodyText"/>
        <w:jc w:val="left"/>
      </w:pPr>
      <w:r w:rsidRPr="0088098D">
        <w:t xml:space="preserve">The NYISO does not license or construct projects to respond to identified Reliability Needs reported in the RNA. </w:t>
      </w:r>
      <w:r>
        <w:t xml:space="preserve"> </w:t>
      </w:r>
      <w:r w:rsidRPr="0088098D">
        <w:t xml:space="preserve">The ultimate approval of those projects lies with regulatory agencies such as the Federal Energy Regulatory Commission (FERC), the New York State Public Service Commission (NYPSC), environmental permitting agencies, and local governments. </w:t>
      </w:r>
      <w:r>
        <w:t xml:space="preserve"> </w:t>
      </w:r>
      <w:r w:rsidRPr="0088098D">
        <w:t xml:space="preserve">The NYISO monitors the progress and continued viability of proposed market and regulated projects to meet identified Reliability </w:t>
      </w:r>
      <w:proofErr w:type="gramStart"/>
      <w:r w:rsidRPr="0088098D">
        <w:t>Needs, and</w:t>
      </w:r>
      <w:proofErr w:type="gramEnd"/>
      <w:r w:rsidRPr="0088098D">
        <w:t xml:space="preserve"> reports its findings to</w:t>
      </w:r>
      <w:r>
        <w:br/>
      </w:r>
      <w:r w:rsidRPr="0088098D">
        <w:t xml:space="preserve">the Board. </w:t>
      </w:r>
      <w:r>
        <w:t xml:space="preserve"> </w:t>
      </w:r>
    </w:p>
    <w:p w14:paraId="3D178125" w14:textId="77777777" w:rsidR="00C32729" w:rsidRPr="00B40EB8" w:rsidRDefault="00C32729" w:rsidP="00C32729">
      <w:pPr>
        <w:pStyle w:val="BodyTextSubLevels"/>
        <w:spacing w:line="360" w:lineRule="auto"/>
        <w:ind w:left="0" w:firstLine="360"/>
        <w:rPr>
          <w:rFonts w:asciiTheme="majorHAnsi" w:hAnsiTheme="majorHAnsi"/>
          <w:sz w:val="22"/>
        </w:rPr>
      </w:pPr>
      <w:r w:rsidRPr="00B40EB8">
        <w:rPr>
          <w:rFonts w:asciiTheme="majorHAnsi" w:hAnsiTheme="majorHAnsi"/>
          <w:sz w:val="22"/>
        </w:rPr>
        <w:t xml:space="preserve">The Short-Term Reliability Process (STRP) uses quarterly Short-Term Assessment of Reliability (STAR) studies to assess the reliability impacts of Generator deactivations on both Bulk Power Transmission </w:t>
      </w:r>
      <w:r w:rsidRPr="00B40EB8">
        <w:rPr>
          <w:rFonts w:asciiTheme="majorHAnsi" w:hAnsiTheme="majorHAnsi"/>
          <w:sz w:val="22"/>
        </w:rPr>
        <w:lastRenderedPageBreak/>
        <w:t xml:space="preserve">Facilities (BPTF) and non-BPTF (local) transmission facilities, in coordination with the Responsible Transmission Owner(s).  The STAR is also used by the NYISO, in coordination with the Responsible Transmission Owner(s), to assess the reliability impacts on the BPTF of system changes that are not related to a Generator deactivation.  These changes may include adjustments to load forecasts, delays in completion of planned upgrades, long duration transmission facility outages and other system topology changes. Section 38 of the NYISO OATT describes the process by which the NYISO, Transmission Owners, Market Participants, Generator Owners, Developers and other interested parties follow to plan to meet Generator Deactivation Reliability Needs affecting the New York State Transmission System and other Reliability Needs affecting the BPTF (collectively, Short-Term Reliability Needs).  </w:t>
      </w:r>
    </w:p>
    <w:p w14:paraId="49C23159" w14:textId="0583E765" w:rsidR="00C32729" w:rsidRDefault="00C32729" w:rsidP="00C32729">
      <w:pPr>
        <w:pStyle w:val="BodyTextSubLevels"/>
        <w:spacing w:line="360" w:lineRule="auto"/>
        <w:ind w:left="0" w:firstLine="360"/>
        <w:rPr>
          <w:rFonts w:asciiTheme="majorHAnsi" w:hAnsiTheme="majorHAnsi"/>
          <w:sz w:val="22"/>
        </w:rPr>
      </w:pPr>
      <w:r w:rsidRPr="00B40EB8">
        <w:rPr>
          <w:rFonts w:asciiTheme="majorHAnsi" w:hAnsiTheme="majorHAnsi"/>
          <w:sz w:val="22"/>
        </w:rPr>
        <w:t>Each STAR will assess a five-year period, with a particular focus on Short-Term Reliability Process Needs (“needs”) that are expected to arise in the first three years of the study period.  The STRP is the sole venue for addressing Generator Deactivation Reliability Needs on the non-BPTF, and for BPTF needs that arise in the first three years of the assessment period.  With one exception,</w:t>
      </w:r>
      <w:r w:rsidRPr="00B40EB8">
        <w:rPr>
          <w:rStyle w:val="FootnoteReference"/>
          <w:rFonts w:asciiTheme="majorHAnsi" w:hAnsiTheme="majorHAnsi"/>
          <w:sz w:val="22"/>
        </w:rPr>
        <w:footnoteReference w:id="64"/>
      </w:r>
      <w:r w:rsidRPr="00B40EB8">
        <w:rPr>
          <w:rFonts w:asciiTheme="majorHAnsi" w:hAnsiTheme="majorHAnsi"/>
          <w:sz w:val="22"/>
        </w:rPr>
        <w:t xml:space="preserve"> needs that arise in years four or five of the assessment period may be addressed in either the STRP or longer-term Reliability Planning Process (RPP). </w:t>
      </w:r>
    </w:p>
    <w:p w14:paraId="3050C896" w14:textId="137CA4B1" w:rsidR="002D7F5A" w:rsidRPr="00B40EB8" w:rsidRDefault="002D7F5A" w:rsidP="00C32729">
      <w:pPr>
        <w:pStyle w:val="BodyTextSubLevels"/>
        <w:spacing w:line="360" w:lineRule="auto"/>
        <w:ind w:left="0" w:firstLine="360"/>
        <w:rPr>
          <w:rFonts w:asciiTheme="majorHAnsi" w:hAnsiTheme="majorHAnsi"/>
          <w:sz w:val="22"/>
        </w:rPr>
      </w:pPr>
      <w:r w:rsidRPr="002D7F5A">
        <w:rPr>
          <w:rFonts w:asciiTheme="majorHAnsi" w:hAnsiTheme="majorHAnsi"/>
          <w:sz w:val="22"/>
        </w:rPr>
        <w:t>Each STAR looks out five years from its STAR Start Date. The STRP concludes if a STAR does not identify a need or if the NYISO determines that all identified needs will be addressed in the RPP. Should a STAR identify a need to be addressed in the STRP, the NYISO would request the submission of market-based solutions to satisfy the need along with a Responsible Transmission Owner STRP solution. The NYISO evaluates the viability and sufficiency of the proposed solutions to satisfy the identified needs and selects a solution to address the need. The NYISO reviews the results of the solution or combination of solutions (including an explanation regarding the solution that is selected) with stakeholders and posts a Short-Term Reliability Process Report detailing the determination with stakeholders.</w:t>
      </w:r>
    </w:p>
    <w:p w14:paraId="39EBF30E" w14:textId="3F460BC9" w:rsidR="00C32729" w:rsidRPr="007704F7" w:rsidRDefault="00C32729" w:rsidP="00C32729">
      <w:pPr>
        <w:pStyle w:val="BodyTextSubLevels"/>
        <w:spacing w:line="360" w:lineRule="auto"/>
        <w:ind w:left="0" w:firstLine="360"/>
        <w:rPr>
          <w:rFonts w:asciiTheme="majorHAnsi" w:hAnsiTheme="majorHAnsi"/>
          <w:sz w:val="22"/>
        </w:rPr>
      </w:pPr>
      <w:r w:rsidRPr="007704F7">
        <w:rPr>
          <w:rFonts w:asciiTheme="majorHAnsi" w:hAnsiTheme="majorHAnsi"/>
          <w:sz w:val="22"/>
        </w:rPr>
        <w:t>The third component of the CSPP is the Economic Planning Process</w:t>
      </w:r>
      <w:r w:rsidR="002D7F5A">
        <w:rPr>
          <w:rFonts w:asciiTheme="majorHAnsi" w:hAnsiTheme="majorHAnsi"/>
          <w:sz w:val="22"/>
        </w:rPr>
        <w:t xml:space="preserve">, </w:t>
      </w:r>
      <w:r w:rsidRPr="007704F7">
        <w:rPr>
          <w:rFonts w:asciiTheme="majorHAnsi" w:hAnsiTheme="majorHAnsi"/>
          <w:sz w:val="22"/>
        </w:rPr>
        <w:t xml:space="preserve"> which is the process by which the ISO: (</w:t>
      </w:r>
      <w:proofErr w:type="spellStart"/>
      <w:r w:rsidRPr="007704F7">
        <w:rPr>
          <w:rFonts w:asciiTheme="majorHAnsi" w:hAnsiTheme="majorHAnsi"/>
          <w:sz w:val="22"/>
        </w:rPr>
        <w:t>i</w:t>
      </w:r>
      <w:proofErr w:type="spellEnd"/>
      <w:r w:rsidRPr="007704F7">
        <w:rPr>
          <w:rFonts w:asciiTheme="majorHAnsi" w:hAnsiTheme="majorHAnsi"/>
          <w:sz w:val="22"/>
        </w:rPr>
        <w:t xml:space="preserve">) develops the System &amp; Resource Outlook and identifies current and future congestion on the New York State Transmission System; (ii) evaluates in an Economic Transmission Project Evaluation any Regulated Economic Transmission Project proposals to address any constraint(s) on the BPTFs identified in the Economic Planning Process, which transmission projects are eligible for cost allocation and cost recovery under the ISO OATT if approved by a vote of the project’s Load Serving Entity beneficiaries; and </w:t>
      </w:r>
      <w:r w:rsidRPr="007704F7">
        <w:rPr>
          <w:rFonts w:asciiTheme="majorHAnsi" w:hAnsiTheme="majorHAnsi"/>
          <w:sz w:val="22"/>
        </w:rPr>
        <w:lastRenderedPageBreak/>
        <w:t xml:space="preserve">(iii) conducts any Requested Economic Planning Studies.  In conducting the process, the ISO will analyze a base case and scenarios that are developed in consultation with stakeholders.   </w:t>
      </w:r>
    </w:p>
    <w:p w14:paraId="2BD8441E" w14:textId="77777777" w:rsidR="00C32729" w:rsidRPr="00B40EB8" w:rsidRDefault="00C32729" w:rsidP="00C32729">
      <w:pPr>
        <w:pStyle w:val="BodyTextSubLevels"/>
        <w:spacing w:line="360" w:lineRule="auto"/>
        <w:ind w:left="0" w:firstLine="360"/>
        <w:rPr>
          <w:rFonts w:asciiTheme="majorHAnsi" w:hAnsiTheme="majorHAnsi"/>
          <w:sz w:val="22"/>
        </w:rPr>
      </w:pPr>
      <w:r w:rsidRPr="00B40EB8">
        <w:rPr>
          <w:rFonts w:asciiTheme="majorHAnsi" w:hAnsiTheme="majorHAnsi"/>
          <w:sz w:val="22"/>
        </w:rPr>
        <w:t xml:space="preserve">The fourth component of the CSPP is the Public Policy Transmission Planning Process.  Under this process interested entities propose, and the New York State Public Service Commission (NYPSC) identifies, transmission needs driven by Public Policy Requirements.  The NYISO then requests that interested entities submit proposed solutions to the identified Public Policy Transmission Need.  The NYISO evaluates the viability and sufficiency of the proposed solutions to satisfy the identified Public Policy Transmission Need. The NYISO then evaluates and may select the more efficient or cost-effective transmission solution to the identified need.  The NYISO develops the Public Policy Transmission Planning Report that sets forth its findings regarding the proposed solutions.  This report is reviewed by NYISO stakeholders and approved by the Board of Directors.  </w:t>
      </w:r>
    </w:p>
    <w:p w14:paraId="22B9F92F" w14:textId="77777777" w:rsidR="00C32729" w:rsidRDefault="00C32729" w:rsidP="00C32729">
      <w:pPr>
        <w:pStyle w:val="BodyTextSubLevels"/>
        <w:spacing w:line="360" w:lineRule="auto"/>
        <w:ind w:left="0" w:firstLine="360"/>
        <w:rPr>
          <w:rFonts w:asciiTheme="majorHAnsi" w:hAnsiTheme="majorHAnsi"/>
          <w:sz w:val="22"/>
        </w:rPr>
      </w:pPr>
      <w:r w:rsidRPr="00B40EB8">
        <w:rPr>
          <w:rFonts w:asciiTheme="majorHAnsi" w:hAnsiTheme="majorHAnsi"/>
          <w:sz w:val="22"/>
        </w:rPr>
        <w:t xml:space="preserve">In concert with these four components, interregional planning is conducted with NYISO's neighboring control areas in the United States and Canada under the Northeastern ISO/RTO Planning Coordination Protocol.  The NYISO participates in interregional planning and may consider Interregional Transmission Projects in its regional planning processes. </w:t>
      </w:r>
    </w:p>
    <w:p w14:paraId="4C4D5D3C" w14:textId="77777777" w:rsidR="00995BC0" w:rsidRDefault="00995BC0" w:rsidP="00C32729">
      <w:pPr>
        <w:pStyle w:val="Figure"/>
        <w:ind w:firstLine="432"/>
        <w:jc w:val="center"/>
        <w:rPr>
          <w:rStyle w:val="FigureChar"/>
          <w:bCs/>
          <w:sz w:val="20"/>
          <w:szCs w:val="20"/>
        </w:rPr>
      </w:pPr>
      <w:bookmarkStart w:id="173" w:name="_Ref528053395"/>
      <w:bookmarkStart w:id="174" w:name="_Ref506887898"/>
      <w:bookmarkStart w:id="175" w:name="_Ref506976823"/>
      <w:bookmarkStart w:id="176" w:name="_Toc4757630"/>
      <w:bookmarkStart w:id="177" w:name="_Toc13579852"/>
    </w:p>
    <w:p w14:paraId="1EEA028F" w14:textId="77777777" w:rsidR="00B74FE3" w:rsidRDefault="00B74FE3" w:rsidP="00AB50E9">
      <w:pPr>
        <w:pStyle w:val="Figure"/>
        <w:ind w:firstLine="432"/>
        <w:jc w:val="left"/>
        <w:rPr>
          <w:rStyle w:val="FigureChar"/>
          <w:bCs/>
          <w:sz w:val="20"/>
          <w:szCs w:val="20"/>
        </w:rPr>
      </w:pPr>
    </w:p>
    <w:p w14:paraId="1753C3C3" w14:textId="77777777" w:rsidR="00E06FF3" w:rsidRDefault="00E06FF3">
      <w:pPr>
        <w:rPr>
          <w:rStyle w:val="FigureChar"/>
          <w:sz w:val="20"/>
          <w:szCs w:val="20"/>
          <w:lang w:bidi="ar-SA"/>
        </w:rPr>
      </w:pPr>
      <w:r>
        <w:rPr>
          <w:rStyle w:val="FigureChar"/>
          <w:bCs w:val="0"/>
          <w:sz w:val="20"/>
          <w:szCs w:val="20"/>
        </w:rPr>
        <w:br w:type="page"/>
      </w:r>
    </w:p>
    <w:p w14:paraId="3BB6B6BF" w14:textId="5806C8D7" w:rsidR="00714B2D" w:rsidRDefault="00C32729" w:rsidP="00B74FE3">
      <w:pPr>
        <w:pStyle w:val="Figure"/>
        <w:ind w:firstLine="432"/>
        <w:jc w:val="left"/>
        <w:rPr>
          <w:rStyle w:val="FigureChar"/>
          <w:bCs/>
          <w:sz w:val="20"/>
          <w:szCs w:val="20"/>
        </w:rPr>
      </w:pPr>
      <w:r w:rsidRPr="008765C5">
        <w:rPr>
          <w:rStyle w:val="FigureChar"/>
          <w:bCs/>
          <w:sz w:val="20"/>
          <w:szCs w:val="20"/>
        </w:rPr>
        <w:lastRenderedPageBreak/>
        <w:t xml:space="preserve">Figure </w:t>
      </w:r>
      <w:r w:rsidR="00876063">
        <w:rPr>
          <w:rStyle w:val="FigureChar"/>
          <w:bCs/>
          <w:sz w:val="20"/>
          <w:szCs w:val="20"/>
        </w:rPr>
        <w:fldChar w:fldCharType="begin"/>
      </w:r>
      <w:r w:rsidR="00876063">
        <w:rPr>
          <w:rStyle w:val="FigureChar"/>
          <w:bCs/>
          <w:sz w:val="20"/>
          <w:szCs w:val="20"/>
        </w:rPr>
        <w:instrText xml:space="preserve"> SEQ Figure \* ARABIC </w:instrText>
      </w:r>
      <w:r w:rsidR="00876063">
        <w:rPr>
          <w:rStyle w:val="FigureChar"/>
          <w:bCs/>
          <w:sz w:val="20"/>
          <w:szCs w:val="20"/>
        </w:rPr>
        <w:fldChar w:fldCharType="separate"/>
      </w:r>
      <w:r w:rsidR="007E5B2C">
        <w:rPr>
          <w:rStyle w:val="FigureChar"/>
          <w:bCs/>
          <w:noProof/>
          <w:sz w:val="20"/>
          <w:szCs w:val="20"/>
        </w:rPr>
        <w:t>2</w:t>
      </w:r>
      <w:r w:rsidR="00876063">
        <w:rPr>
          <w:rStyle w:val="FigureChar"/>
          <w:bCs/>
          <w:sz w:val="20"/>
          <w:szCs w:val="20"/>
        </w:rPr>
        <w:fldChar w:fldCharType="end"/>
      </w:r>
      <w:bookmarkEnd w:id="173"/>
      <w:r w:rsidRPr="008765C5">
        <w:rPr>
          <w:rStyle w:val="FigureChar"/>
          <w:bCs/>
          <w:sz w:val="20"/>
          <w:szCs w:val="20"/>
        </w:rPr>
        <w:t>:</w:t>
      </w:r>
      <w:bookmarkEnd w:id="174"/>
      <w:bookmarkEnd w:id="175"/>
      <w:r w:rsidRPr="008765C5">
        <w:rPr>
          <w:rStyle w:val="FigureChar"/>
          <w:bCs/>
          <w:sz w:val="20"/>
          <w:szCs w:val="20"/>
        </w:rPr>
        <w:t xml:space="preserve"> NYISO’s Comprehensive System Planning Process (CSPP)</w:t>
      </w:r>
      <w:bookmarkEnd w:id="176"/>
      <w:bookmarkEnd w:id="177"/>
    </w:p>
    <w:p w14:paraId="7B64E4C0" w14:textId="6EB048E7" w:rsidR="00714B2D" w:rsidRPr="008765C5" w:rsidRDefault="00714B2D" w:rsidP="00C32729">
      <w:pPr>
        <w:pStyle w:val="Figure"/>
        <w:ind w:firstLine="90"/>
        <w:jc w:val="center"/>
        <w:rPr>
          <w:rStyle w:val="FigureChar"/>
          <w:bCs/>
          <w:sz w:val="20"/>
          <w:szCs w:val="20"/>
        </w:rPr>
      </w:pPr>
      <w:r>
        <w:rPr>
          <w:noProof/>
          <w:color w:val="1F497D"/>
        </w:rPr>
        <w:drawing>
          <wp:inline distT="0" distB="0" distL="0" distR="0" wp14:anchorId="4160C7BC" wp14:editId="013A6854">
            <wp:extent cx="6400800" cy="5255941"/>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400800" cy="5255941"/>
                    </a:xfrm>
                    <a:prstGeom prst="rect">
                      <a:avLst/>
                    </a:prstGeom>
                    <a:noFill/>
                    <a:ln>
                      <a:noFill/>
                    </a:ln>
                  </pic:spPr>
                </pic:pic>
              </a:graphicData>
            </a:graphic>
          </wp:inline>
        </w:drawing>
      </w:r>
    </w:p>
    <w:p w14:paraId="7A285565" w14:textId="77777777" w:rsidR="00C32729" w:rsidRDefault="00C32729" w:rsidP="00C32729">
      <w:pPr>
        <w:rPr>
          <w:rFonts w:ascii="Cambria" w:hAnsi="Cambria"/>
          <w:sz w:val="22"/>
        </w:rPr>
      </w:pPr>
      <w:r>
        <w:rPr>
          <w:rFonts w:ascii="Cambria" w:hAnsi="Cambria"/>
          <w:sz w:val="22"/>
        </w:rPr>
        <w:br w:type="page"/>
      </w:r>
    </w:p>
    <w:p w14:paraId="7860EE63" w14:textId="70AF6782" w:rsidR="00C32729" w:rsidRDefault="00C32729" w:rsidP="00C32729">
      <w:pPr>
        <w:rPr>
          <w:rFonts w:ascii="Cambria" w:eastAsia="Arial Narrow" w:hAnsi="Cambria"/>
          <w:bCs/>
          <w:sz w:val="22"/>
          <w:lang w:bidi="ar-SA"/>
        </w:rPr>
      </w:pPr>
      <w:r w:rsidRPr="008765C5">
        <w:rPr>
          <w:rStyle w:val="FigureChar"/>
          <w:bCs w:val="0"/>
          <w:sz w:val="20"/>
          <w:szCs w:val="20"/>
        </w:rPr>
        <w:lastRenderedPageBreak/>
        <w:t xml:space="preserve">Figure </w:t>
      </w:r>
      <w:r w:rsidR="00876063">
        <w:rPr>
          <w:rStyle w:val="FigureChar"/>
          <w:bCs w:val="0"/>
          <w:sz w:val="20"/>
          <w:szCs w:val="20"/>
        </w:rPr>
        <w:fldChar w:fldCharType="begin"/>
      </w:r>
      <w:r w:rsidR="00876063">
        <w:rPr>
          <w:rStyle w:val="FigureChar"/>
          <w:bCs w:val="0"/>
          <w:sz w:val="20"/>
          <w:szCs w:val="20"/>
        </w:rPr>
        <w:instrText xml:space="preserve"> SEQ Figure \* ARABIC </w:instrText>
      </w:r>
      <w:r w:rsidR="00876063">
        <w:rPr>
          <w:rStyle w:val="FigureChar"/>
          <w:bCs w:val="0"/>
          <w:sz w:val="20"/>
          <w:szCs w:val="20"/>
        </w:rPr>
        <w:fldChar w:fldCharType="separate"/>
      </w:r>
      <w:r w:rsidR="007E5B2C">
        <w:rPr>
          <w:rStyle w:val="FigureChar"/>
          <w:bCs w:val="0"/>
          <w:noProof/>
          <w:sz w:val="20"/>
          <w:szCs w:val="20"/>
        </w:rPr>
        <w:t>3</w:t>
      </w:r>
      <w:r w:rsidR="00876063">
        <w:rPr>
          <w:rStyle w:val="FigureChar"/>
          <w:bCs w:val="0"/>
          <w:sz w:val="20"/>
          <w:szCs w:val="20"/>
        </w:rPr>
        <w:fldChar w:fldCharType="end"/>
      </w:r>
      <w:r w:rsidRPr="008765C5">
        <w:rPr>
          <w:rStyle w:val="FigureChar"/>
          <w:bCs w:val="0"/>
          <w:sz w:val="20"/>
          <w:szCs w:val="20"/>
        </w:rPr>
        <w:t xml:space="preserve">: </w:t>
      </w:r>
      <w:r w:rsidRPr="008765C5">
        <w:t>NYISO Reliability Planning Process</w:t>
      </w:r>
    </w:p>
    <w:p w14:paraId="39A63EFB" w14:textId="77777777" w:rsidR="00C32729" w:rsidRDefault="00C32729" w:rsidP="00C32729">
      <w:pPr>
        <w:pStyle w:val="Figure"/>
        <w:jc w:val="center"/>
        <w:rPr>
          <w:rStyle w:val="FigureChar"/>
          <w:bCs/>
          <w:sz w:val="20"/>
          <w:szCs w:val="20"/>
        </w:rPr>
      </w:pPr>
      <w:bookmarkStart w:id="178" w:name="_Ref528053406"/>
      <w:bookmarkStart w:id="179" w:name="_Toc4757631"/>
      <w:bookmarkStart w:id="180" w:name="_Toc13579853"/>
      <w:r w:rsidRPr="00B40EB8">
        <w:rPr>
          <w:noProof/>
        </w:rPr>
        <w:drawing>
          <wp:inline distT="0" distB="0" distL="0" distR="0" wp14:anchorId="4E8A35DE" wp14:editId="274158F8">
            <wp:extent cx="5943600" cy="7691717"/>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PP_process_withSTAR.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bookmarkEnd w:id="178"/>
    <w:bookmarkEnd w:id="179"/>
    <w:bookmarkEnd w:id="180"/>
    <w:p w14:paraId="3A512CC0" w14:textId="045309C9" w:rsidR="00C32729" w:rsidRPr="009A406E" w:rsidRDefault="00C32729" w:rsidP="009C081D">
      <w:pPr>
        <w:pStyle w:val="Figure"/>
      </w:pPr>
      <w:r>
        <w:br w:type="page"/>
      </w:r>
    </w:p>
    <w:p w14:paraId="7E32D182" w14:textId="74DD1BAA" w:rsidR="002C2C56" w:rsidRDefault="002C2C56" w:rsidP="002C2C56">
      <w:pPr>
        <w:pStyle w:val="Heading1"/>
      </w:pPr>
      <w:bookmarkStart w:id="181" w:name="_Toc81138738"/>
      <w:bookmarkStart w:id="182" w:name="_Toc80191691"/>
      <w:bookmarkStart w:id="183" w:name="_Toc4757612"/>
      <w:bookmarkStart w:id="184" w:name="_Toc70944406"/>
      <w:bookmarkStart w:id="185" w:name="_Toc80032304"/>
      <w:r>
        <w:lastRenderedPageBreak/>
        <w:t xml:space="preserve">Appendix </w:t>
      </w:r>
      <w:r w:rsidR="00B10D92">
        <w:t>H</w:t>
      </w:r>
      <w:r>
        <w:t xml:space="preserve"> - Reliability Compliance Obligations and Activities</w:t>
      </w:r>
      <w:bookmarkEnd w:id="181"/>
      <w:r>
        <w:t xml:space="preserve"> </w:t>
      </w:r>
      <w:bookmarkEnd w:id="182"/>
    </w:p>
    <w:p w14:paraId="17924EBF" w14:textId="617B3FF8" w:rsidR="00EE6957" w:rsidRDefault="00EE6957" w:rsidP="00EE6957">
      <w:pPr>
        <w:pStyle w:val="BodyText"/>
      </w:pPr>
      <w:r>
        <w:t xml:space="preserve">The Reliability Needs Assessment and the CRP are not the only NYISO work product or activity related to reliability planning. </w:t>
      </w:r>
      <w:r w:rsidR="00380512">
        <w:t xml:space="preserve"> </w:t>
      </w:r>
      <w:r w:rsidRPr="001663D9">
        <w:t>The purpose of this section is to discuss the NERC Planning Coordinator and Transmission Planner obligations fulfilled by the NYISO as well as the other NPCC and NYSRC pl</w:t>
      </w:r>
      <w:r>
        <w:t xml:space="preserve">anning compliance obligations. </w:t>
      </w:r>
      <w:r w:rsidR="00380512">
        <w:t xml:space="preserve"> </w:t>
      </w:r>
      <w:r w:rsidRPr="001663D9">
        <w:t>The NYISO has various compliance obligations un</w:t>
      </w:r>
      <w:r>
        <w:t xml:space="preserve">der NERC, NPCC, and the NYSRC. </w:t>
      </w:r>
      <w:r w:rsidRPr="001663D9">
        <w:t xml:space="preserve">The periodicity of these requirements varies amongst the </w:t>
      </w:r>
      <w:r>
        <w:t xml:space="preserve">standards and requirements. </w:t>
      </w:r>
      <w:r w:rsidRPr="001663D9">
        <w:t>While achieving compliance with all NERC, NPCC, and NYSRC obligations is critical to ensuring the continued reliability of the transmission system, this section primarily discusses in some detail the planning compliance requirements that closely align with this</w:t>
      </w:r>
      <w:r>
        <w:t xml:space="preserve"> Reliability Needs Assessment. </w:t>
      </w:r>
      <w:r w:rsidRPr="001663D9">
        <w:t>The full details of the compliance obligations are found within the reliability standards and requirements themselves</w:t>
      </w:r>
      <w:r>
        <w:t xml:space="preserve">. </w:t>
      </w:r>
      <w:r w:rsidR="00043B9C">
        <w:t>Publicly</w:t>
      </w:r>
      <w:r>
        <w:t xml:space="preserve"> available results for the compliance activities listed below are found on the NYISO website under Planning – Reliability Compliance</w:t>
      </w:r>
      <w:r>
        <w:rPr>
          <w:rStyle w:val="FootnoteReference"/>
        </w:rPr>
        <w:footnoteReference w:id="65"/>
      </w:r>
      <w:r>
        <w:t xml:space="preserve">.  </w:t>
      </w:r>
    </w:p>
    <w:p w14:paraId="62E3C017" w14:textId="4255E78D" w:rsidR="00EE6957" w:rsidRPr="00C3308F" w:rsidRDefault="00EE6957" w:rsidP="00EE6957">
      <w:pPr>
        <w:pStyle w:val="BodyText"/>
      </w:pPr>
      <w:r w:rsidRPr="00C3308F">
        <w:t>The purpose of the NERC Reliability Standards is to “define the reliability requirements for planning and operating the North American bulk power system and are developed using a results-based approach that focuses on performance, risk management, and entity capabilities.” The objective of NPCC Directory #1 and the NYSRC Reliability Rules and Compliance Manual are to provide a “design-based approach” to design and operate the bulk power system to a level of reliability that will not result in the loss or unintentional separation of a major portion of the system from any of the planning and operations contingencies with the intent of avoiding instability, voltage collapse and widespread cascading outages</w:t>
      </w:r>
      <w:r>
        <w:t xml:space="preserve">.  </w:t>
      </w:r>
      <w:r w:rsidRPr="00C3308F">
        <w:rPr>
          <w:highlight w:val="yellow"/>
        </w:rPr>
        <w:fldChar w:fldCharType="begin"/>
      </w:r>
      <w:r w:rsidRPr="00C3308F">
        <w:instrText xml:space="preserve"> REF _Ref47680671 \h </w:instrText>
      </w:r>
      <w:r>
        <w:rPr>
          <w:highlight w:val="yellow"/>
        </w:rPr>
        <w:instrText xml:space="preserve"> \* MERGEFORMAT </w:instrText>
      </w:r>
      <w:r w:rsidRPr="00C3308F">
        <w:rPr>
          <w:highlight w:val="yellow"/>
        </w:rPr>
      </w:r>
      <w:r w:rsidRPr="00C3308F">
        <w:rPr>
          <w:highlight w:val="yellow"/>
        </w:rPr>
        <w:fldChar w:fldCharType="separate"/>
      </w:r>
      <w:r w:rsidR="007E5B2C" w:rsidRPr="00F94268">
        <w:t xml:space="preserve">Figure </w:t>
      </w:r>
      <w:r w:rsidR="007E5B2C">
        <w:t>4</w:t>
      </w:r>
      <w:r w:rsidRPr="00C3308F">
        <w:rPr>
          <w:highlight w:val="yellow"/>
        </w:rPr>
        <w:fldChar w:fldCharType="end"/>
      </w:r>
      <w:r w:rsidRPr="00C3308F">
        <w:t xml:space="preserve"> shows the various NERC Standards with requirements applicable to the NYISO as a NERC registered Planning Coordinator and/or Transmission Planner</w:t>
      </w:r>
      <w:r>
        <w:t xml:space="preserve">. </w:t>
      </w:r>
      <w:r w:rsidRPr="00C3308F">
        <w:t>The NPCC planning compliance obligations are primarily located in NPCC Regional Reliability Reference Directory #1 Design and Operation of the Bulk Power System</w:t>
      </w:r>
      <w:r>
        <w:t xml:space="preserve">.  </w:t>
      </w:r>
      <w:r w:rsidRPr="00C3308F">
        <w:t>The NYSRC planning compliance obligations are located in the Reliability Rules and Compliance Manual</w:t>
      </w:r>
      <w:r>
        <w:t xml:space="preserve">.  </w:t>
      </w:r>
    </w:p>
    <w:p w14:paraId="564D0FDD" w14:textId="77777777" w:rsidR="00EE6957" w:rsidRDefault="00EE6957" w:rsidP="00EE6957">
      <w:pPr>
        <w:pStyle w:val="BodyText"/>
      </w:pPr>
      <w:r w:rsidRPr="001663D9">
        <w:t xml:space="preserve">Fundamental to any reliability study is the accuracy modeling data provided by the entities responsible </w:t>
      </w:r>
      <w:r>
        <w:t xml:space="preserve">for providing the data. </w:t>
      </w:r>
      <w:r w:rsidRPr="001663D9">
        <w:t xml:space="preserve">The data requirements for the development of the steady state, dynamics, and short circuit models </w:t>
      </w:r>
      <w:proofErr w:type="gramStart"/>
      <w:r w:rsidRPr="001663D9">
        <w:t>is</w:t>
      </w:r>
      <w:proofErr w:type="gramEnd"/>
      <w:r w:rsidRPr="001663D9">
        <w:t xml:space="preserve"> provided in the NYISO Reliability Analysis Data Manual (RAD Manual).</w:t>
      </w:r>
      <w:r>
        <w:rPr>
          <w:rStyle w:val="FootnoteReference"/>
        </w:rPr>
        <w:footnoteReference w:id="66"/>
      </w:r>
      <w:r>
        <w:t xml:space="preserve"> </w:t>
      </w:r>
      <w:r w:rsidRPr="001663D9">
        <w:t>This data primarily comes from compliance with NERC MOD standards</w:t>
      </w:r>
      <w:r>
        <w:t xml:space="preserve">.  </w:t>
      </w:r>
      <w:r w:rsidRPr="001663D9">
        <w:t>Much of this data is collected through the annual database update process outlined in the RAD Manual and the annual FERC Form 715 filing to which the transmitting utilities certify, to the best of their knowledge, the accuracy of the data</w:t>
      </w:r>
      <w:r>
        <w:t xml:space="preserve">. </w:t>
      </w:r>
      <w:r w:rsidRPr="001663D9">
        <w:t>Additional</w:t>
      </w:r>
      <w:r>
        <w:t xml:space="preserve"> </w:t>
      </w:r>
      <w:r w:rsidRPr="001663D9">
        <w:t xml:space="preserve">compliance obligations </w:t>
      </w:r>
      <w:r>
        <w:t>provide for</w:t>
      </w:r>
      <w:r w:rsidRPr="001663D9">
        <w:t xml:space="preserve"> the accuracy of the modeling data through comparison to actual system events (</w:t>
      </w:r>
      <w:r w:rsidRPr="00DD64EF">
        <w:rPr>
          <w:i/>
        </w:rPr>
        <w:t>e.g.,</w:t>
      </w:r>
      <w:r w:rsidRPr="001663D9">
        <w:t xml:space="preserve"> </w:t>
      </w:r>
      <w:r w:rsidRPr="001663D9">
        <w:lastRenderedPageBreak/>
        <w:t>M</w:t>
      </w:r>
      <w:r>
        <w:t xml:space="preserve">OD-026, MOD-026, and MOD-033).  </w:t>
      </w:r>
    </w:p>
    <w:p w14:paraId="6566857F" w14:textId="5911A33A" w:rsidR="00EE6957" w:rsidRPr="001663D9" w:rsidRDefault="00EE6957" w:rsidP="00EE6957">
      <w:pPr>
        <w:pStyle w:val="BodyText"/>
      </w:pPr>
      <w:r w:rsidRPr="001663D9">
        <w:t xml:space="preserve">Following the completion of the annual database update, these databases are used for study work such as the Reliability Planning Process, </w:t>
      </w:r>
      <w:r>
        <w:t>and</w:t>
      </w:r>
      <w:r w:rsidRPr="001663D9">
        <w:t xml:space="preserve"> for many other compliance obligations such </w:t>
      </w:r>
      <w:r>
        <w:t xml:space="preserve">as those listed in </w:t>
      </w:r>
      <w:r>
        <w:rPr>
          <w:highlight w:val="yellow"/>
        </w:rPr>
        <w:fldChar w:fldCharType="begin"/>
      </w:r>
      <w:r>
        <w:instrText xml:space="preserve"> REF _Ref47680671 \h </w:instrText>
      </w:r>
      <w:r>
        <w:rPr>
          <w:highlight w:val="yellow"/>
        </w:rPr>
      </w:r>
      <w:r>
        <w:rPr>
          <w:highlight w:val="yellow"/>
        </w:rPr>
        <w:fldChar w:fldCharType="separate"/>
      </w:r>
      <w:r w:rsidR="007E5B2C" w:rsidRPr="00F94268">
        <w:t xml:space="preserve">Figure </w:t>
      </w:r>
      <w:r w:rsidR="007E5B2C">
        <w:rPr>
          <w:noProof/>
        </w:rPr>
        <w:t>4</w:t>
      </w:r>
      <w:r>
        <w:rPr>
          <w:highlight w:val="yellow"/>
        </w:rPr>
        <w:fldChar w:fldCharType="end"/>
      </w:r>
      <w:r>
        <w:t xml:space="preserve">. </w:t>
      </w:r>
      <w:r w:rsidRPr="001663D9">
        <w:t xml:space="preserve">Planning studies </w:t>
      </w:r>
      <w:r>
        <w:t>similar</w:t>
      </w:r>
      <w:r w:rsidRPr="001663D9">
        <w:t xml:space="preserve"> to the Reliability Planning Process include the NPCC/NYSRC Area Transmission Reviews (ATRs) and the NERC TPL-001 assessments</w:t>
      </w:r>
      <w:r>
        <w:t xml:space="preserve">. </w:t>
      </w:r>
      <w:r w:rsidRPr="001663D9">
        <w:t xml:space="preserve"> </w:t>
      </w:r>
    </w:p>
    <w:p w14:paraId="291C4EC7" w14:textId="14AFDC96" w:rsidR="00EE6957" w:rsidRPr="00F94268" w:rsidRDefault="00EE6957" w:rsidP="00EE6957">
      <w:pPr>
        <w:pStyle w:val="Figure"/>
      </w:pPr>
      <w:bookmarkStart w:id="186" w:name="_Ref47680671"/>
      <w:bookmarkStart w:id="187" w:name="_Toc52958477"/>
      <w:r w:rsidRPr="00F94268">
        <w:t xml:space="preserve">Figure </w:t>
      </w:r>
      <w:fldSimple w:instr=" SEQ Figure \* ARABIC ">
        <w:r w:rsidR="007E5B2C">
          <w:rPr>
            <w:noProof/>
          </w:rPr>
          <w:t>4</w:t>
        </w:r>
      </w:fldSimple>
      <w:bookmarkEnd w:id="186"/>
      <w:r w:rsidRPr="00F94268">
        <w:t>: List of NERC Standards for Planning Coordinators and Transmission Planners</w:t>
      </w:r>
      <w:bookmarkEnd w:id="187"/>
    </w:p>
    <w:tbl>
      <w:tblPr>
        <w:tblW w:w="9985" w:type="dxa"/>
        <w:tblLook w:val="04A0" w:firstRow="1" w:lastRow="0" w:firstColumn="1" w:lastColumn="0" w:noHBand="0" w:noVBand="1"/>
      </w:tblPr>
      <w:tblGrid>
        <w:gridCol w:w="1460"/>
        <w:gridCol w:w="3035"/>
        <w:gridCol w:w="5490"/>
      </w:tblGrid>
      <w:tr w:rsidR="00EE6957" w:rsidRPr="00B82999" w14:paraId="7034A0B2" w14:textId="77777777" w:rsidTr="00EE6957">
        <w:trPr>
          <w:trHeight w:val="492"/>
          <w:tblHeader/>
        </w:trPr>
        <w:tc>
          <w:tcPr>
            <w:tcW w:w="1460" w:type="dxa"/>
            <w:tcBorders>
              <w:top w:val="single" w:sz="4" w:space="0" w:color="auto"/>
              <w:left w:val="single" w:sz="4" w:space="0" w:color="auto"/>
              <w:bottom w:val="single" w:sz="4" w:space="0" w:color="BFBFBF"/>
              <w:right w:val="single" w:sz="4" w:space="0" w:color="BFBFBF"/>
            </w:tcBorders>
            <w:shd w:val="clear" w:color="000000" w:fill="BDD7EE"/>
            <w:noWrap/>
            <w:hideMark/>
          </w:tcPr>
          <w:p w14:paraId="3E06E283" w14:textId="77777777" w:rsidR="00EE6957" w:rsidRPr="00B82999" w:rsidRDefault="00EE6957" w:rsidP="00EE6957">
            <w:pPr>
              <w:spacing w:after="0"/>
              <w:ind w:left="0" w:firstLine="0"/>
              <w:jc w:val="center"/>
              <w:rPr>
                <w:rFonts w:ascii="Franklin Gothic Demi" w:hAnsi="Franklin Gothic Demi"/>
                <w:color w:val="000000"/>
                <w:szCs w:val="20"/>
                <w:lang w:bidi="ar-SA"/>
              </w:rPr>
            </w:pPr>
            <w:r w:rsidRPr="00B82999">
              <w:rPr>
                <w:rFonts w:ascii="Franklin Gothic Demi" w:hAnsi="Franklin Gothic Demi"/>
                <w:color w:val="000000"/>
                <w:szCs w:val="20"/>
                <w:lang w:bidi="ar-SA"/>
              </w:rPr>
              <w:t>Standard Name</w:t>
            </w:r>
          </w:p>
        </w:tc>
        <w:tc>
          <w:tcPr>
            <w:tcW w:w="3035" w:type="dxa"/>
            <w:tcBorders>
              <w:top w:val="single" w:sz="4" w:space="0" w:color="auto"/>
              <w:left w:val="nil"/>
              <w:bottom w:val="single" w:sz="4" w:space="0" w:color="BFBFBF"/>
              <w:right w:val="single" w:sz="4" w:space="0" w:color="BFBFBF"/>
            </w:tcBorders>
            <w:shd w:val="clear" w:color="000000" w:fill="BDD7EE"/>
            <w:hideMark/>
          </w:tcPr>
          <w:p w14:paraId="292C9A9A" w14:textId="77777777" w:rsidR="00EE6957" w:rsidRPr="00B82999" w:rsidRDefault="00EE6957" w:rsidP="00EE6957">
            <w:pPr>
              <w:spacing w:after="0"/>
              <w:ind w:left="0" w:firstLine="0"/>
              <w:jc w:val="center"/>
              <w:rPr>
                <w:rFonts w:ascii="Franklin Gothic Demi" w:hAnsi="Franklin Gothic Demi"/>
                <w:color w:val="000000"/>
                <w:szCs w:val="20"/>
                <w:lang w:bidi="ar-SA"/>
              </w:rPr>
            </w:pPr>
            <w:r w:rsidRPr="00B82999">
              <w:rPr>
                <w:rFonts w:ascii="Franklin Gothic Demi" w:hAnsi="Franklin Gothic Demi"/>
                <w:color w:val="000000"/>
                <w:szCs w:val="20"/>
                <w:lang w:bidi="ar-SA"/>
              </w:rPr>
              <w:t>Title</w:t>
            </w:r>
          </w:p>
        </w:tc>
        <w:tc>
          <w:tcPr>
            <w:tcW w:w="5490" w:type="dxa"/>
            <w:tcBorders>
              <w:top w:val="single" w:sz="4" w:space="0" w:color="auto"/>
              <w:left w:val="nil"/>
              <w:bottom w:val="single" w:sz="4" w:space="0" w:color="BFBFBF"/>
              <w:right w:val="single" w:sz="4" w:space="0" w:color="auto"/>
            </w:tcBorders>
            <w:shd w:val="clear" w:color="000000" w:fill="BDD7EE"/>
            <w:hideMark/>
          </w:tcPr>
          <w:p w14:paraId="2F33C5B6" w14:textId="77777777" w:rsidR="00EE6957" w:rsidRPr="00B82999" w:rsidRDefault="00EE6957" w:rsidP="00EE6957">
            <w:pPr>
              <w:spacing w:after="0"/>
              <w:ind w:left="0" w:firstLine="0"/>
              <w:jc w:val="center"/>
              <w:rPr>
                <w:rFonts w:ascii="Franklin Gothic Demi" w:hAnsi="Franklin Gothic Demi"/>
                <w:color w:val="000000"/>
                <w:szCs w:val="20"/>
                <w:lang w:bidi="ar-SA"/>
              </w:rPr>
            </w:pPr>
            <w:r w:rsidRPr="00B82999">
              <w:rPr>
                <w:rFonts w:ascii="Franklin Gothic Demi" w:hAnsi="Franklin Gothic Demi"/>
                <w:color w:val="000000"/>
                <w:szCs w:val="20"/>
                <w:lang w:bidi="ar-SA"/>
              </w:rPr>
              <w:t>Purpose</w:t>
            </w:r>
          </w:p>
        </w:tc>
      </w:tr>
      <w:tr w:rsidR="00EE6957" w:rsidRPr="00B82999" w14:paraId="4F9B3489" w14:textId="77777777" w:rsidTr="00EE6957">
        <w:trPr>
          <w:trHeight w:val="552"/>
        </w:trPr>
        <w:tc>
          <w:tcPr>
            <w:tcW w:w="1460" w:type="dxa"/>
            <w:tcBorders>
              <w:top w:val="nil"/>
              <w:left w:val="single" w:sz="4" w:space="0" w:color="auto"/>
              <w:bottom w:val="single" w:sz="4" w:space="0" w:color="BFBFBF"/>
              <w:right w:val="single" w:sz="4" w:space="0" w:color="BFBFBF"/>
            </w:tcBorders>
            <w:shd w:val="clear" w:color="auto" w:fill="auto"/>
            <w:noWrap/>
            <w:hideMark/>
          </w:tcPr>
          <w:p w14:paraId="2E05B4BE"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FAC-002</w:t>
            </w:r>
          </w:p>
        </w:tc>
        <w:tc>
          <w:tcPr>
            <w:tcW w:w="3035" w:type="dxa"/>
            <w:tcBorders>
              <w:top w:val="nil"/>
              <w:left w:val="nil"/>
              <w:bottom w:val="single" w:sz="4" w:space="0" w:color="BFBFBF"/>
              <w:right w:val="single" w:sz="4" w:space="0" w:color="BFBFBF"/>
            </w:tcBorders>
            <w:shd w:val="clear" w:color="auto" w:fill="auto"/>
            <w:hideMark/>
          </w:tcPr>
          <w:p w14:paraId="2BF39C0A"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Facility Interconnection Studies</w:t>
            </w:r>
          </w:p>
        </w:tc>
        <w:tc>
          <w:tcPr>
            <w:tcW w:w="5490" w:type="dxa"/>
            <w:tcBorders>
              <w:top w:val="nil"/>
              <w:left w:val="nil"/>
              <w:bottom w:val="single" w:sz="4" w:space="0" w:color="BFBFBF"/>
              <w:right w:val="single" w:sz="4" w:space="0" w:color="auto"/>
            </w:tcBorders>
            <w:shd w:val="clear" w:color="auto" w:fill="auto"/>
            <w:hideMark/>
          </w:tcPr>
          <w:p w14:paraId="3BB5FC42"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To study the impact of interconnecting new or materially modified Facilities to the Bulk Electric System.</w:t>
            </w:r>
          </w:p>
        </w:tc>
      </w:tr>
      <w:tr w:rsidR="00EE6957" w:rsidRPr="00B82999" w14:paraId="78FFBC87" w14:textId="77777777" w:rsidTr="00EE6957">
        <w:trPr>
          <w:trHeight w:val="828"/>
        </w:trPr>
        <w:tc>
          <w:tcPr>
            <w:tcW w:w="1460" w:type="dxa"/>
            <w:tcBorders>
              <w:top w:val="nil"/>
              <w:left w:val="single" w:sz="4" w:space="0" w:color="auto"/>
              <w:bottom w:val="single" w:sz="4" w:space="0" w:color="BFBFBF"/>
              <w:right w:val="single" w:sz="4" w:space="0" w:color="BFBFBF"/>
            </w:tcBorders>
            <w:shd w:val="clear" w:color="auto" w:fill="auto"/>
            <w:noWrap/>
            <w:hideMark/>
          </w:tcPr>
          <w:p w14:paraId="103B4D54"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FAC-010</w:t>
            </w:r>
          </w:p>
        </w:tc>
        <w:tc>
          <w:tcPr>
            <w:tcW w:w="3035" w:type="dxa"/>
            <w:tcBorders>
              <w:top w:val="nil"/>
              <w:left w:val="nil"/>
              <w:bottom w:val="single" w:sz="4" w:space="0" w:color="BFBFBF"/>
              <w:right w:val="single" w:sz="4" w:space="0" w:color="BFBFBF"/>
            </w:tcBorders>
            <w:shd w:val="clear" w:color="auto" w:fill="auto"/>
            <w:hideMark/>
          </w:tcPr>
          <w:p w14:paraId="4E125606"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System Operating Limits Methodology for the Planning Horizon</w:t>
            </w:r>
          </w:p>
        </w:tc>
        <w:tc>
          <w:tcPr>
            <w:tcW w:w="5490" w:type="dxa"/>
            <w:tcBorders>
              <w:top w:val="nil"/>
              <w:left w:val="nil"/>
              <w:bottom w:val="single" w:sz="4" w:space="0" w:color="BFBFBF"/>
              <w:right w:val="single" w:sz="4" w:space="0" w:color="auto"/>
            </w:tcBorders>
            <w:shd w:val="clear" w:color="auto" w:fill="auto"/>
            <w:hideMark/>
          </w:tcPr>
          <w:p w14:paraId="307AFB19"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To ensure that System Operating Limits (SOLs) used in the reliable planning of the Bulk Electric System (BES) are determined based on an established methodology or methodologies.</w:t>
            </w:r>
          </w:p>
        </w:tc>
      </w:tr>
      <w:tr w:rsidR="00EE6957" w:rsidRPr="00B82999" w14:paraId="53236E36" w14:textId="77777777" w:rsidTr="00EE6957">
        <w:trPr>
          <w:trHeight w:val="1104"/>
        </w:trPr>
        <w:tc>
          <w:tcPr>
            <w:tcW w:w="1460" w:type="dxa"/>
            <w:tcBorders>
              <w:top w:val="nil"/>
              <w:left w:val="single" w:sz="4" w:space="0" w:color="auto"/>
              <w:bottom w:val="single" w:sz="4" w:space="0" w:color="BFBFBF"/>
              <w:right w:val="single" w:sz="4" w:space="0" w:color="BFBFBF"/>
            </w:tcBorders>
            <w:shd w:val="clear" w:color="auto" w:fill="auto"/>
            <w:noWrap/>
            <w:hideMark/>
          </w:tcPr>
          <w:p w14:paraId="05F08E11"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FAC-013</w:t>
            </w:r>
          </w:p>
        </w:tc>
        <w:tc>
          <w:tcPr>
            <w:tcW w:w="3035" w:type="dxa"/>
            <w:tcBorders>
              <w:top w:val="nil"/>
              <w:left w:val="nil"/>
              <w:bottom w:val="single" w:sz="4" w:space="0" w:color="BFBFBF"/>
              <w:right w:val="single" w:sz="4" w:space="0" w:color="BFBFBF"/>
            </w:tcBorders>
            <w:shd w:val="clear" w:color="auto" w:fill="auto"/>
            <w:hideMark/>
          </w:tcPr>
          <w:p w14:paraId="7886E1F0"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Assessment of Transfer Capability for the Near-Term Transmission Planning Horizon</w:t>
            </w:r>
          </w:p>
        </w:tc>
        <w:tc>
          <w:tcPr>
            <w:tcW w:w="5490" w:type="dxa"/>
            <w:tcBorders>
              <w:top w:val="nil"/>
              <w:left w:val="nil"/>
              <w:bottom w:val="single" w:sz="4" w:space="0" w:color="BFBFBF"/>
              <w:right w:val="single" w:sz="4" w:space="0" w:color="auto"/>
            </w:tcBorders>
            <w:shd w:val="clear" w:color="auto" w:fill="auto"/>
            <w:hideMark/>
          </w:tcPr>
          <w:p w14:paraId="6996A421"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 xml:space="preserve">To ensure that Planning Coordinators have a methodology </w:t>
            </w:r>
            <w:proofErr w:type="gramStart"/>
            <w:r w:rsidRPr="00B82999">
              <w:rPr>
                <w:rFonts w:ascii="Franklin Gothic Book" w:hAnsi="Franklin Gothic Book"/>
                <w:color w:val="000000"/>
                <w:szCs w:val="20"/>
                <w:lang w:bidi="ar-SA"/>
              </w:rPr>
              <w:t>for, and</w:t>
            </w:r>
            <w:proofErr w:type="gramEnd"/>
            <w:r w:rsidRPr="00B82999">
              <w:rPr>
                <w:rFonts w:ascii="Franklin Gothic Book" w:hAnsi="Franklin Gothic Book"/>
                <w:color w:val="000000"/>
                <w:szCs w:val="20"/>
                <w:lang w:bidi="ar-SA"/>
              </w:rPr>
              <w:t xml:space="preserve"> perform an annual assessment to identify potential future Transmission System weaknesses and limiting Facilities that could impact the Bulk Electric System's (BES) ability to reliably transfer energy in the Near-Term Transmission Planning Horizon.</w:t>
            </w:r>
          </w:p>
        </w:tc>
      </w:tr>
      <w:tr w:rsidR="00EE6957" w:rsidRPr="00B82999" w14:paraId="78E55D9F" w14:textId="77777777" w:rsidTr="00EE6957">
        <w:trPr>
          <w:trHeight w:val="828"/>
        </w:trPr>
        <w:tc>
          <w:tcPr>
            <w:tcW w:w="1460" w:type="dxa"/>
            <w:tcBorders>
              <w:top w:val="nil"/>
              <w:left w:val="single" w:sz="4" w:space="0" w:color="auto"/>
              <w:bottom w:val="single" w:sz="4" w:space="0" w:color="BFBFBF"/>
              <w:right w:val="single" w:sz="4" w:space="0" w:color="BFBFBF"/>
            </w:tcBorders>
            <w:shd w:val="clear" w:color="auto" w:fill="auto"/>
            <w:noWrap/>
            <w:hideMark/>
          </w:tcPr>
          <w:p w14:paraId="114800DC"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FAC-014</w:t>
            </w:r>
          </w:p>
        </w:tc>
        <w:tc>
          <w:tcPr>
            <w:tcW w:w="3035" w:type="dxa"/>
            <w:tcBorders>
              <w:top w:val="nil"/>
              <w:left w:val="nil"/>
              <w:bottom w:val="single" w:sz="4" w:space="0" w:color="BFBFBF"/>
              <w:right w:val="single" w:sz="4" w:space="0" w:color="BFBFBF"/>
            </w:tcBorders>
            <w:shd w:val="clear" w:color="auto" w:fill="auto"/>
            <w:hideMark/>
          </w:tcPr>
          <w:p w14:paraId="1255B956"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Establish and Communicate System Operating Limits</w:t>
            </w:r>
          </w:p>
        </w:tc>
        <w:tc>
          <w:tcPr>
            <w:tcW w:w="5490" w:type="dxa"/>
            <w:tcBorders>
              <w:top w:val="nil"/>
              <w:left w:val="nil"/>
              <w:bottom w:val="single" w:sz="4" w:space="0" w:color="BFBFBF"/>
              <w:right w:val="single" w:sz="4" w:space="0" w:color="auto"/>
            </w:tcBorders>
            <w:shd w:val="clear" w:color="auto" w:fill="auto"/>
            <w:hideMark/>
          </w:tcPr>
          <w:p w14:paraId="7DB3E1AB"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To ensure that System Operating Limits (SOLs) used in the reliable planning and operation of the Bulk Electric System (BES) are determined based on an established methodology or methodologies.</w:t>
            </w:r>
          </w:p>
        </w:tc>
      </w:tr>
      <w:tr w:rsidR="00EE6957" w:rsidRPr="00B82999" w14:paraId="4417FC07" w14:textId="77777777" w:rsidTr="00EE6957">
        <w:trPr>
          <w:trHeight w:val="552"/>
        </w:trPr>
        <w:tc>
          <w:tcPr>
            <w:tcW w:w="1460" w:type="dxa"/>
            <w:tcBorders>
              <w:top w:val="nil"/>
              <w:left w:val="single" w:sz="4" w:space="0" w:color="auto"/>
              <w:bottom w:val="single" w:sz="4" w:space="0" w:color="BFBFBF"/>
              <w:right w:val="single" w:sz="4" w:space="0" w:color="BFBFBF"/>
            </w:tcBorders>
            <w:shd w:val="clear" w:color="auto" w:fill="auto"/>
            <w:noWrap/>
            <w:hideMark/>
          </w:tcPr>
          <w:p w14:paraId="12458A63"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IRO-017</w:t>
            </w:r>
          </w:p>
        </w:tc>
        <w:tc>
          <w:tcPr>
            <w:tcW w:w="3035" w:type="dxa"/>
            <w:tcBorders>
              <w:top w:val="nil"/>
              <w:left w:val="nil"/>
              <w:bottom w:val="single" w:sz="4" w:space="0" w:color="BFBFBF"/>
              <w:right w:val="single" w:sz="4" w:space="0" w:color="BFBFBF"/>
            </w:tcBorders>
            <w:shd w:val="clear" w:color="auto" w:fill="auto"/>
            <w:hideMark/>
          </w:tcPr>
          <w:p w14:paraId="10DAA18E"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Outage Coordination</w:t>
            </w:r>
          </w:p>
        </w:tc>
        <w:tc>
          <w:tcPr>
            <w:tcW w:w="5490" w:type="dxa"/>
            <w:tcBorders>
              <w:top w:val="nil"/>
              <w:left w:val="nil"/>
              <w:bottom w:val="single" w:sz="4" w:space="0" w:color="BFBFBF"/>
              <w:right w:val="single" w:sz="4" w:space="0" w:color="auto"/>
            </w:tcBorders>
            <w:shd w:val="clear" w:color="auto" w:fill="auto"/>
            <w:hideMark/>
          </w:tcPr>
          <w:p w14:paraId="2E7470CC"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To ensure that outages are properly coordinated in the Operations Planning time horizon and Near-Term Transmission Planning Horizon.</w:t>
            </w:r>
          </w:p>
        </w:tc>
      </w:tr>
      <w:tr w:rsidR="00EE6957" w:rsidRPr="00B82999" w14:paraId="237B81E5" w14:textId="77777777" w:rsidTr="00EE6957">
        <w:trPr>
          <w:trHeight w:val="1656"/>
        </w:trPr>
        <w:tc>
          <w:tcPr>
            <w:tcW w:w="1460" w:type="dxa"/>
            <w:tcBorders>
              <w:top w:val="nil"/>
              <w:left w:val="single" w:sz="4" w:space="0" w:color="auto"/>
              <w:bottom w:val="single" w:sz="4" w:space="0" w:color="BFBFBF"/>
              <w:right w:val="single" w:sz="4" w:space="0" w:color="BFBFBF"/>
            </w:tcBorders>
            <w:shd w:val="clear" w:color="auto" w:fill="auto"/>
            <w:noWrap/>
            <w:hideMark/>
          </w:tcPr>
          <w:p w14:paraId="672C820A"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MOD-020</w:t>
            </w:r>
          </w:p>
        </w:tc>
        <w:tc>
          <w:tcPr>
            <w:tcW w:w="3035" w:type="dxa"/>
            <w:tcBorders>
              <w:top w:val="nil"/>
              <w:left w:val="nil"/>
              <w:bottom w:val="single" w:sz="4" w:space="0" w:color="BFBFBF"/>
              <w:right w:val="single" w:sz="4" w:space="0" w:color="BFBFBF"/>
            </w:tcBorders>
            <w:shd w:val="clear" w:color="auto" w:fill="auto"/>
            <w:hideMark/>
          </w:tcPr>
          <w:p w14:paraId="3185B03F"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Providing Interruptible Demands and Direct Control Load Management Data to System Operators and Reliability Coordinators</w:t>
            </w:r>
          </w:p>
        </w:tc>
        <w:tc>
          <w:tcPr>
            <w:tcW w:w="5490" w:type="dxa"/>
            <w:tcBorders>
              <w:top w:val="nil"/>
              <w:left w:val="nil"/>
              <w:bottom w:val="single" w:sz="4" w:space="0" w:color="BFBFBF"/>
              <w:right w:val="single" w:sz="4" w:space="0" w:color="auto"/>
            </w:tcBorders>
            <w:shd w:val="clear" w:color="auto" w:fill="auto"/>
            <w:hideMark/>
          </w:tcPr>
          <w:p w14:paraId="70C728F7"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To ensure that assessments and validation of past events and databases can be performed, reporting of actual demand data is needed</w:t>
            </w:r>
            <w:r>
              <w:rPr>
                <w:rFonts w:ascii="Franklin Gothic Book" w:hAnsi="Franklin Gothic Book"/>
                <w:color w:val="000000"/>
                <w:szCs w:val="20"/>
                <w:lang w:bidi="ar-SA"/>
              </w:rPr>
              <w:t xml:space="preserve">.  </w:t>
            </w:r>
            <w:r w:rsidRPr="00B82999">
              <w:rPr>
                <w:rFonts w:ascii="Franklin Gothic Book" w:hAnsi="Franklin Gothic Book"/>
                <w:color w:val="000000"/>
                <w:szCs w:val="20"/>
                <w:lang w:bidi="ar-SA"/>
              </w:rPr>
              <w:t xml:space="preserve"> Forecast demand data is needed to perform future system assessments to identify the need for system reinforcement for continued reliability</w:t>
            </w:r>
            <w:r>
              <w:rPr>
                <w:rFonts w:ascii="Franklin Gothic Book" w:hAnsi="Franklin Gothic Book"/>
                <w:color w:val="000000"/>
                <w:szCs w:val="20"/>
                <w:lang w:bidi="ar-SA"/>
              </w:rPr>
              <w:t xml:space="preserve">.  </w:t>
            </w:r>
            <w:r w:rsidRPr="00B82999">
              <w:rPr>
                <w:rFonts w:ascii="Franklin Gothic Book" w:hAnsi="Franklin Gothic Book"/>
                <w:color w:val="000000"/>
                <w:szCs w:val="20"/>
                <w:lang w:bidi="ar-SA"/>
              </w:rPr>
              <w:t xml:space="preserve"> In addition to assist a proper real-time operating, load information related to controllable Demand-Side Management programs is needed.</w:t>
            </w:r>
          </w:p>
        </w:tc>
      </w:tr>
      <w:tr w:rsidR="00EE6957" w:rsidRPr="00B82999" w14:paraId="35FA4A94" w14:textId="77777777" w:rsidTr="00EE6957">
        <w:trPr>
          <w:trHeight w:val="1380"/>
        </w:trPr>
        <w:tc>
          <w:tcPr>
            <w:tcW w:w="1460" w:type="dxa"/>
            <w:tcBorders>
              <w:top w:val="nil"/>
              <w:left w:val="single" w:sz="4" w:space="0" w:color="auto"/>
              <w:bottom w:val="single" w:sz="4" w:space="0" w:color="BFBFBF"/>
              <w:right w:val="single" w:sz="4" w:space="0" w:color="BFBFBF"/>
            </w:tcBorders>
            <w:shd w:val="clear" w:color="auto" w:fill="auto"/>
            <w:noWrap/>
            <w:hideMark/>
          </w:tcPr>
          <w:p w14:paraId="5432F2E6"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MOD-026</w:t>
            </w:r>
          </w:p>
        </w:tc>
        <w:tc>
          <w:tcPr>
            <w:tcW w:w="3035" w:type="dxa"/>
            <w:tcBorders>
              <w:top w:val="nil"/>
              <w:left w:val="nil"/>
              <w:bottom w:val="single" w:sz="4" w:space="0" w:color="BFBFBF"/>
              <w:right w:val="single" w:sz="4" w:space="0" w:color="BFBFBF"/>
            </w:tcBorders>
            <w:shd w:val="clear" w:color="auto" w:fill="auto"/>
            <w:hideMark/>
          </w:tcPr>
          <w:p w14:paraId="419D510C"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Verification of Models and Data for Generator Excitation Control System or Plant Volt/VAR Control Functions</w:t>
            </w:r>
          </w:p>
        </w:tc>
        <w:tc>
          <w:tcPr>
            <w:tcW w:w="5490" w:type="dxa"/>
            <w:tcBorders>
              <w:top w:val="nil"/>
              <w:left w:val="nil"/>
              <w:bottom w:val="single" w:sz="4" w:space="0" w:color="BFBFBF"/>
              <w:right w:val="single" w:sz="4" w:space="0" w:color="auto"/>
            </w:tcBorders>
            <w:shd w:val="clear" w:color="auto" w:fill="auto"/>
            <w:hideMark/>
          </w:tcPr>
          <w:p w14:paraId="4B3B1DFD"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To verify that the generator excitation control system or plant volt/var control function model (including the power system stabilizer model and the impedance compensator model) and the model parameters used in dynamic simulations accurately represent the generator excitation control system or plant volt/var control function behavior when assessing Bulk Electric System (BES) reliability.</w:t>
            </w:r>
          </w:p>
        </w:tc>
      </w:tr>
      <w:tr w:rsidR="00EE6957" w:rsidRPr="00B82999" w14:paraId="1E55D1C0" w14:textId="77777777" w:rsidTr="00EE6957">
        <w:trPr>
          <w:trHeight w:val="1104"/>
        </w:trPr>
        <w:tc>
          <w:tcPr>
            <w:tcW w:w="1460" w:type="dxa"/>
            <w:tcBorders>
              <w:top w:val="nil"/>
              <w:left w:val="single" w:sz="4" w:space="0" w:color="auto"/>
              <w:bottom w:val="single" w:sz="4" w:space="0" w:color="BFBFBF"/>
              <w:right w:val="single" w:sz="4" w:space="0" w:color="BFBFBF"/>
            </w:tcBorders>
            <w:shd w:val="clear" w:color="auto" w:fill="auto"/>
            <w:noWrap/>
            <w:hideMark/>
          </w:tcPr>
          <w:p w14:paraId="5E0BD72C"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MOD-027</w:t>
            </w:r>
          </w:p>
        </w:tc>
        <w:tc>
          <w:tcPr>
            <w:tcW w:w="3035" w:type="dxa"/>
            <w:tcBorders>
              <w:top w:val="nil"/>
              <w:left w:val="nil"/>
              <w:bottom w:val="single" w:sz="4" w:space="0" w:color="BFBFBF"/>
              <w:right w:val="single" w:sz="4" w:space="0" w:color="BFBFBF"/>
            </w:tcBorders>
            <w:shd w:val="clear" w:color="auto" w:fill="auto"/>
            <w:hideMark/>
          </w:tcPr>
          <w:p w14:paraId="074A90CC"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Verification of Models and Data for Turbine/Governor and Load Control or Active Power/Frequency Control Functions</w:t>
            </w:r>
          </w:p>
        </w:tc>
        <w:tc>
          <w:tcPr>
            <w:tcW w:w="5490" w:type="dxa"/>
            <w:tcBorders>
              <w:top w:val="nil"/>
              <w:left w:val="nil"/>
              <w:bottom w:val="single" w:sz="4" w:space="0" w:color="BFBFBF"/>
              <w:right w:val="single" w:sz="4" w:space="0" w:color="auto"/>
            </w:tcBorders>
            <w:shd w:val="clear" w:color="auto" w:fill="auto"/>
            <w:hideMark/>
          </w:tcPr>
          <w:p w14:paraId="52A1A578"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To verify that the turbine/governor and load control or active power/frequency control model and the model parameters, used in dynamic simulations that assess Bulk Electric System (BES) reliability, accurately represent generator unit real power response to system frequency variations.</w:t>
            </w:r>
          </w:p>
        </w:tc>
      </w:tr>
      <w:tr w:rsidR="00EE6957" w:rsidRPr="00B82999" w14:paraId="3D71010A" w14:textId="77777777" w:rsidTr="00EE6957">
        <w:trPr>
          <w:trHeight w:val="828"/>
        </w:trPr>
        <w:tc>
          <w:tcPr>
            <w:tcW w:w="1460" w:type="dxa"/>
            <w:tcBorders>
              <w:top w:val="nil"/>
              <w:left w:val="single" w:sz="4" w:space="0" w:color="auto"/>
              <w:bottom w:val="single" w:sz="4" w:space="0" w:color="BFBFBF"/>
              <w:right w:val="single" w:sz="4" w:space="0" w:color="BFBFBF"/>
            </w:tcBorders>
            <w:shd w:val="clear" w:color="auto" w:fill="auto"/>
            <w:noWrap/>
            <w:hideMark/>
          </w:tcPr>
          <w:p w14:paraId="5D5C6E77"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MOD-031</w:t>
            </w:r>
          </w:p>
        </w:tc>
        <w:tc>
          <w:tcPr>
            <w:tcW w:w="3035" w:type="dxa"/>
            <w:tcBorders>
              <w:top w:val="nil"/>
              <w:left w:val="nil"/>
              <w:bottom w:val="single" w:sz="4" w:space="0" w:color="BFBFBF"/>
              <w:right w:val="single" w:sz="4" w:space="0" w:color="BFBFBF"/>
            </w:tcBorders>
            <w:shd w:val="clear" w:color="auto" w:fill="auto"/>
            <w:hideMark/>
          </w:tcPr>
          <w:p w14:paraId="3E06C284"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Demand and Energy Data</w:t>
            </w:r>
          </w:p>
        </w:tc>
        <w:tc>
          <w:tcPr>
            <w:tcW w:w="5490" w:type="dxa"/>
            <w:tcBorders>
              <w:top w:val="nil"/>
              <w:left w:val="nil"/>
              <w:bottom w:val="single" w:sz="4" w:space="0" w:color="BFBFBF"/>
              <w:right w:val="single" w:sz="4" w:space="0" w:color="auto"/>
            </w:tcBorders>
            <w:shd w:val="clear" w:color="auto" w:fill="auto"/>
            <w:hideMark/>
          </w:tcPr>
          <w:p w14:paraId="24612263"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To provide authority for applicable entities to collect Data, energy and related data to support reliability studies and assessments to enumerate the responsibilities and obligations of requestors and respondents of that data.</w:t>
            </w:r>
          </w:p>
        </w:tc>
      </w:tr>
      <w:tr w:rsidR="00EE6957" w:rsidRPr="00B82999" w14:paraId="2DCCC3C8" w14:textId="77777777" w:rsidTr="00EE6957">
        <w:trPr>
          <w:trHeight w:val="828"/>
        </w:trPr>
        <w:tc>
          <w:tcPr>
            <w:tcW w:w="1460" w:type="dxa"/>
            <w:tcBorders>
              <w:top w:val="nil"/>
              <w:left w:val="single" w:sz="4" w:space="0" w:color="auto"/>
              <w:bottom w:val="single" w:sz="4" w:space="0" w:color="BFBFBF"/>
              <w:right w:val="single" w:sz="4" w:space="0" w:color="BFBFBF"/>
            </w:tcBorders>
            <w:shd w:val="clear" w:color="auto" w:fill="auto"/>
            <w:noWrap/>
            <w:hideMark/>
          </w:tcPr>
          <w:p w14:paraId="3341A4A4"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lastRenderedPageBreak/>
              <w:t>MOD-032</w:t>
            </w:r>
          </w:p>
        </w:tc>
        <w:tc>
          <w:tcPr>
            <w:tcW w:w="3035" w:type="dxa"/>
            <w:tcBorders>
              <w:top w:val="nil"/>
              <w:left w:val="nil"/>
              <w:bottom w:val="single" w:sz="4" w:space="0" w:color="BFBFBF"/>
              <w:right w:val="single" w:sz="4" w:space="0" w:color="BFBFBF"/>
            </w:tcBorders>
            <w:shd w:val="clear" w:color="auto" w:fill="auto"/>
            <w:hideMark/>
          </w:tcPr>
          <w:p w14:paraId="7855F068"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Data for Power System Modeling and Analysis</w:t>
            </w:r>
          </w:p>
        </w:tc>
        <w:tc>
          <w:tcPr>
            <w:tcW w:w="5490" w:type="dxa"/>
            <w:tcBorders>
              <w:top w:val="nil"/>
              <w:left w:val="nil"/>
              <w:bottom w:val="single" w:sz="4" w:space="0" w:color="BFBFBF"/>
              <w:right w:val="single" w:sz="4" w:space="0" w:color="auto"/>
            </w:tcBorders>
            <w:shd w:val="clear" w:color="auto" w:fill="auto"/>
            <w:hideMark/>
          </w:tcPr>
          <w:p w14:paraId="13F4B4E7"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To establish consistent modeling data requirements and reporting procedures for development of planning horizon cases necessary to support analysis of the reliability of the interconnected transmission system.</w:t>
            </w:r>
          </w:p>
        </w:tc>
      </w:tr>
      <w:tr w:rsidR="00EE6957" w:rsidRPr="00B82999" w14:paraId="31319001" w14:textId="77777777" w:rsidTr="00EE6957">
        <w:trPr>
          <w:trHeight w:val="828"/>
        </w:trPr>
        <w:tc>
          <w:tcPr>
            <w:tcW w:w="1460" w:type="dxa"/>
            <w:tcBorders>
              <w:top w:val="nil"/>
              <w:left w:val="single" w:sz="4" w:space="0" w:color="auto"/>
              <w:bottom w:val="single" w:sz="4" w:space="0" w:color="BFBFBF"/>
              <w:right w:val="single" w:sz="4" w:space="0" w:color="BFBFBF"/>
            </w:tcBorders>
            <w:shd w:val="clear" w:color="auto" w:fill="auto"/>
            <w:noWrap/>
            <w:hideMark/>
          </w:tcPr>
          <w:p w14:paraId="237F9C89"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MOD-033</w:t>
            </w:r>
          </w:p>
        </w:tc>
        <w:tc>
          <w:tcPr>
            <w:tcW w:w="3035" w:type="dxa"/>
            <w:tcBorders>
              <w:top w:val="nil"/>
              <w:left w:val="nil"/>
              <w:bottom w:val="single" w:sz="4" w:space="0" w:color="BFBFBF"/>
              <w:right w:val="single" w:sz="4" w:space="0" w:color="BFBFBF"/>
            </w:tcBorders>
            <w:shd w:val="clear" w:color="auto" w:fill="auto"/>
            <w:hideMark/>
          </w:tcPr>
          <w:p w14:paraId="71A4F52E"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Steady State and Dynamic System Model Validation</w:t>
            </w:r>
          </w:p>
        </w:tc>
        <w:tc>
          <w:tcPr>
            <w:tcW w:w="5490" w:type="dxa"/>
            <w:tcBorders>
              <w:top w:val="nil"/>
              <w:left w:val="nil"/>
              <w:bottom w:val="single" w:sz="4" w:space="0" w:color="BFBFBF"/>
              <w:right w:val="single" w:sz="4" w:space="0" w:color="auto"/>
            </w:tcBorders>
            <w:shd w:val="clear" w:color="auto" w:fill="auto"/>
            <w:hideMark/>
          </w:tcPr>
          <w:p w14:paraId="605ED581"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To establish consistent validation requirements to facilitate the collection of accurate data and building of planning models to analyze the reliability of the interconnected transmission system.</w:t>
            </w:r>
          </w:p>
        </w:tc>
      </w:tr>
      <w:tr w:rsidR="00EE6957" w:rsidRPr="00B82999" w14:paraId="059F6A22" w14:textId="77777777" w:rsidTr="00EE6957">
        <w:trPr>
          <w:trHeight w:val="552"/>
        </w:trPr>
        <w:tc>
          <w:tcPr>
            <w:tcW w:w="1460" w:type="dxa"/>
            <w:tcBorders>
              <w:top w:val="nil"/>
              <w:left w:val="single" w:sz="4" w:space="0" w:color="auto"/>
              <w:bottom w:val="single" w:sz="4" w:space="0" w:color="BFBFBF"/>
              <w:right w:val="single" w:sz="4" w:space="0" w:color="BFBFBF"/>
            </w:tcBorders>
            <w:shd w:val="clear" w:color="auto" w:fill="auto"/>
            <w:noWrap/>
            <w:hideMark/>
          </w:tcPr>
          <w:p w14:paraId="556E3D8B"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PRC-002</w:t>
            </w:r>
          </w:p>
        </w:tc>
        <w:tc>
          <w:tcPr>
            <w:tcW w:w="3035" w:type="dxa"/>
            <w:tcBorders>
              <w:top w:val="nil"/>
              <w:left w:val="nil"/>
              <w:bottom w:val="single" w:sz="4" w:space="0" w:color="BFBFBF"/>
              <w:right w:val="single" w:sz="4" w:space="0" w:color="BFBFBF"/>
            </w:tcBorders>
            <w:shd w:val="clear" w:color="auto" w:fill="auto"/>
            <w:hideMark/>
          </w:tcPr>
          <w:p w14:paraId="013BECC5"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Disturbance Monitoring and Reporting Requirements</w:t>
            </w:r>
          </w:p>
        </w:tc>
        <w:tc>
          <w:tcPr>
            <w:tcW w:w="5490" w:type="dxa"/>
            <w:tcBorders>
              <w:top w:val="nil"/>
              <w:left w:val="nil"/>
              <w:bottom w:val="single" w:sz="4" w:space="0" w:color="BFBFBF"/>
              <w:right w:val="single" w:sz="4" w:space="0" w:color="auto"/>
            </w:tcBorders>
            <w:shd w:val="clear" w:color="auto" w:fill="auto"/>
            <w:hideMark/>
          </w:tcPr>
          <w:p w14:paraId="72F6EAED"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To have adequate data available to facilitate analysis of Bulk Electric System (BES) Disturbances</w:t>
            </w:r>
          </w:p>
        </w:tc>
      </w:tr>
      <w:tr w:rsidR="00EE6957" w:rsidRPr="00B82999" w14:paraId="51B22B3F" w14:textId="77777777" w:rsidTr="00EE6957">
        <w:trPr>
          <w:trHeight w:val="1104"/>
        </w:trPr>
        <w:tc>
          <w:tcPr>
            <w:tcW w:w="1460" w:type="dxa"/>
            <w:tcBorders>
              <w:top w:val="nil"/>
              <w:left w:val="single" w:sz="4" w:space="0" w:color="auto"/>
              <w:bottom w:val="single" w:sz="4" w:space="0" w:color="BFBFBF"/>
              <w:right w:val="single" w:sz="4" w:space="0" w:color="BFBFBF"/>
            </w:tcBorders>
            <w:shd w:val="clear" w:color="auto" w:fill="auto"/>
            <w:noWrap/>
            <w:hideMark/>
          </w:tcPr>
          <w:p w14:paraId="4FB745E2"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PRC-006</w:t>
            </w:r>
          </w:p>
        </w:tc>
        <w:tc>
          <w:tcPr>
            <w:tcW w:w="3035" w:type="dxa"/>
            <w:tcBorders>
              <w:top w:val="nil"/>
              <w:left w:val="nil"/>
              <w:bottom w:val="single" w:sz="4" w:space="0" w:color="BFBFBF"/>
              <w:right w:val="single" w:sz="4" w:space="0" w:color="BFBFBF"/>
            </w:tcBorders>
            <w:shd w:val="clear" w:color="auto" w:fill="auto"/>
            <w:hideMark/>
          </w:tcPr>
          <w:p w14:paraId="4500DD65"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Automatic Underfrequency Load Shedding</w:t>
            </w:r>
          </w:p>
        </w:tc>
        <w:tc>
          <w:tcPr>
            <w:tcW w:w="5490" w:type="dxa"/>
            <w:tcBorders>
              <w:top w:val="nil"/>
              <w:left w:val="nil"/>
              <w:bottom w:val="single" w:sz="4" w:space="0" w:color="BFBFBF"/>
              <w:right w:val="single" w:sz="4" w:space="0" w:color="auto"/>
            </w:tcBorders>
            <w:shd w:val="clear" w:color="auto" w:fill="auto"/>
            <w:hideMark/>
          </w:tcPr>
          <w:p w14:paraId="4D3A53EB"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To establish design and documentation requirements for automatic underfrequency load shedding (UFLS) programs to arrest declining frequency, assist recovery of frequency following underfrequency events and provide last resort system preservation measures.</w:t>
            </w:r>
          </w:p>
        </w:tc>
      </w:tr>
      <w:tr w:rsidR="00EE6957" w:rsidRPr="00B82999" w14:paraId="3E8061F3" w14:textId="77777777" w:rsidTr="00EE6957">
        <w:trPr>
          <w:trHeight w:val="1380"/>
        </w:trPr>
        <w:tc>
          <w:tcPr>
            <w:tcW w:w="1460" w:type="dxa"/>
            <w:tcBorders>
              <w:top w:val="nil"/>
              <w:left w:val="single" w:sz="4" w:space="0" w:color="auto"/>
              <w:bottom w:val="single" w:sz="4" w:space="0" w:color="BFBFBF"/>
              <w:right w:val="single" w:sz="4" w:space="0" w:color="BFBFBF"/>
            </w:tcBorders>
            <w:shd w:val="clear" w:color="auto" w:fill="auto"/>
            <w:noWrap/>
            <w:hideMark/>
          </w:tcPr>
          <w:p w14:paraId="3B31F7AA"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PRC-006-NPCC</w:t>
            </w:r>
          </w:p>
        </w:tc>
        <w:tc>
          <w:tcPr>
            <w:tcW w:w="3035" w:type="dxa"/>
            <w:tcBorders>
              <w:top w:val="nil"/>
              <w:left w:val="nil"/>
              <w:bottom w:val="single" w:sz="4" w:space="0" w:color="BFBFBF"/>
              <w:right w:val="single" w:sz="4" w:space="0" w:color="BFBFBF"/>
            </w:tcBorders>
            <w:shd w:val="clear" w:color="auto" w:fill="auto"/>
            <w:hideMark/>
          </w:tcPr>
          <w:p w14:paraId="06F6FE31"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Automatic Underfrequency Load Shedding</w:t>
            </w:r>
          </w:p>
        </w:tc>
        <w:tc>
          <w:tcPr>
            <w:tcW w:w="5490" w:type="dxa"/>
            <w:tcBorders>
              <w:top w:val="nil"/>
              <w:left w:val="nil"/>
              <w:bottom w:val="single" w:sz="4" w:space="0" w:color="BFBFBF"/>
              <w:right w:val="single" w:sz="4" w:space="0" w:color="auto"/>
            </w:tcBorders>
            <w:shd w:val="clear" w:color="auto" w:fill="auto"/>
            <w:hideMark/>
          </w:tcPr>
          <w:p w14:paraId="4C825193"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The NPCC Automatic Underfrequency Load Shedding (UFLS) regional Reliability Standard establishes more stringent and specific NPCC UFLS program requirements than the NERC continent-wide PRC-006 standard</w:t>
            </w:r>
            <w:r>
              <w:rPr>
                <w:rFonts w:ascii="Franklin Gothic Book" w:hAnsi="Franklin Gothic Book"/>
                <w:color w:val="000000"/>
                <w:szCs w:val="20"/>
                <w:lang w:bidi="ar-SA"/>
              </w:rPr>
              <w:t xml:space="preserve">.  </w:t>
            </w:r>
            <w:r w:rsidRPr="00B82999">
              <w:rPr>
                <w:rFonts w:ascii="Franklin Gothic Book" w:hAnsi="Franklin Gothic Book"/>
                <w:color w:val="000000"/>
                <w:szCs w:val="20"/>
                <w:lang w:bidi="ar-SA"/>
              </w:rPr>
              <w:t xml:space="preserve"> The program is designed such that declining frequency is arrested and recovered in accordance with established NPCC performance requirements stipulated in this document.</w:t>
            </w:r>
          </w:p>
        </w:tc>
      </w:tr>
      <w:tr w:rsidR="00EE6957" w:rsidRPr="00B82999" w14:paraId="4C8C635D" w14:textId="77777777" w:rsidTr="00EE6957">
        <w:trPr>
          <w:trHeight w:val="552"/>
        </w:trPr>
        <w:tc>
          <w:tcPr>
            <w:tcW w:w="1460" w:type="dxa"/>
            <w:tcBorders>
              <w:top w:val="nil"/>
              <w:left w:val="single" w:sz="4" w:space="0" w:color="auto"/>
              <w:bottom w:val="single" w:sz="4" w:space="0" w:color="BFBFBF"/>
              <w:right w:val="single" w:sz="4" w:space="0" w:color="BFBFBF"/>
            </w:tcBorders>
            <w:shd w:val="clear" w:color="auto" w:fill="auto"/>
            <w:noWrap/>
            <w:hideMark/>
          </w:tcPr>
          <w:p w14:paraId="5E3A702E"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PRC-010</w:t>
            </w:r>
          </w:p>
        </w:tc>
        <w:tc>
          <w:tcPr>
            <w:tcW w:w="3035" w:type="dxa"/>
            <w:tcBorders>
              <w:top w:val="nil"/>
              <w:left w:val="nil"/>
              <w:bottom w:val="single" w:sz="4" w:space="0" w:color="BFBFBF"/>
              <w:right w:val="single" w:sz="4" w:space="0" w:color="BFBFBF"/>
            </w:tcBorders>
            <w:shd w:val="clear" w:color="auto" w:fill="auto"/>
            <w:hideMark/>
          </w:tcPr>
          <w:p w14:paraId="02EE8ACD"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Undervoltage Load Shedding</w:t>
            </w:r>
          </w:p>
        </w:tc>
        <w:tc>
          <w:tcPr>
            <w:tcW w:w="5490" w:type="dxa"/>
            <w:tcBorders>
              <w:top w:val="nil"/>
              <w:left w:val="nil"/>
              <w:bottom w:val="single" w:sz="4" w:space="0" w:color="BFBFBF"/>
              <w:right w:val="single" w:sz="4" w:space="0" w:color="auto"/>
            </w:tcBorders>
            <w:shd w:val="clear" w:color="auto" w:fill="auto"/>
            <w:hideMark/>
          </w:tcPr>
          <w:p w14:paraId="144F9824"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To establish an integrated and coordinated approach to the design, evaluation, and reliable operation of Undervoltage Load Shedding Programs (UVLS Programs).</w:t>
            </w:r>
          </w:p>
        </w:tc>
      </w:tr>
      <w:tr w:rsidR="00EE6957" w:rsidRPr="00B82999" w14:paraId="30428C7F" w14:textId="77777777" w:rsidTr="00EE6957">
        <w:trPr>
          <w:trHeight w:val="1104"/>
        </w:trPr>
        <w:tc>
          <w:tcPr>
            <w:tcW w:w="1460" w:type="dxa"/>
            <w:tcBorders>
              <w:top w:val="nil"/>
              <w:left w:val="single" w:sz="4" w:space="0" w:color="auto"/>
              <w:bottom w:val="single" w:sz="4" w:space="0" w:color="BFBFBF"/>
              <w:right w:val="single" w:sz="4" w:space="0" w:color="BFBFBF"/>
            </w:tcBorders>
            <w:shd w:val="clear" w:color="auto" w:fill="auto"/>
            <w:noWrap/>
            <w:hideMark/>
          </w:tcPr>
          <w:p w14:paraId="40CCBFCD"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PRC-023</w:t>
            </w:r>
          </w:p>
        </w:tc>
        <w:tc>
          <w:tcPr>
            <w:tcW w:w="3035" w:type="dxa"/>
            <w:tcBorders>
              <w:top w:val="nil"/>
              <w:left w:val="nil"/>
              <w:bottom w:val="single" w:sz="4" w:space="0" w:color="BFBFBF"/>
              <w:right w:val="single" w:sz="4" w:space="0" w:color="BFBFBF"/>
            </w:tcBorders>
            <w:shd w:val="clear" w:color="auto" w:fill="auto"/>
            <w:hideMark/>
          </w:tcPr>
          <w:p w14:paraId="09E6ED39"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 xml:space="preserve">Transmission Relay </w:t>
            </w:r>
            <w:proofErr w:type="spellStart"/>
            <w:r w:rsidRPr="00B82999">
              <w:rPr>
                <w:rFonts w:ascii="Franklin Gothic Book" w:hAnsi="Franklin Gothic Book"/>
                <w:color w:val="000000"/>
                <w:szCs w:val="20"/>
                <w:lang w:bidi="ar-SA"/>
              </w:rPr>
              <w:t>Loadability</w:t>
            </w:r>
            <w:proofErr w:type="spellEnd"/>
          </w:p>
        </w:tc>
        <w:tc>
          <w:tcPr>
            <w:tcW w:w="5490" w:type="dxa"/>
            <w:tcBorders>
              <w:top w:val="nil"/>
              <w:left w:val="nil"/>
              <w:bottom w:val="single" w:sz="4" w:space="0" w:color="BFBFBF"/>
              <w:right w:val="single" w:sz="4" w:space="0" w:color="auto"/>
            </w:tcBorders>
            <w:shd w:val="clear" w:color="auto" w:fill="auto"/>
            <w:hideMark/>
          </w:tcPr>
          <w:p w14:paraId="7B275DB3"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 xml:space="preserve">Protective relay settings shall not limit transmission </w:t>
            </w:r>
            <w:proofErr w:type="spellStart"/>
            <w:r w:rsidRPr="00B82999">
              <w:rPr>
                <w:rFonts w:ascii="Franklin Gothic Book" w:hAnsi="Franklin Gothic Book"/>
                <w:color w:val="000000"/>
                <w:szCs w:val="20"/>
                <w:lang w:bidi="ar-SA"/>
              </w:rPr>
              <w:t>loadability</w:t>
            </w:r>
            <w:proofErr w:type="spellEnd"/>
            <w:r w:rsidRPr="00B82999">
              <w:rPr>
                <w:rFonts w:ascii="Franklin Gothic Book" w:hAnsi="Franklin Gothic Book"/>
                <w:color w:val="000000"/>
                <w:szCs w:val="20"/>
                <w:lang w:bidi="ar-SA"/>
              </w:rPr>
              <w:t xml:space="preserve">; not interfere with system operators' ability to take remedial action to protect system reliability </w:t>
            </w:r>
            <w:proofErr w:type="gramStart"/>
            <w:r w:rsidRPr="00B82999">
              <w:rPr>
                <w:rFonts w:ascii="Franklin Gothic Book" w:hAnsi="Franklin Gothic Book"/>
                <w:color w:val="000000"/>
                <w:szCs w:val="20"/>
                <w:lang w:bidi="ar-SA"/>
              </w:rPr>
              <w:t>and;</w:t>
            </w:r>
            <w:proofErr w:type="gramEnd"/>
            <w:r w:rsidRPr="00B82999">
              <w:rPr>
                <w:rFonts w:ascii="Franklin Gothic Book" w:hAnsi="Franklin Gothic Book"/>
                <w:color w:val="000000"/>
                <w:szCs w:val="20"/>
                <w:lang w:bidi="ar-SA"/>
              </w:rPr>
              <w:t xml:space="preserve"> be set to reliably detect all fault conditions and protect the electrical network from these faults.</w:t>
            </w:r>
          </w:p>
        </w:tc>
      </w:tr>
      <w:tr w:rsidR="00EE6957" w:rsidRPr="00B82999" w14:paraId="13CD3C95" w14:textId="77777777" w:rsidTr="00EE6957">
        <w:trPr>
          <w:trHeight w:val="552"/>
        </w:trPr>
        <w:tc>
          <w:tcPr>
            <w:tcW w:w="1460" w:type="dxa"/>
            <w:tcBorders>
              <w:top w:val="nil"/>
              <w:left w:val="single" w:sz="4" w:space="0" w:color="auto"/>
              <w:bottom w:val="single" w:sz="4" w:space="0" w:color="BFBFBF"/>
              <w:right w:val="single" w:sz="4" w:space="0" w:color="BFBFBF"/>
            </w:tcBorders>
            <w:shd w:val="clear" w:color="auto" w:fill="auto"/>
            <w:noWrap/>
            <w:hideMark/>
          </w:tcPr>
          <w:p w14:paraId="0414B058"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PRC-026</w:t>
            </w:r>
          </w:p>
        </w:tc>
        <w:tc>
          <w:tcPr>
            <w:tcW w:w="3035" w:type="dxa"/>
            <w:tcBorders>
              <w:top w:val="nil"/>
              <w:left w:val="nil"/>
              <w:bottom w:val="single" w:sz="4" w:space="0" w:color="BFBFBF"/>
              <w:right w:val="single" w:sz="4" w:space="0" w:color="BFBFBF"/>
            </w:tcBorders>
            <w:shd w:val="clear" w:color="auto" w:fill="auto"/>
            <w:hideMark/>
          </w:tcPr>
          <w:p w14:paraId="28BDC908"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Relay Performance During Stable Power Swings</w:t>
            </w:r>
          </w:p>
        </w:tc>
        <w:tc>
          <w:tcPr>
            <w:tcW w:w="5490" w:type="dxa"/>
            <w:tcBorders>
              <w:top w:val="nil"/>
              <w:left w:val="nil"/>
              <w:bottom w:val="single" w:sz="4" w:space="0" w:color="BFBFBF"/>
              <w:right w:val="single" w:sz="4" w:space="0" w:color="auto"/>
            </w:tcBorders>
            <w:shd w:val="clear" w:color="auto" w:fill="auto"/>
            <w:hideMark/>
          </w:tcPr>
          <w:p w14:paraId="13D60011"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To ensure that load-responsible protective relays are expected to not trip in response to stable power swings during non-Fault conditions.</w:t>
            </w:r>
          </w:p>
        </w:tc>
      </w:tr>
      <w:tr w:rsidR="00EE6957" w:rsidRPr="00B82999" w14:paraId="401EF8E9" w14:textId="77777777" w:rsidTr="00EE6957">
        <w:trPr>
          <w:trHeight w:val="828"/>
        </w:trPr>
        <w:tc>
          <w:tcPr>
            <w:tcW w:w="1460" w:type="dxa"/>
            <w:tcBorders>
              <w:top w:val="nil"/>
              <w:left w:val="single" w:sz="4" w:space="0" w:color="auto"/>
              <w:bottom w:val="single" w:sz="4" w:space="0" w:color="BFBFBF"/>
              <w:right w:val="single" w:sz="4" w:space="0" w:color="BFBFBF"/>
            </w:tcBorders>
            <w:shd w:val="clear" w:color="auto" w:fill="auto"/>
            <w:noWrap/>
            <w:hideMark/>
          </w:tcPr>
          <w:p w14:paraId="4399E0A4"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TPL-001</w:t>
            </w:r>
          </w:p>
        </w:tc>
        <w:tc>
          <w:tcPr>
            <w:tcW w:w="3035" w:type="dxa"/>
            <w:tcBorders>
              <w:top w:val="nil"/>
              <w:left w:val="nil"/>
              <w:bottom w:val="single" w:sz="4" w:space="0" w:color="BFBFBF"/>
              <w:right w:val="single" w:sz="4" w:space="0" w:color="BFBFBF"/>
            </w:tcBorders>
            <w:shd w:val="clear" w:color="auto" w:fill="auto"/>
            <w:hideMark/>
          </w:tcPr>
          <w:p w14:paraId="014BDC7B"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Transmission System Planning Performance Requirements</w:t>
            </w:r>
          </w:p>
        </w:tc>
        <w:tc>
          <w:tcPr>
            <w:tcW w:w="5490" w:type="dxa"/>
            <w:tcBorders>
              <w:top w:val="nil"/>
              <w:left w:val="nil"/>
              <w:bottom w:val="single" w:sz="4" w:space="0" w:color="BFBFBF"/>
              <w:right w:val="single" w:sz="4" w:space="0" w:color="auto"/>
            </w:tcBorders>
            <w:shd w:val="clear" w:color="auto" w:fill="auto"/>
            <w:hideMark/>
          </w:tcPr>
          <w:p w14:paraId="5656198C"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Establish Transmission system planning performance requirements within the planning horizon to develop a Bulk Electric System (BES) that will operate reliably over a broad spectrum of System conditions and following a wide range of probable Contingencies.</w:t>
            </w:r>
          </w:p>
        </w:tc>
      </w:tr>
      <w:tr w:rsidR="00EE6957" w:rsidRPr="00B82999" w14:paraId="7BA1B5A2" w14:textId="77777777" w:rsidTr="00EE6957">
        <w:trPr>
          <w:trHeight w:val="552"/>
        </w:trPr>
        <w:tc>
          <w:tcPr>
            <w:tcW w:w="1460" w:type="dxa"/>
            <w:tcBorders>
              <w:top w:val="nil"/>
              <w:left w:val="single" w:sz="4" w:space="0" w:color="auto"/>
              <w:bottom w:val="single" w:sz="4" w:space="0" w:color="auto"/>
              <w:right w:val="single" w:sz="4" w:space="0" w:color="BFBFBF"/>
            </w:tcBorders>
            <w:shd w:val="clear" w:color="auto" w:fill="auto"/>
            <w:noWrap/>
            <w:hideMark/>
          </w:tcPr>
          <w:p w14:paraId="7F3FDAE8"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TPL-007</w:t>
            </w:r>
          </w:p>
        </w:tc>
        <w:tc>
          <w:tcPr>
            <w:tcW w:w="3035" w:type="dxa"/>
            <w:tcBorders>
              <w:top w:val="nil"/>
              <w:left w:val="nil"/>
              <w:bottom w:val="single" w:sz="4" w:space="0" w:color="auto"/>
              <w:right w:val="single" w:sz="4" w:space="0" w:color="BFBFBF"/>
            </w:tcBorders>
            <w:shd w:val="clear" w:color="auto" w:fill="auto"/>
            <w:hideMark/>
          </w:tcPr>
          <w:p w14:paraId="4FBDF56F"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Transmission System Planned Performance for Geomagnetic Disturbance Events</w:t>
            </w:r>
          </w:p>
        </w:tc>
        <w:tc>
          <w:tcPr>
            <w:tcW w:w="5490" w:type="dxa"/>
            <w:tcBorders>
              <w:top w:val="nil"/>
              <w:left w:val="nil"/>
              <w:bottom w:val="single" w:sz="4" w:space="0" w:color="auto"/>
              <w:right w:val="single" w:sz="4" w:space="0" w:color="auto"/>
            </w:tcBorders>
            <w:shd w:val="clear" w:color="auto" w:fill="auto"/>
            <w:hideMark/>
          </w:tcPr>
          <w:p w14:paraId="457D869B" w14:textId="77777777" w:rsidR="00EE6957" w:rsidRPr="00B82999" w:rsidRDefault="00EE6957" w:rsidP="00EE6957">
            <w:pPr>
              <w:spacing w:after="0"/>
              <w:ind w:left="0" w:firstLine="0"/>
              <w:rPr>
                <w:rFonts w:ascii="Franklin Gothic Book" w:hAnsi="Franklin Gothic Book"/>
                <w:color w:val="000000"/>
                <w:szCs w:val="20"/>
                <w:lang w:bidi="ar-SA"/>
              </w:rPr>
            </w:pPr>
            <w:r w:rsidRPr="00B82999">
              <w:rPr>
                <w:rFonts w:ascii="Franklin Gothic Book" w:hAnsi="Franklin Gothic Book"/>
                <w:color w:val="000000"/>
                <w:szCs w:val="20"/>
                <w:lang w:bidi="ar-SA"/>
              </w:rPr>
              <w:t>Establish requirements for Transmission system planned performance during geomagnetic disturbance (GMD) events.</w:t>
            </w:r>
          </w:p>
        </w:tc>
      </w:tr>
    </w:tbl>
    <w:p w14:paraId="05C1F314" w14:textId="77777777" w:rsidR="00EE6957" w:rsidRDefault="00EE6957" w:rsidP="00EE6957">
      <w:pPr>
        <w:pStyle w:val="Figure"/>
      </w:pPr>
    </w:p>
    <w:p w14:paraId="7C96F70A" w14:textId="77777777" w:rsidR="00EE6957" w:rsidRPr="00B82999" w:rsidRDefault="00EE6957" w:rsidP="00EE6957">
      <w:pPr>
        <w:pStyle w:val="Heading2"/>
      </w:pPr>
      <w:bookmarkStart w:id="188" w:name="_Toc52962313"/>
      <w:bookmarkStart w:id="189" w:name="_Toc80191692"/>
      <w:bookmarkStart w:id="190" w:name="_Toc81138739"/>
      <w:r w:rsidRPr="00B82999">
        <w:t>NPCC/NYSRC Area Transmission Reviews</w:t>
      </w:r>
      <w:bookmarkEnd w:id="188"/>
      <w:bookmarkEnd w:id="189"/>
      <w:bookmarkEnd w:id="190"/>
      <w:r>
        <w:t xml:space="preserve"> </w:t>
      </w:r>
    </w:p>
    <w:p w14:paraId="118626F4" w14:textId="386D646F" w:rsidR="00C8096B" w:rsidRDefault="00EE6957" w:rsidP="00EE6957">
      <w:pPr>
        <w:pStyle w:val="BodyText"/>
      </w:pPr>
      <w:r w:rsidRPr="00B82999">
        <w:t xml:space="preserve">The NPCC/NYSRC </w:t>
      </w:r>
      <w:r>
        <w:t>Area Transmission Reviews (</w:t>
      </w:r>
      <w:r w:rsidRPr="00B82999">
        <w:t>ATRs</w:t>
      </w:r>
      <w:r>
        <w:t>)</w:t>
      </w:r>
      <w:r w:rsidRPr="00B82999">
        <w:t xml:space="preserve"> are performed on an annual basis to demonstrate that conformance with the performance criteria specified in NPCC Directory #1 and the NYSRC Reliability Rules</w:t>
      </w:r>
      <w:r>
        <w:t xml:space="preserve">. The ATR is prepared in accordance with NPCC and NYSRC procedures that require the assessment to be performed annually, with a Comprehensive Area Transmission Review performed at least every five years. Either an Interim or an Intermediate review can be conducted between Comprehensive reviews, as </w:t>
      </w:r>
      <w:r>
        <w:lastRenderedPageBreak/>
        <w:t xml:space="preserve">appropriate. In an Interim review, the planning coordinator summarizes the changes in planned facilities and forecasted system conditions since the last Comprehensive review and assesses the impact of those changes. No new analysis </w:t>
      </w:r>
      <w:proofErr w:type="gramStart"/>
      <w:r>
        <w:t>are</w:t>
      </w:r>
      <w:proofErr w:type="gramEnd"/>
      <w:r>
        <w:t xml:space="preserve"> required for an Interim review. An Intermediate review covers all the elements of a Comprehensive review, but the analysis may be limited to addressing only significant issues, considering the extent of the system changes. </w:t>
      </w:r>
      <w:r w:rsidRPr="00B82999">
        <w:t xml:space="preserve">In the ATRs, the NYISO assesses the BPTF for a period </w:t>
      </w:r>
      <w:r>
        <w:t>four to six</w:t>
      </w:r>
      <w:r w:rsidRPr="00B82999">
        <w:t xml:space="preserve"> years in the future (the NYISO evaluates year </w:t>
      </w:r>
      <w:r>
        <w:t>five of the Study Period</w:t>
      </w:r>
      <w:r w:rsidRPr="00B82999">
        <w:t>)</w:t>
      </w:r>
      <w:r>
        <w:t>.</w:t>
      </w:r>
      <w:r w:rsidR="00C8096B">
        <w:t xml:space="preserve">  The most recent ATR completed by the NYISO is the 2020 Comprehensive ATR completed June 2021.</w:t>
      </w:r>
      <w:r w:rsidR="00C8096B">
        <w:rPr>
          <w:rStyle w:val="FootnoteReference"/>
        </w:rPr>
        <w:footnoteReference w:id="67"/>
      </w:r>
      <w:r>
        <w:t xml:space="preserve">  </w:t>
      </w:r>
      <w:r w:rsidR="00C8096B">
        <w:t>This ATR included the post-RNA base case updates and found that the system conforms to the applicable NPCC Directory #1 and NYSRC Reliability Rules.</w:t>
      </w:r>
    </w:p>
    <w:p w14:paraId="4690445A" w14:textId="2AA53126" w:rsidR="00EE6957" w:rsidRDefault="00EE6957" w:rsidP="00EE6957">
      <w:pPr>
        <w:pStyle w:val="BodyText"/>
      </w:pPr>
      <w:r>
        <w:t>S</w:t>
      </w:r>
      <w:r w:rsidRPr="00B82999">
        <w:t>even assessments are required as part of each ATR</w:t>
      </w:r>
      <w:r>
        <w:t xml:space="preserve">.   </w:t>
      </w:r>
      <w:r w:rsidRPr="00B82999">
        <w:t xml:space="preserve"> </w:t>
      </w:r>
    </w:p>
    <w:p w14:paraId="279B0524" w14:textId="77777777" w:rsidR="00EE6957" w:rsidRPr="00B82999" w:rsidRDefault="00EE6957" w:rsidP="00EE6957">
      <w:pPr>
        <w:pStyle w:val="BodyText"/>
      </w:pPr>
      <w:r w:rsidRPr="00B82999">
        <w:t>The first assessment evaluates the steady state and dynamics transmission security</w:t>
      </w:r>
      <w:r>
        <w:t xml:space="preserve">.  </w:t>
      </w:r>
      <w:r w:rsidRPr="00B82999">
        <w:t>For instances where the transmission security assessments results indicate that the planned system does not meet the specified criteria</w:t>
      </w:r>
      <w:r>
        <w:t>,</w:t>
      </w:r>
      <w:r w:rsidRPr="00B82999">
        <w:t xml:space="preserve"> a corrective action plan is incorporated to achieve conformance</w:t>
      </w:r>
      <w:r>
        <w:t xml:space="preserve">. </w:t>
      </w:r>
      <w:r w:rsidRPr="00B82999">
        <w:t>As part of the ATRs</w:t>
      </w:r>
      <w:r>
        <w:t xml:space="preserve">, </w:t>
      </w:r>
      <w:r w:rsidRPr="00B82999">
        <w:t>and also for compliance with NERC FAC-013</w:t>
      </w:r>
      <w:r>
        <w:t>,</w:t>
      </w:r>
      <w:r w:rsidRPr="00B82999">
        <w:t xml:space="preserve"> thermal, voltage, and stability transfer limits are performed to identify the limiting constraints for power transfers</w:t>
      </w:r>
      <w:r>
        <w:t>. The most resent ATR found no steady state or dynamics transmission security criteria violations.</w:t>
      </w:r>
    </w:p>
    <w:p w14:paraId="012104C2" w14:textId="77777777" w:rsidR="00EE6957" w:rsidRDefault="00EE6957" w:rsidP="00EE6957">
      <w:pPr>
        <w:pStyle w:val="BodyText"/>
      </w:pPr>
      <w:r w:rsidRPr="00B82999">
        <w:t>For the second assessment, steady state and dynamics analysis are conducted to evaluate the performance of the system for low probability extreme contingencies</w:t>
      </w:r>
      <w:r>
        <w:t xml:space="preserve">. </w:t>
      </w:r>
      <w:r w:rsidRPr="00B82999">
        <w:t>The purpose of the extreme contingency analysis is to examine the post contingency steady state conditions, as well as stability, overload, cascading outages</w:t>
      </w:r>
      <w:r>
        <w:t>,</w:t>
      </w:r>
      <w:r w:rsidRPr="00B82999">
        <w:t xml:space="preserve"> and voltage collapse</w:t>
      </w:r>
      <w:r>
        <w:t>,</w:t>
      </w:r>
      <w:r w:rsidRPr="00B82999">
        <w:t xml:space="preserve"> to obtain an indication of system robustness and to determine the extent of any potential widespread system disturbance</w:t>
      </w:r>
      <w:r>
        <w:t xml:space="preserve">. </w:t>
      </w:r>
      <w:r w:rsidRPr="00B82999">
        <w:t xml:space="preserve">In instances where the extreme contingency assessment concludes there are serious consequences, </w:t>
      </w:r>
      <w:r>
        <w:t>the NYISO evaluates</w:t>
      </w:r>
      <w:r w:rsidRPr="00B82999">
        <w:t xml:space="preserve"> implementing a change to design or operating practices to address the issues.</w:t>
      </w:r>
    </w:p>
    <w:p w14:paraId="6AC02F4F" w14:textId="77777777" w:rsidR="00EE6957" w:rsidRPr="00B82999" w:rsidRDefault="00EE6957" w:rsidP="00EE6957">
      <w:pPr>
        <w:pStyle w:val="BodyText"/>
      </w:pPr>
      <w:r>
        <w:t>The extreme contingency analysis included in the most recent ATR concludes that the system remained stable during most events and showed no thermal overloads over short-term emergency (STE) ratings or significant voltage violations on the BPTF. For the events that did show voltage, thermal, or dynamics issues, these events were local in nature (loss of local load or reduction of location generation) and did not result in a widespread system disturbance.</w:t>
      </w:r>
    </w:p>
    <w:p w14:paraId="25543224" w14:textId="5051E6A2" w:rsidR="00D90309" w:rsidRDefault="00EE6957" w:rsidP="00EE6957">
      <w:pPr>
        <w:pStyle w:val="BodyText"/>
      </w:pPr>
      <w:r w:rsidRPr="00B82999">
        <w:t xml:space="preserve">The third assessment evaluates extreme system conditions </w:t>
      </w:r>
      <w:r>
        <w:t>that</w:t>
      </w:r>
      <w:r w:rsidRPr="00B82999">
        <w:t xml:space="preserve"> have a low probability of occurrence such as high peak load conditions (</w:t>
      </w:r>
      <w:r w:rsidRPr="00BC0517">
        <w:rPr>
          <w:i/>
        </w:rPr>
        <w:t>e.g</w:t>
      </w:r>
      <w:r w:rsidRPr="00BC0517">
        <w:t>.,</w:t>
      </w:r>
      <w:r w:rsidRPr="00DD64EF">
        <w:rPr>
          <w:color w:val="FF0000"/>
        </w:rPr>
        <w:t xml:space="preserve"> </w:t>
      </w:r>
      <w:r w:rsidRPr="00B82999">
        <w:t>90</w:t>
      </w:r>
      <w:r w:rsidRPr="00DD64EF">
        <w:rPr>
          <w:vertAlign w:val="superscript"/>
        </w:rPr>
        <w:t>th</w:t>
      </w:r>
      <w:r>
        <w:t xml:space="preserve"> percentile</w:t>
      </w:r>
      <w:r w:rsidRPr="00B82999">
        <w:t xml:space="preserve"> load) resulting from extreme weather or the loss of fuel supply from a given resource (</w:t>
      </w:r>
      <w:r w:rsidRPr="00DD64EF">
        <w:rPr>
          <w:i/>
        </w:rPr>
        <w:t>e.g.,</w:t>
      </w:r>
      <w:r w:rsidRPr="00B82999">
        <w:t xml:space="preserve"> loss of all gas units under winter peak load)</w:t>
      </w:r>
      <w:r>
        <w:t xml:space="preserve">. </w:t>
      </w:r>
      <w:r w:rsidRPr="00B82999">
        <w:t xml:space="preserve">The extreme system </w:t>
      </w:r>
      <w:r w:rsidRPr="00B82999">
        <w:lastRenderedPageBreak/>
        <w:t>conditions evaluate various design criteria contingencies to evaluate the post contingency steady state conditions, as well as stability, overload, cascading outages and voltage collapse</w:t>
      </w:r>
      <w:r>
        <w:t xml:space="preserve">. The evaluation of extreme contingencies </w:t>
      </w:r>
      <w:proofErr w:type="gramStart"/>
      <w:r>
        <w:t>indicate</w:t>
      </w:r>
      <w:proofErr w:type="gramEnd"/>
      <w:r>
        <w:t xml:space="preserve"> </w:t>
      </w:r>
      <w:r w:rsidRPr="00B82999">
        <w:t>system robustness and determine the extent of any potential widespread system disturbance</w:t>
      </w:r>
      <w:r>
        <w:t xml:space="preserve">. </w:t>
      </w:r>
      <w:r w:rsidRPr="00B82999">
        <w:t xml:space="preserve">In instances where the extreme contingency assessment concludes </w:t>
      </w:r>
      <w:r>
        <w:t xml:space="preserve">that </w:t>
      </w:r>
      <w:r w:rsidRPr="00B82999">
        <w:t xml:space="preserve">there are serious consequences, </w:t>
      </w:r>
      <w:r>
        <w:t xml:space="preserve">the NYISO evaluates </w:t>
      </w:r>
      <w:r w:rsidRPr="00B82999">
        <w:t>implementing a change to design or operating practices to address the issues.</w:t>
      </w:r>
      <w:r>
        <w:t xml:space="preserve">  </w:t>
      </w:r>
      <w:r w:rsidR="00D90309">
        <w:t>For both the high peak load and loss of gas supply conditions evaluated in the most recent ATR, the steady state analysis results indicate that these system conditions do not cause thermal or voltage violations on the BPTF.  For the loss of gas case, the stability analysis results show that most contingencies are stable and damped.  However, the evaluation concluded that about 400 MVAR of dynamic reactive capability near the Oswego Complex would be needed to meet dynamics reliability criteria.</w:t>
      </w:r>
    </w:p>
    <w:p w14:paraId="67888071" w14:textId="77777777" w:rsidR="00EE6957" w:rsidRPr="00B82999" w:rsidRDefault="00EE6957" w:rsidP="00EE6957">
      <w:pPr>
        <w:pStyle w:val="BodyText"/>
      </w:pPr>
      <w:r w:rsidRPr="00B82999">
        <w:t>The fourth assessment evaluates the breaker fault duty at BPTF buses.</w:t>
      </w:r>
      <w:r>
        <w:t xml:space="preserve"> The most recent ATR found no over-</w:t>
      </w:r>
      <w:proofErr w:type="spellStart"/>
      <w:r>
        <w:t>dutied</w:t>
      </w:r>
      <w:proofErr w:type="spellEnd"/>
      <w:r>
        <w:t xml:space="preserve"> breakers on BPTF buses.</w:t>
      </w:r>
    </w:p>
    <w:p w14:paraId="7AB44CC8" w14:textId="77777777" w:rsidR="00EE6957" w:rsidRPr="00B82999" w:rsidRDefault="00EE6957" w:rsidP="00EE6957">
      <w:pPr>
        <w:pStyle w:val="BodyText"/>
      </w:pPr>
      <w:r w:rsidRPr="00B82999">
        <w:t>The fifth assessment evaluates other requirements specific to the NYSRC Reliability Rules including an evaluation of the impacts of planned system expansion or configuration facilities on the NYCA System Restoration Plan and Local Area Operation Rules for New York City Operations, loss of gas supply – New York City, and loss of gas supply – Long Island.</w:t>
      </w:r>
    </w:p>
    <w:p w14:paraId="71F29DC6" w14:textId="77777777" w:rsidR="00EE6957" w:rsidRPr="00B82999" w:rsidRDefault="00EE6957" w:rsidP="00EE6957">
      <w:pPr>
        <w:pStyle w:val="BodyText"/>
      </w:pPr>
      <w:r w:rsidRPr="00B82999">
        <w:t xml:space="preserve">The sixth assessment is a </w:t>
      </w:r>
      <w:r>
        <w:t>review</w:t>
      </w:r>
      <w:r w:rsidRPr="00B82999">
        <w:t xml:space="preserve"> of Special Protection Systems (SPSs)</w:t>
      </w:r>
      <w:r>
        <w:t xml:space="preserve">. </w:t>
      </w:r>
      <w:r w:rsidRPr="00B82999">
        <w:t>This review evaluates the designed operation and possible consequences of failure to operate or mis-operation of the SPS within the NYCA.</w:t>
      </w:r>
    </w:p>
    <w:p w14:paraId="039B9E5C" w14:textId="77777777" w:rsidR="00EE6957" w:rsidRPr="00026D6D" w:rsidRDefault="00EE6957" w:rsidP="00EE6957">
      <w:pPr>
        <w:pStyle w:val="BodyText"/>
      </w:pPr>
      <w:r w:rsidRPr="00B82999">
        <w:t>The seventh assessment is a review of requested exclusions to the NPCC Directory #1 criteria</w:t>
      </w:r>
      <w:r>
        <w:t xml:space="preserve">.  </w:t>
      </w:r>
    </w:p>
    <w:p w14:paraId="0416D26B" w14:textId="77777777" w:rsidR="00EE6957" w:rsidRPr="00B82999" w:rsidRDefault="00EE6957" w:rsidP="00EE6957">
      <w:pPr>
        <w:pStyle w:val="Heading2"/>
      </w:pPr>
      <w:bookmarkStart w:id="191" w:name="_Toc52962314"/>
      <w:bookmarkStart w:id="192" w:name="_Toc80191693"/>
      <w:bookmarkStart w:id="193" w:name="_Toc81138740"/>
      <w:r w:rsidRPr="00B82999">
        <w:t>NERC Planning Assessments (TPL-001)</w:t>
      </w:r>
      <w:bookmarkEnd w:id="191"/>
      <w:bookmarkEnd w:id="192"/>
      <w:bookmarkEnd w:id="193"/>
    </w:p>
    <w:p w14:paraId="7A92FFAD" w14:textId="77777777" w:rsidR="00EE6957" w:rsidRPr="00B82999" w:rsidRDefault="00EE6957" w:rsidP="00EE6957">
      <w:pPr>
        <w:pStyle w:val="BodyText"/>
      </w:pPr>
      <w:r w:rsidRPr="00B82999">
        <w:t>The NERC TPL-001 assessment (Planning Assessment) is performed annually</w:t>
      </w:r>
      <w:r>
        <w:t xml:space="preserve">.  </w:t>
      </w:r>
      <w:r w:rsidRPr="00B82999">
        <w:t xml:space="preserve">The purpose of the Planning Assessment is to demonstrate conformance with the applicable NERC transmission system planning performance requirements for the NYCA </w:t>
      </w:r>
      <w:r>
        <w:t>Bulk Electric System (</w:t>
      </w:r>
      <w:r w:rsidRPr="00B82999">
        <w:t>BES</w:t>
      </w:r>
      <w:r>
        <w:t xml:space="preserve">).  </w:t>
      </w:r>
      <w:r w:rsidRPr="00B82999">
        <w:t>The Planning Assessment is a coordinated study between the NYISO and New York Transmission Owners.</w:t>
      </w:r>
    </w:p>
    <w:p w14:paraId="74678183" w14:textId="69BF12E4" w:rsidR="00EE6957" w:rsidRDefault="00EE6957" w:rsidP="00EE6957">
      <w:pPr>
        <w:pStyle w:val="BodyText"/>
      </w:pPr>
      <w:r w:rsidRPr="00B82999">
        <w:t xml:space="preserve">The required system conditions to evaluate for this assessment include planned system representations over a 10-year study period for a variety of </w:t>
      </w:r>
      <w:r w:rsidRPr="00F94268">
        <w:t>system conditions</w:t>
      </w:r>
      <w:r>
        <w:t xml:space="preserve">.  </w:t>
      </w:r>
      <w:r w:rsidRPr="00F94268">
        <w:fldChar w:fldCharType="begin"/>
      </w:r>
      <w:r w:rsidRPr="00F94268">
        <w:instrText xml:space="preserve"> REF _Ref47680732 \h </w:instrText>
      </w:r>
      <w:r>
        <w:instrText xml:space="preserve"> \* MERGEFORMAT </w:instrText>
      </w:r>
      <w:r w:rsidRPr="00F94268">
        <w:fldChar w:fldCharType="separate"/>
      </w:r>
      <w:r w:rsidR="007E5B2C" w:rsidRPr="00F94268">
        <w:t xml:space="preserve">Figure </w:t>
      </w:r>
      <w:r w:rsidR="007E5B2C">
        <w:rPr>
          <w:noProof/>
        </w:rPr>
        <w:t>5</w:t>
      </w:r>
      <w:r w:rsidRPr="00F94268">
        <w:fldChar w:fldCharType="end"/>
      </w:r>
      <w:r w:rsidRPr="00F94268">
        <w:t xml:space="preserve"> provides a description of the steady state, dynamics, and short circuit cases required to be evaluated</w:t>
      </w:r>
      <w:r w:rsidRPr="00B82999">
        <w:t xml:space="preserve"> in the Planning Assessment.</w:t>
      </w:r>
    </w:p>
    <w:p w14:paraId="2C452097" w14:textId="77777777" w:rsidR="00F338AF" w:rsidRDefault="00F338AF" w:rsidP="00EE6957">
      <w:pPr>
        <w:pStyle w:val="Figure"/>
      </w:pPr>
      <w:bookmarkStart w:id="194" w:name="_Ref47680732"/>
      <w:bookmarkStart w:id="195" w:name="_Toc52958478"/>
    </w:p>
    <w:p w14:paraId="61332834" w14:textId="77777777" w:rsidR="00F338AF" w:rsidRDefault="00F338AF" w:rsidP="00EE6957">
      <w:pPr>
        <w:pStyle w:val="Figure"/>
      </w:pPr>
    </w:p>
    <w:p w14:paraId="71FD3938" w14:textId="77777777" w:rsidR="00F338AF" w:rsidRDefault="00F338AF" w:rsidP="00EE6957">
      <w:pPr>
        <w:pStyle w:val="Figure"/>
      </w:pPr>
    </w:p>
    <w:p w14:paraId="41E06D8F" w14:textId="029A3C05" w:rsidR="00EE6957" w:rsidRPr="00B82999" w:rsidRDefault="00EE6957" w:rsidP="00EE6957">
      <w:pPr>
        <w:pStyle w:val="Figure"/>
      </w:pPr>
      <w:r w:rsidRPr="00F94268">
        <w:lastRenderedPageBreak/>
        <w:t xml:space="preserve">Figure </w:t>
      </w:r>
      <w:fldSimple w:instr=" SEQ Figure \* ARABIC ">
        <w:r w:rsidR="007E5B2C">
          <w:rPr>
            <w:noProof/>
          </w:rPr>
          <w:t>5</w:t>
        </w:r>
      </w:fldSimple>
      <w:bookmarkEnd w:id="194"/>
      <w:r>
        <w:t>: Description of NERC TPL-001 Planning Assessment Study Cases</w:t>
      </w:r>
      <w:bookmarkEnd w:id="195"/>
    </w:p>
    <w:p w14:paraId="59D7E13D" w14:textId="77777777" w:rsidR="00EE6957" w:rsidRDefault="00EE6957" w:rsidP="00EE6957">
      <w:r w:rsidRPr="00127933">
        <w:rPr>
          <w:noProof/>
          <w:lang w:bidi="ar-SA"/>
        </w:rPr>
        <w:drawing>
          <wp:inline distT="0" distB="0" distL="0" distR="0" wp14:anchorId="1FE1F61C" wp14:editId="3AAB636B">
            <wp:extent cx="5159828" cy="1669175"/>
            <wp:effectExtent l="0" t="0" r="3175"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407" t="-671" r="49635" b="48647"/>
                    <a:stretch/>
                  </pic:blipFill>
                  <pic:spPr bwMode="auto">
                    <a:xfrm>
                      <a:off x="0" y="0"/>
                      <a:ext cx="5180359" cy="1675817"/>
                    </a:xfrm>
                    <a:prstGeom prst="rect">
                      <a:avLst/>
                    </a:prstGeom>
                    <a:noFill/>
                    <a:ln>
                      <a:noFill/>
                    </a:ln>
                    <a:extLst>
                      <a:ext uri="{53640926-AAD7-44D8-BBD7-CCE9431645EC}">
                        <a14:shadowObscured xmlns:a14="http://schemas.microsoft.com/office/drawing/2010/main"/>
                      </a:ext>
                    </a:extLst>
                  </pic:spPr>
                </pic:pic>
              </a:graphicData>
            </a:graphic>
          </wp:inline>
        </w:drawing>
      </w:r>
    </w:p>
    <w:p w14:paraId="49E8B647" w14:textId="77777777" w:rsidR="00EE6957" w:rsidRPr="000A14B3" w:rsidRDefault="00EE6957" w:rsidP="00EE6957">
      <w:pPr>
        <w:pStyle w:val="caption10"/>
        <w:ind w:left="792"/>
        <w:rPr>
          <w:sz w:val="18"/>
          <w:szCs w:val="18"/>
        </w:rPr>
      </w:pPr>
      <w:r w:rsidRPr="000A14B3">
        <w:rPr>
          <w:sz w:val="18"/>
          <w:szCs w:val="18"/>
        </w:rPr>
        <w:t>Notes:</w:t>
      </w:r>
    </w:p>
    <w:p w14:paraId="7FA5A8D1" w14:textId="77777777" w:rsidR="00EE6957" w:rsidRDefault="00EE6957" w:rsidP="007F4000">
      <w:pPr>
        <w:pStyle w:val="caption10"/>
        <w:numPr>
          <w:ilvl w:val="0"/>
          <w:numId w:val="35"/>
        </w:numPr>
        <w:jc w:val="left"/>
        <w:rPr>
          <w:sz w:val="18"/>
          <w:szCs w:val="18"/>
        </w:rPr>
      </w:pPr>
      <w:r w:rsidRPr="000A14B3">
        <w:rPr>
          <w:sz w:val="18"/>
          <w:szCs w:val="18"/>
        </w:rPr>
        <w:t>Only required to be assessed to address the impact of proposed material generation additions or changes in that timeframe</w:t>
      </w:r>
      <w:r>
        <w:rPr>
          <w:sz w:val="18"/>
          <w:szCs w:val="18"/>
        </w:rPr>
        <w:t>.</w:t>
      </w:r>
    </w:p>
    <w:p w14:paraId="114A50C4" w14:textId="77777777" w:rsidR="00EE6957" w:rsidRPr="000A14B3" w:rsidRDefault="00EE6957" w:rsidP="00EE6957">
      <w:pPr>
        <w:pStyle w:val="caption10"/>
        <w:ind w:left="1152"/>
        <w:rPr>
          <w:sz w:val="18"/>
          <w:szCs w:val="18"/>
        </w:rPr>
      </w:pPr>
    </w:p>
    <w:p w14:paraId="6B0925F9" w14:textId="77777777" w:rsidR="00EE6957" w:rsidRPr="00A8579E" w:rsidRDefault="00EE6957" w:rsidP="00EE6957">
      <w:pPr>
        <w:pStyle w:val="BodyText"/>
      </w:pPr>
      <w:r w:rsidRPr="00A8579E">
        <w:t xml:space="preserve">The steady state and dynamics transmission security </w:t>
      </w:r>
      <w:r>
        <w:t xml:space="preserve">analyses </w:t>
      </w:r>
      <w:r w:rsidRPr="00A8579E">
        <w:t>evaluate the New York State BES to meet the applicable criteria</w:t>
      </w:r>
      <w:r>
        <w:t xml:space="preserve">.  </w:t>
      </w:r>
      <w:r w:rsidRPr="00A8579E">
        <w:t>As part of this assessment, the unavailability of major transmission equipment with a lead time of more</w:t>
      </w:r>
      <w:r>
        <w:t xml:space="preserve"> than a year is also assessed.  </w:t>
      </w:r>
      <w:r w:rsidRPr="00A8579E">
        <w:t xml:space="preserve">The fault duty at BES buses </w:t>
      </w:r>
      <w:proofErr w:type="gramStart"/>
      <w:r w:rsidRPr="00A8579E">
        <w:t>are</w:t>
      </w:r>
      <w:proofErr w:type="gramEnd"/>
      <w:r w:rsidRPr="00A8579E">
        <w:t xml:space="preserve"> evaluated in the</w:t>
      </w:r>
      <w:r>
        <w:t xml:space="preserve"> short-circuit representation.  </w:t>
      </w:r>
      <w:r w:rsidRPr="00A8579E">
        <w:t>When the steady state, dynamics, or short circuit analysis indicates an inability of the system to meet the performance requirements in the standard, a corrective action plan is developed addressing how the performance requirements will be met</w:t>
      </w:r>
      <w:r>
        <w:t xml:space="preserve">.  </w:t>
      </w:r>
      <w:r w:rsidRPr="00A8579E">
        <w:t>Corrective action plans are reviewed in subsequent Planning Assessments for continued validity and implementation status.</w:t>
      </w:r>
    </w:p>
    <w:p w14:paraId="5902B931" w14:textId="77777777" w:rsidR="00EE6957" w:rsidRDefault="00EE6957" w:rsidP="00EE6957">
      <w:pPr>
        <w:pStyle w:val="BodyText"/>
      </w:pPr>
      <w:r w:rsidRPr="00A8579E">
        <w:t>For each steady state and dynamics case, the Planning Assessment evaluates the system res</w:t>
      </w:r>
      <w:r>
        <w:t xml:space="preserve">ponse to extreme contingencies.  </w:t>
      </w:r>
      <w:r w:rsidRPr="00A8579E">
        <w:t xml:space="preserve">Similar to the ATR, when the Planning Assessment extreme contingency analysis </w:t>
      </w:r>
      <w:proofErr w:type="gramStart"/>
      <w:r w:rsidRPr="00A8579E">
        <w:t>concludes</w:t>
      </w:r>
      <w:proofErr w:type="gramEnd"/>
      <w:r w:rsidRPr="00A8579E">
        <w:t xml:space="preserve"> there is cascading caused by an extreme contingency</w:t>
      </w:r>
      <w:r>
        <w:t>,</w:t>
      </w:r>
      <w:r w:rsidRPr="00A8579E">
        <w:t xml:space="preserve"> </w:t>
      </w:r>
      <w:r>
        <w:t>the NYISO evaluates</w:t>
      </w:r>
      <w:r w:rsidRPr="00A8579E">
        <w:t xml:space="preserve"> possible actions designed to reduce the likelihood or mitigate the consequences and adverse impacts.</w:t>
      </w:r>
    </w:p>
    <w:p w14:paraId="588770D4" w14:textId="1A891C66" w:rsidR="00EE6957" w:rsidRDefault="00EE6957" w:rsidP="00EE6957">
      <w:pPr>
        <w:pStyle w:val="BodyText"/>
      </w:pPr>
      <w:r>
        <w:t xml:space="preserve">The most recent NERC Planning Assessment for compliance with TPL-001 was completed in June </w:t>
      </w:r>
      <w:r w:rsidR="00D90309">
        <w:t>2021</w:t>
      </w:r>
      <w:r>
        <w:t xml:space="preserve">.  As this study contains Critical Energy Infrastructure Information (CEII), it is not posted on the NYISO website. Generally, the results of this study are consistent with the ATR studies. </w:t>
      </w:r>
      <w:r w:rsidR="008B6F01">
        <w:t>T</w:t>
      </w:r>
      <w:r>
        <w:t>he study scope of this assessment is different from the ATR because the ATR evaluates the B</w:t>
      </w:r>
      <w:r w:rsidR="008B6F01">
        <w:t xml:space="preserve">ulk </w:t>
      </w:r>
      <w:r>
        <w:t>P</w:t>
      </w:r>
      <w:r w:rsidR="008B6F01">
        <w:t xml:space="preserve">ower </w:t>
      </w:r>
      <w:r>
        <w:t>T</w:t>
      </w:r>
      <w:r w:rsidR="008B6F01">
        <w:t xml:space="preserve">ransmission </w:t>
      </w:r>
      <w:r>
        <w:t>F</w:t>
      </w:r>
      <w:r w:rsidR="008B6F01">
        <w:t>acilities (BPTF),</w:t>
      </w:r>
      <w:r>
        <w:t xml:space="preserve"> while the TPL evaluates the </w:t>
      </w:r>
      <w:r w:rsidR="008B6F01">
        <w:t>Bulk Electric System (</w:t>
      </w:r>
      <w:r>
        <w:t>BES)</w:t>
      </w:r>
      <w:r w:rsidR="008B6F01">
        <w:t>.  Accordingly</w:t>
      </w:r>
      <w:r>
        <w:t>, criteria violations were observed</w:t>
      </w:r>
      <w:r w:rsidR="008B6F01">
        <w:t xml:space="preserve"> on the BES</w:t>
      </w:r>
      <w:r>
        <w:t xml:space="preserve">. The corrective action plans for criteria violations are generally addressed in the affected Transmission Owner’s </w:t>
      </w:r>
      <w:r w:rsidR="008B6F01">
        <w:t>Local Transmission Plan (</w:t>
      </w:r>
      <w:r>
        <w:t>LTP</w:t>
      </w:r>
      <w:r w:rsidR="008B6F01">
        <w:t>)</w:t>
      </w:r>
      <w:r>
        <w:t xml:space="preserve"> and/or the proposed transmission facilities listed in Section 7 of the Load and Capacity Data Report.</w:t>
      </w:r>
    </w:p>
    <w:p w14:paraId="1913339F" w14:textId="10B027F1" w:rsidR="00F338AF" w:rsidRDefault="00F338AF" w:rsidP="00EE6957">
      <w:pPr>
        <w:pStyle w:val="BodyText"/>
      </w:pPr>
    </w:p>
    <w:p w14:paraId="50F8FF79" w14:textId="77777777" w:rsidR="00F338AF" w:rsidRDefault="00F338AF" w:rsidP="00EE6957">
      <w:pPr>
        <w:pStyle w:val="BodyText"/>
      </w:pPr>
    </w:p>
    <w:p w14:paraId="5F0061A9" w14:textId="77777777" w:rsidR="00EE6957" w:rsidRPr="00A8579E" w:rsidRDefault="00EE6957" w:rsidP="00EE6957">
      <w:pPr>
        <w:pStyle w:val="Heading2"/>
      </w:pPr>
      <w:bookmarkStart w:id="196" w:name="_Toc52962315"/>
      <w:bookmarkStart w:id="197" w:name="_Toc80191694"/>
      <w:bookmarkStart w:id="198" w:name="_Toc81138741"/>
      <w:r>
        <w:lastRenderedPageBreak/>
        <w:t>Resource Adequacy Compliance Efforts</w:t>
      </w:r>
      <w:bookmarkEnd w:id="196"/>
      <w:bookmarkEnd w:id="197"/>
      <w:bookmarkEnd w:id="198"/>
    </w:p>
    <w:p w14:paraId="2CAF78C5" w14:textId="77777777" w:rsidR="00EE6957" w:rsidRDefault="00EE6957" w:rsidP="00EE6957">
      <w:pPr>
        <w:pStyle w:val="BodyText"/>
      </w:pPr>
      <w:r>
        <w:t xml:space="preserve">NPCC’s </w:t>
      </w:r>
      <w:hyperlink r:id="rId177" w:history="1">
        <w:r w:rsidRPr="005210D1">
          <w:rPr>
            <w:rStyle w:val="Hyperlink"/>
          </w:rPr>
          <w:t>Directory 1</w:t>
        </w:r>
      </w:hyperlink>
      <w:r>
        <w:t xml:space="preserve"> defines a compliance obligation for the NYISO, as Resource Planner and Planning Coordinator, to perform a resource adequacy study evaluating a five-year planning horizon. The NYISO delivers a report every year under this study process to verify the system against the one-day-in-ten-years loss of load expectation (LOLE) criterion, usually based on the latest available RNA/CRP results and assumptions.  The New York Area Review of Resource Adequacy</w:t>
      </w:r>
      <w:r w:rsidRPr="009F1AE0">
        <w:t xml:space="preserve"> </w:t>
      </w:r>
      <w:r>
        <w:t xml:space="preserve">completed reports are available at: </w:t>
      </w:r>
      <w:hyperlink r:id="rId178" w:history="1">
        <w:r w:rsidRPr="00DB2F7E">
          <w:rPr>
            <w:rStyle w:val="Hyperlink"/>
          </w:rPr>
          <w:t>https://www.nyiso.com/planning-reliability-compliance</w:t>
        </w:r>
      </w:hyperlink>
      <w:r>
        <w:t>.</w:t>
      </w:r>
    </w:p>
    <w:p w14:paraId="62B8F861" w14:textId="2EB8AF18" w:rsidR="00EE6957" w:rsidRPr="001C7185" w:rsidRDefault="00EE6957" w:rsidP="00EE6957">
      <w:pPr>
        <w:pStyle w:val="BodyText"/>
      </w:pPr>
      <w:r>
        <w:t xml:space="preserve">NYSRC </w:t>
      </w:r>
      <w:hyperlink r:id="rId179" w:history="1">
        <w:r w:rsidRPr="00F517E2">
          <w:rPr>
            <w:rStyle w:val="Hyperlink"/>
          </w:rPr>
          <w:t>Reliability Rules</w:t>
        </w:r>
      </w:hyperlink>
      <w:r>
        <w:t xml:space="preserve"> have recently added a requirement</w:t>
      </w:r>
      <w:r>
        <w:rPr>
          <w:rStyle w:val="FootnoteReference"/>
        </w:rPr>
        <w:footnoteReference w:id="68"/>
      </w:r>
      <w:r>
        <w:t xml:space="preserve">  that the NYISO deliver a Long Term Resource Adequacy Assessment report every RNA year, and an annual update in the non-RNA years. The NYISO first implement</w:t>
      </w:r>
      <w:r w:rsidR="00B10D92">
        <w:t>ed</w:t>
      </w:r>
      <w:r>
        <w:t xml:space="preserve"> this requirement after finalizing the</w:t>
      </w:r>
      <w:r w:rsidRPr="00B741D6">
        <w:rPr>
          <w:i/>
        </w:rPr>
        <w:t xml:space="preserve"> </w:t>
      </w:r>
      <w:r w:rsidRPr="006F2E4A">
        <w:t>2020 RNA.</w:t>
      </w:r>
    </w:p>
    <w:p w14:paraId="3FF9F22B" w14:textId="77777777" w:rsidR="00E06FF3" w:rsidRDefault="00EE6957" w:rsidP="00EE6957">
      <w:pPr>
        <w:pStyle w:val="BodyText"/>
      </w:pPr>
      <w:r>
        <w:t>The NYISO is also actively involved in other activities such as the NERC’s annual Long Term Reliability Assessment (</w:t>
      </w:r>
      <w:hyperlink r:id="rId180" w:history="1">
        <w:r w:rsidRPr="009F1AE0">
          <w:rPr>
            <w:rStyle w:val="Hyperlink"/>
          </w:rPr>
          <w:t>LTRA</w:t>
        </w:r>
      </w:hyperlink>
      <w:r>
        <w:t>), along with its biennial Probabilistic Assessment (</w:t>
      </w:r>
      <w:proofErr w:type="spellStart"/>
      <w:r>
        <w:t>ProbA</w:t>
      </w:r>
      <w:proofErr w:type="spellEnd"/>
      <w:r>
        <w:t>), performed by NERC with the input from all the NERC Regions and Areas, as well as NPCC’s Long Range Adequacy Overview (</w:t>
      </w:r>
      <w:hyperlink r:id="rId181" w:history="1">
        <w:r w:rsidRPr="009F1AE0">
          <w:rPr>
            <w:rStyle w:val="Hyperlink"/>
          </w:rPr>
          <w:t>LROA</w:t>
        </w:r>
      </w:hyperlink>
      <w:r>
        <w:t>).</w:t>
      </w:r>
    </w:p>
    <w:p w14:paraId="3177B454" w14:textId="77777777" w:rsidR="00E06FF3" w:rsidRDefault="00E06FF3" w:rsidP="00EE6957">
      <w:pPr>
        <w:pStyle w:val="BodyText"/>
      </w:pPr>
    </w:p>
    <w:p w14:paraId="6D1D80C5" w14:textId="4FC0C5F9" w:rsidR="00EE6957" w:rsidRDefault="00EE6957" w:rsidP="00EE6957">
      <w:pPr>
        <w:pStyle w:val="BodyText"/>
        <w:rPr>
          <w:rFonts w:ascii="Franklin Gothic Medium" w:hAnsi="Franklin Gothic Medium"/>
          <w:color w:val="005F86"/>
          <w:sz w:val="32"/>
          <w:szCs w:val="28"/>
        </w:rPr>
      </w:pPr>
      <w:r>
        <w:br w:type="page"/>
      </w:r>
    </w:p>
    <w:p w14:paraId="7E9C510C" w14:textId="7E21F897" w:rsidR="002C2C56" w:rsidRDefault="002C2C56" w:rsidP="002C2C56">
      <w:pPr>
        <w:pStyle w:val="Heading1"/>
      </w:pPr>
      <w:bookmarkStart w:id="199" w:name="_Toc80191695"/>
      <w:bookmarkStart w:id="200" w:name="_Toc81138742"/>
      <w:r>
        <w:lastRenderedPageBreak/>
        <w:t xml:space="preserve">Appendix </w:t>
      </w:r>
      <w:r w:rsidR="00B10D92">
        <w:t>I</w:t>
      </w:r>
      <w:r>
        <w:t xml:space="preserve"> - Bulk Power Transmission Facilities</w:t>
      </w:r>
      <w:bookmarkEnd w:id="199"/>
      <w:bookmarkEnd w:id="200"/>
      <w:r>
        <w:t xml:space="preserve">  </w:t>
      </w:r>
    </w:p>
    <w:p w14:paraId="1C873230" w14:textId="77777777" w:rsidR="00FF49F1" w:rsidRPr="00110CBC" w:rsidRDefault="00FF49F1" w:rsidP="00FF49F1">
      <w:pPr>
        <w:spacing w:after="0"/>
        <w:jc w:val="center"/>
        <w:rPr>
          <w:b/>
          <w:szCs w:val="20"/>
        </w:rPr>
      </w:pPr>
      <w:r w:rsidRPr="00110CBC">
        <w:rPr>
          <w:b/>
          <w:szCs w:val="20"/>
        </w:rPr>
        <w:t>Existing New York State Bulk Power Transmission Facilities</w:t>
      </w:r>
    </w:p>
    <w:tbl>
      <w:tblPr>
        <w:tblW w:w="0" w:type="auto"/>
        <w:jc w:val="center"/>
        <w:tblLook w:val="04A0" w:firstRow="1" w:lastRow="0" w:firstColumn="1" w:lastColumn="0" w:noHBand="0" w:noVBand="1"/>
      </w:tblPr>
      <w:tblGrid>
        <w:gridCol w:w="1556"/>
        <w:gridCol w:w="1647"/>
        <w:gridCol w:w="1328"/>
        <w:gridCol w:w="1867"/>
        <w:gridCol w:w="1328"/>
      </w:tblGrid>
      <w:tr w:rsidR="00FF49F1" w:rsidRPr="00FF49F1" w14:paraId="763A964B" w14:textId="77777777" w:rsidTr="007F4000">
        <w:trPr>
          <w:trHeight w:val="293"/>
          <w:tblHeader/>
          <w:jc w:val="center"/>
        </w:trPr>
        <w:tc>
          <w:tcPr>
            <w:tcW w:w="0" w:type="auto"/>
            <w:tcBorders>
              <w:top w:val="single" w:sz="8" w:space="0" w:color="auto"/>
              <w:left w:val="single" w:sz="8" w:space="0" w:color="auto"/>
              <w:bottom w:val="single" w:sz="8" w:space="0" w:color="auto"/>
              <w:right w:val="single" w:sz="8" w:space="0" w:color="auto"/>
            </w:tcBorders>
            <w:shd w:val="clear" w:color="000000" w:fill="BDD7EE"/>
            <w:vAlign w:val="center"/>
            <w:hideMark/>
          </w:tcPr>
          <w:p w14:paraId="242FF323" w14:textId="77777777" w:rsidR="00FF49F1" w:rsidRPr="00FF49F1" w:rsidRDefault="00FF49F1" w:rsidP="00FF49F1">
            <w:pPr>
              <w:spacing w:after="0"/>
              <w:ind w:left="0" w:firstLine="0"/>
              <w:jc w:val="center"/>
              <w:rPr>
                <w:rFonts w:ascii="Calibri" w:hAnsi="Calibri" w:cs="Calibri"/>
                <w:b/>
                <w:bCs/>
                <w:sz w:val="16"/>
                <w:szCs w:val="16"/>
                <w:lang w:bidi="ar-SA"/>
              </w:rPr>
            </w:pPr>
            <w:r w:rsidRPr="00FF49F1">
              <w:rPr>
                <w:rFonts w:ascii="Calibri" w:hAnsi="Calibri" w:cs="Calibri"/>
                <w:b/>
                <w:bCs/>
                <w:sz w:val="16"/>
                <w:szCs w:val="16"/>
                <w:lang w:bidi="ar-SA"/>
              </w:rPr>
              <w:t xml:space="preserve">Facility Identifier </w:t>
            </w:r>
          </w:p>
        </w:tc>
        <w:tc>
          <w:tcPr>
            <w:tcW w:w="0" w:type="auto"/>
            <w:tcBorders>
              <w:top w:val="single" w:sz="8" w:space="0" w:color="auto"/>
              <w:left w:val="nil"/>
              <w:bottom w:val="single" w:sz="8" w:space="0" w:color="auto"/>
              <w:right w:val="single" w:sz="8" w:space="0" w:color="auto"/>
            </w:tcBorders>
            <w:shd w:val="clear" w:color="000000" w:fill="BDD7EE"/>
            <w:vAlign w:val="center"/>
            <w:hideMark/>
          </w:tcPr>
          <w:p w14:paraId="5E8F3B23" w14:textId="77777777" w:rsidR="00FF49F1" w:rsidRPr="00FF49F1" w:rsidRDefault="00FF49F1" w:rsidP="00FF49F1">
            <w:pPr>
              <w:spacing w:after="0"/>
              <w:ind w:left="0" w:firstLine="0"/>
              <w:jc w:val="center"/>
              <w:rPr>
                <w:rFonts w:ascii="Calibri" w:hAnsi="Calibri" w:cs="Calibri"/>
                <w:b/>
                <w:bCs/>
                <w:sz w:val="16"/>
                <w:szCs w:val="16"/>
                <w:lang w:bidi="ar-SA"/>
              </w:rPr>
            </w:pPr>
            <w:r w:rsidRPr="00FF49F1">
              <w:rPr>
                <w:rFonts w:ascii="Calibri" w:hAnsi="Calibri" w:cs="Calibri"/>
                <w:b/>
                <w:bCs/>
                <w:sz w:val="16"/>
                <w:szCs w:val="16"/>
                <w:lang w:bidi="ar-SA"/>
              </w:rPr>
              <w:t xml:space="preserve">Terminal A </w:t>
            </w:r>
          </w:p>
        </w:tc>
        <w:tc>
          <w:tcPr>
            <w:tcW w:w="0" w:type="auto"/>
            <w:tcBorders>
              <w:top w:val="single" w:sz="8" w:space="0" w:color="auto"/>
              <w:left w:val="nil"/>
              <w:bottom w:val="single" w:sz="8" w:space="0" w:color="auto"/>
              <w:right w:val="single" w:sz="8" w:space="0" w:color="auto"/>
            </w:tcBorders>
            <w:shd w:val="clear" w:color="000000" w:fill="BDD7EE"/>
            <w:vAlign w:val="center"/>
            <w:hideMark/>
          </w:tcPr>
          <w:p w14:paraId="37DC9B1C" w14:textId="77777777" w:rsidR="00FF49F1" w:rsidRPr="00FF49F1" w:rsidRDefault="00FF49F1" w:rsidP="00FF49F1">
            <w:pPr>
              <w:spacing w:after="0"/>
              <w:ind w:left="0" w:firstLine="0"/>
              <w:jc w:val="center"/>
              <w:rPr>
                <w:rFonts w:ascii="Calibri" w:hAnsi="Calibri" w:cs="Calibri"/>
                <w:b/>
                <w:bCs/>
                <w:sz w:val="16"/>
                <w:szCs w:val="16"/>
                <w:lang w:bidi="ar-SA"/>
              </w:rPr>
            </w:pPr>
            <w:r w:rsidRPr="00FF49F1">
              <w:rPr>
                <w:rFonts w:ascii="Calibri" w:hAnsi="Calibri" w:cs="Calibri"/>
                <w:b/>
                <w:bCs/>
                <w:sz w:val="16"/>
                <w:szCs w:val="16"/>
                <w:lang w:bidi="ar-SA"/>
              </w:rPr>
              <w:t xml:space="preserve">Nominal Voltage </w:t>
            </w:r>
          </w:p>
        </w:tc>
        <w:tc>
          <w:tcPr>
            <w:tcW w:w="0" w:type="auto"/>
            <w:tcBorders>
              <w:top w:val="single" w:sz="8" w:space="0" w:color="auto"/>
              <w:left w:val="nil"/>
              <w:bottom w:val="single" w:sz="8" w:space="0" w:color="auto"/>
              <w:right w:val="single" w:sz="8" w:space="0" w:color="auto"/>
            </w:tcBorders>
            <w:shd w:val="clear" w:color="000000" w:fill="BDD7EE"/>
            <w:vAlign w:val="center"/>
            <w:hideMark/>
          </w:tcPr>
          <w:p w14:paraId="25376281" w14:textId="77777777" w:rsidR="00FF49F1" w:rsidRPr="00FF49F1" w:rsidRDefault="00FF49F1" w:rsidP="00FF49F1">
            <w:pPr>
              <w:spacing w:after="0"/>
              <w:ind w:left="0" w:firstLine="0"/>
              <w:jc w:val="center"/>
              <w:rPr>
                <w:rFonts w:ascii="Calibri" w:hAnsi="Calibri" w:cs="Calibri"/>
                <w:b/>
                <w:bCs/>
                <w:sz w:val="16"/>
                <w:szCs w:val="16"/>
                <w:lang w:bidi="ar-SA"/>
              </w:rPr>
            </w:pPr>
            <w:r w:rsidRPr="00FF49F1">
              <w:rPr>
                <w:rFonts w:ascii="Calibri" w:hAnsi="Calibri" w:cs="Calibri"/>
                <w:b/>
                <w:bCs/>
                <w:sz w:val="16"/>
                <w:szCs w:val="16"/>
                <w:lang w:bidi="ar-SA"/>
              </w:rPr>
              <w:t xml:space="preserve">Terminal B </w:t>
            </w:r>
          </w:p>
        </w:tc>
        <w:tc>
          <w:tcPr>
            <w:tcW w:w="0" w:type="auto"/>
            <w:tcBorders>
              <w:top w:val="single" w:sz="8" w:space="0" w:color="auto"/>
              <w:left w:val="nil"/>
              <w:bottom w:val="single" w:sz="8" w:space="0" w:color="auto"/>
              <w:right w:val="single" w:sz="8" w:space="0" w:color="auto"/>
            </w:tcBorders>
            <w:shd w:val="clear" w:color="000000" w:fill="BDD7EE"/>
            <w:vAlign w:val="center"/>
            <w:hideMark/>
          </w:tcPr>
          <w:p w14:paraId="58CAC6D4" w14:textId="77777777" w:rsidR="00FF49F1" w:rsidRPr="00FF49F1" w:rsidRDefault="00FF49F1" w:rsidP="00FF49F1">
            <w:pPr>
              <w:spacing w:after="0"/>
              <w:ind w:left="0" w:firstLine="0"/>
              <w:jc w:val="center"/>
              <w:rPr>
                <w:rFonts w:ascii="Calibri" w:hAnsi="Calibri" w:cs="Calibri"/>
                <w:b/>
                <w:bCs/>
                <w:sz w:val="16"/>
                <w:szCs w:val="16"/>
                <w:lang w:bidi="ar-SA"/>
              </w:rPr>
            </w:pPr>
            <w:r w:rsidRPr="00FF49F1">
              <w:rPr>
                <w:rFonts w:ascii="Calibri" w:hAnsi="Calibri" w:cs="Calibri"/>
                <w:b/>
                <w:bCs/>
                <w:sz w:val="16"/>
                <w:szCs w:val="16"/>
                <w:lang w:bidi="ar-SA"/>
              </w:rPr>
              <w:t xml:space="preserve">Nominal Voltage </w:t>
            </w:r>
          </w:p>
        </w:tc>
      </w:tr>
      <w:tr w:rsidR="00FF49F1" w:rsidRPr="00FF49F1" w14:paraId="0FFA4D19"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0A4AEF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MSC-7040 </w:t>
            </w:r>
          </w:p>
        </w:tc>
        <w:tc>
          <w:tcPr>
            <w:tcW w:w="0" w:type="auto"/>
            <w:tcBorders>
              <w:top w:val="nil"/>
              <w:left w:val="nil"/>
              <w:bottom w:val="single" w:sz="8" w:space="0" w:color="auto"/>
              <w:right w:val="single" w:sz="8" w:space="0" w:color="auto"/>
            </w:tcBorders>
            <w:shd w:val="clear" w:color="auto" w:fill="auto"/>
            <w:vAlign w:val="center"/>
            <w:hideMark/>
          </w:tcPr>
          <w:p w14:paraId="08D7F20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Chateauguay (HQ) </w:t>
            </w:r>
          </w:p>
        </w:tc>
        <w:tc>
          <w:tcPr>
            <w:tcW w:w="0" w:type="auto"/>
            <w:tcBorders>
              <w:top w:val="nil"/>
              <w:left w:val="nil"/>
              <w:bottom w:val="single" w:sz="8" w:space="0" w:color="auto"/>
              <w:right w:val="single" w:sz="8" w:space="0" w:color="auto"/>
            </w:tcBorders>
            <w:shd w:val="clear" w:color="auto" w:fill="auto"/>
            <w:vAlign w:val="center"/>
            <w:hideMark/>
          </w:tcPr>
          <w:p w14:paraId="5F6D8D6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765</w:t>
            </w:r>
          </w:p>
        </w:tc>
        <w:tc>
          <w:tcPr>
            <w:tcW w:w="0" w:type="auto"/>
            <w:tcBorders>
              <w:top w:val="nil"/>
              <w:left w:val="nil"/>
              <w:bottom w:val="single" w:sz="8" w:space="0" w:color="auto"/>
              <w:right w:val="single" w:sz="8" w:space="0" w:color="auto"/>
            </w:tcBorders>
            <w:shd w:val="clear" w:color="auto" w:fill="auto"/>
            <w:vAlign w:val="center"/>
            <w:hideMark/>
          </w:tcPr>
          <w:p w14:paraId="08D76AF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Massena </w:t>
            </w:r>
          </w:p>
        </w:tc>
        <w:tc>
          <w:tcPr>
            <w:tcW w:w="0" w:type="auto"/>
            <w:tcBorders>
              <w:top w:val="nil"/>
              <w:left w:val="nil"/>
              <w:bottom w:val="single" w:sz="8" w:space="0" w:color="auto"/>
              <w:right w:val="single" w:sz="8" w:space="0" w:color="auto"/>
            </w:tcBorders>
            <w:shd w:val="clear" w:color="auto" w:fill="auto"/>
            <w:vAlign w:val="center"/>
            <w:hideMark/>
          </w:tcPr>
          <w:p w14:paraId="4B301DF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765</w:t>
            </w:r>
          </w:p>
        </w:tc>
      </w:tr>
      <w:tr w:rsidR="00FF49F1" w:rsidRPr="00FF49F1" w14:paraId="58E877F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06C6CA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2A923CA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Marcy </w:t>
            </w:r>
          </w:p>
        </w:tc>
        <w:tc>
          <w:tcPr>
            <w:tcW w:w="0" w:type="auto"/>
            <w:tcBorders>
              <w:top w:val="nil"/>
              <w:left w:val="nil"/>
              <w:bottom w:val="single" w:sz="8" w:space="0" w:color="auto"/>
              <w:right w:val="single" w:sz="8" w:space="0" w:color="auto"/>
            </w:tcBorders>
            <w:shd w:val="clear" w:color="auto" w:fill="auto"/>
            <w:vAlign w:val="center"/>
            <w:hideMark/>
          </w:tcPr>
          <w:p w14:paraId="472EC78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765</w:t>
            </w:r>
          </w:p>
        </w:tc>
        <w:tc>
          <w:tcPr>
            <w:tcW w:w="0" w:type="auto"/>
            <w:tcBorders>
              <w:top w:val="nil"/>
              <w:left w:val="nil"/>
              <w:bottom w:val="single" w:sz="8" w:space="0" w:color="auto"/>
              <w:right w:val="single" w:sz="8" w:space="0" w:color="auto"/>
            </w:tcBorders>
            <w:shd w:val="clear" w:color="auto" w:fill="auto"/>
            <w:vAlign w:val="center"/>
            <w:hideMark/>
          </w:tcPr>
          <w:p w14:paraId="68A8C06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Marcy </w:t>
            </w:r>
          </w:p>
        </w:tc>
        <w:tc>
          <w:tcPr>
            <w:tcW w:w="0" w:type="auto"/>
            <w:tcBorders>
              <w:top w:val="nil"/>
              <w:left w:val="nil"/>
              <w:bottom w:val="single" w:sz="8" w:space="0" w:color="auto"/>
              <w:right w:val="single" w:sz="8" w:space="0" w:color="auto"/>
            </w:tcBorders>
            <w:shd w:val="clear" w:color="auto" w:fill="auto"/>
            <w:vAlign w:val="center"/>
            <w:hideMark/>
          </w:tcPr>
          <w:p w14:paraId="2CEB45F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58D28FC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94FFB8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3C7142F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Marcy </w:t>
            </w:r>
          </w:p>
        </w:tc>
        <w:tc>
          <w:tcPr>
            <w:tcW w:w="0" w:type="auto"/>
            <w:tcBorders>
              <w:top w:val="nil"/>
              <w:left w:val="nil"/>
              <w:bottom w:val="single" w:sz="8" w:space="0" w:color="auto"/>
              <w:right w:val="single" w:sz="8" w:space="0" w:color="auto"/>
            </w:tcBorders>
            <w:shd w:val="clear" w:color="auto" w:fill="auto"/>
            <w:vAlign w:val="center"/>
            <w:hideMark/>
          </w:tcPr>
          <w:p w14:paraId="6023885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765</w:t>
            </w:r>
          </w:p>
        </w:tc>
        <w:tc>
          <w:tcPr>
            <w:tcW w:w="0" w:type="auto"/>
            <w:tcBorders>
              <w:top w:val="nil"/>
              <w:left w:val="nil"/>
              <w:bottom w:val="single" w:sz="8" w:space="0" w:color="auto"/>
              <w:right w:val="single" w:sz="8" w:space="0" w:color="auto"/>
            </w:tcBorders>
            <w:shd w:val="clear" w:color="auto" w:fill="auto"/>
            <w:vAlign w:val="center"/>
            <w:hideMark/>
          </w:tcPr>
          <w:p w14:paraId="4E31BCA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Marcy </w:t>
            </w:r>
          </w:p>
        </w:tc>
        <w:tc>
          <w:tcPr>
            <w:tcW w:w="0" w:type="auto"/>
            <w:tcBorders>
              <w:top w:val="nil"/>
              <w:left w:val="nil"/>
              <w:bottom w:val="single" w:sz="8" w:space="0" w:color="auto"/>
              <w:right w:val="single" w:sz="8" w:space="0" w:color="auto"/>
            </w:tcBorders>
            <w:shd w:val="clear" w:color="auto" w:fill="auto"/>
            <w:vAlign w:val="center"/>
            <w:hideMark/>
          </w:tcPr>
          <w:p w14:paraId="651E5C9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04F7C7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0E2A25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317B477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Massena </w:t>
            </w:r>
          </w:p>
        </w:tc>
        <w:tc>
          <w:tcPr>
            <w:tcW w:w="0" w:type="auto"/>
            <w:tcBorders>
              <w:top w:val="nil"/>
              <w:left w:val="nil"/>
              <w:bottom w:val="single" w:sz="8" w:space="0" w:color="auto"/>
              <w:right w:val="single" w:sz="8" w:space="0" w:color="auto"/>
            </w:tcBorders>
            <w:shd w:val="clear" w:color="auto" w:fill="auto"/>
            <w:vAlign w:val="center"/>
            <w:hideMark/>
          </w:tcPr>
          <w:p w14:paraId="617161D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765</w:t>
            </w:r>
          </w:p>
        </w:tc>
        <w:tc>
          <w:tcPr>
            <w:tcW w:w="0" w:type="auto"/>
            <w:tcBorders>
              <w:top w:val="nil"/>
              <w:left w:val="nil"/>
              <w:bottom w:val="single" w:sz="8" w:space="0" w:color="auto"/>
              <w:right w:val="single" w:sz="8" w:space="0" w:color="auto"/>
            </w:tcBorders>
            <w:shd w:val="clear" w:color="auto" w:fill="auto"/>
            <w:vAlign w:val="center"/>
            <w:hideMark/>
          </w:tcPr>
          <w:p w14:paraId="55C45FF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Massena (MMS1) </w:t>
            </w:r>
          </w:p>
        </w:tc>
        <w:tc>
          <w:tcPr>
            <w:tcW w:w="0" w:type="auto"/>
            <w:tcBorders>
              <w:top w:val="nil"/>
              <w:left w:val="nil"/>
              <w:bottom w:val="single" w:sz="8" w:space="0" w:color="auto"/>
              <w:right w:val="single" w:sz="8" w:space="0" w:color="auto"/>
            </w:tcBorders>
            <w:shd w:val="clear" w:color="auto" w:fill="auto"/>
            <w:vAlign w:val="center"/>
            <w:hideMark/>
          </w:tcPr>
          <w:p w14:paraId="69A3145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3640F21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466793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1A44C4E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Massena </w:t>
            </w:r>
          </w:p>
        </w:tc>
        <w:tc>
          <w:tcPr>
            <w:tcW w:w="0" w:type="auto"/>
            <w:tcBorders>
              <w:top w:val="nil"/>
              <w:left w:val="nil"/>
              <w:bottom w:val="single" w:sz="8" w:space="0" w:color="auto"/>
              <w:right w:val="single" w:sz="8" w:space="0" w:color="auto"/>
            </w:tcBorders>
            <w:shd w:val="clear" w:color="auto" w:fill="auto"/>
            <w:vAlign w:val="center"/>
            <w:hideMark/>
          </w:tcPr>
          <w:p w14:paraId="5B42223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765</w:t>
            </w:r>
          </w:p>
        </w:tc>
        <w:tc>
          <w:tcPr>
            <w:tcW w:w="0" w:type="auto"/>
            <w:tcBorders>
              <w:top w:val="nil"/>
              <w:left w:val="nil"/>
              <w:bottom w:val="single" w:sz="8" w:space="0" w:color="auto"/>
              <w:right w:val="single" w:sz="8" w:space="0" w:color="auto"/>
            </w:tcBorders>
            <w:shd w:val="clear" w:color="auto" w:fill="auto"/>
            <w:vAlign w:val="center"/>
            <w:hideMark/>
          </w:tcPr>
          <w:p w14:paraId="1326709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Massena (MMS2) </w:t>
            </w:r>
          </w:p>
        </w:tc>
        <w:tc>
          <w:tcPr>
            <w:tcW w:w="0" w:type="auto"/>
            <w:tcBorders>
              <w:top w:val="nil"/>
              <w:left w:val="nil"/>
              <w:bottom w:val="single" w:sz="8" w:space="0" w:color="auto"/>
              <w:right w:val="single" w:sz="8" w:space="0" w:color="auto"/>
            </w:tcBorders>
            <w:shd w:val="clear" w:color="auto" w:fill="auto"/>
            <w:vAlign w:val="center"/>
            <w:hideMark/>
          </w:tcPr>
          <w:p w14:paraId="44BA32F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12B789F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494FC9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MSU1 </w:t>
            </w:r>
          </w:p>
        </w:tc>
        <w:tc>
          <w:tcPr>
            <w:tcW w:w="0" w:type="auto"/>
            <w:tcBorders>
              <w:top w:val="nil"/>
              <w:left w:val="nil"/>
              <w:bottom w:val="single" w:sz="8" w:space="0" w:color="auto"/>
              <w:right w:val="single" w:sz="8" w:space="0" w:color="auto"/>
            </w:tcBorders>
            <w:shd w:val="clear" w:color="auto" w:fill="auto"/>
            <w:vAlign w:val="center"/>
            <w:hideMark/>
          </w:tcPr>
          <w:p w14:paraId="12AB976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Massena </w:t>
            </w:r>
          </w:p>
        </w:tc>
        <w:tc>
          <w:tcPr>
            <w:tcW w:w="0" w:type="auto"/>
            <w:tcBorders>
              <w:top w:val="nil"/>
              <w:left w:val="nil"/>
              <w:bottom w:val="single" w:sz="8" w:space="0" w:color="auto"/>
              <w:right w:val="single" w:sz="8" w:space="0" w:color="auto"/>
            </w:tcBorders>
            <w:shd w:val="clear" w:color="auto" w:fill="auto"/>
            <w:vAlign w:val="center"/>
            <w:hideMark/>
          </w:tcPr>
          <w:p w14:paraId="5BDB52C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765</w:t>
            </w:r>
          </w:p>
        </w:tc>
        <w:tc>
          <w:tcPr>
            <w:tcW w:w="0" w:type="auto"/>
            <w:tcBorders>
              <w:top w:val="nil"/>
              <w:left w:val="nil"/>
              <w:bottom w:val="single" w:sz="8" w:space="0" w:color="auto"/>
              <w:right w:val="single" w:sz="8" w:space="0" w:color="auto"/>
            </w:tcBorders>
            <w:shd w:val="clear" w:color="auto" w:fill="auto"/>
            <w:vAlign w:val="center"/>
            <w:hideMark/>
          </w:tcPr>
          <w:p w14:paraId="0802B33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Marcy </w:t>
            </w:r>
          </w:p>
        </w:tc>
        <w:tc>
          <w:tcPr>
            <w:tcW w:w="0" w:type="auto"/>
            <w:tcBorders>
              <w:top w:val="nil"/>
              <w:left w:val="nil"/>
              <w:bottom w:val="single" w:sz="8" w:space="0" w:color="auto"/>
              <w:right w:val="single" w:sz="8" w:space="0" w:color="auto"/>
            </w:tcBorders>
            <w:shd w:val="clear" w:color="auto" w:fill="auto"/>
            <w:vAlign w:val="center"/>
            <w:hideMark/>
          </w:tcPr>
          <w:p w14:paraId="6AA3386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765</w:t>
            </w:r>
          </w:p>
        </w:tc>
      </w:tr>
      <w:tr w:rsidR="00FF49F1" w:rsidRPr="00FF49F1" w14:paraId="0BDBF7A9"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6343AD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5018</w:t>
            </w:r>
          </w:p>
        </w:tc>
        <w:tc>
          <w:tcPr>
            <w:tcW w:w="0" w:type="auto"/>
            <w:tcBorders>
              <w:top w:val="nil"/>
              <w:left w:val="nil"/>
              <w:bottom w:val="single" w:sz="8" w:space="0" w:color="auto"/>
              <w:right w:val="single" w:sz="8" w:space="0" w:color="auto"/>
            </w:tcBorders>
            <w:shd w:val="clear" w:color="auto" w:fill="auto"/>
            <w:vAlign w:val="center"/>
            <w:hideMark/>
          </w:tcPr>
          <w:p w14:paraId="3CC33FB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Branchburg </w:t>
            </w:r>
          </w:p>
        </w:tc>
        <w:tc>
          <w:tcPr>
            <w:tcW w:w="0" w:type="auto"/>
            <w:tcBorders>
              <w:top w:val="nil"/>
              <w:left w:val="nil"/>
              <w:bottom w:val="single" w:sz="8" w:space="0" w:color="auto"/>
              <w:right w:val="single" w:sz="8" w:space="0" w:color="auto"/>
            </w:tcBorders>
            <w:shd w:val="clear" w:color="auto" w:fill="auto"/>
            <w:vAlign w:val="center"/>
            <w:hideMark/>
          </w:tcPr>
          <w:p w14:paraId="296F82D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500</w:t>
            </w:r>
          </w:p>
        </w:tc>
        <w:tc>
          <w:tcPr>
            <w:tcW w:w="0" w:type="auto"/>
            <w:tcBorders>
              <w:top w:val="nil"/>
              <w:left w:val="nil"/>
              <w:bottom w:val="single" w:sz="8" w:space="0" w:color="auto"/>
              <w:right w:val="single" w:sz="8" w:space="0" w:color="auto"/>
            </w:tcBorders>
            <w:shd w:val="clear" w:color="auto" w:fill="auto"/>
            <w:vAlign w:val="center"/>
            <w:hideMark/>
          </w:tcPr>
          <w:p w14:paraId="35FADFD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Ramapo </w:t>
            </w:r>
          </w:p>
        </w:tc>
        <w:tc>
          <w:tcPr>
            <w:tcW w:w="0" w:type="auto"/>
            <w:tcBorders>
              <w:top w:val="nil"/>
              <w:left w:val="nil"/>
              <w:bottom w:val="single" w:sz="8" w:space="0" w:color="auto"/>
              <w:right w:val="single" w:sz="8" w:space="0" w:color="auto"/>
            </w:tcBorders>
            <w:shd w:val="clear" w:color="auto" w:fill="auto"/>
            <w:vAlign w:val="center"/>
            <w:hideMark/>
          </w:tcPr>
          <w:p w14:paraId="74696F3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500</w:t>
            </w:r>
          </w:p>
        </w:tc>
      </w:tr>
      <w:tr w:rsidR="00FF49F1" w:rsidRPr="00FF49F1" w14:paraId="5B74EF2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0B8B2E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1500 </w:t>
            </w:r>
          </w:p>
        </w:tc>
        <w:tc>
          <w:tcPr>
            <w:tcW w:w="0" w:type="auto"/>
            <w:tcBorders>
              <w:top w:val="nil"/>
              <w:left w:val="nil"/>
              <w:bottom w:val="single" w:sz="8" w:space="0" w:color="auto"/>
              <w:right w:val="single" w:sz="8" w:space="0" w:color="auto"/>
            </w:tcBorders>
            <w:shd w:val="clear" w:color="auto" w:fill="auto"/>
            <w:vAlign w:val="center"/>
            <w:hideMark/>
          </w:tcPr>
          <w:p w14:paraId="18B3738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Ramapo </w:t>
            </w:r>
          </w:p>
        </w:tc>
        <w:tc>
          <w:tcPr>
            <w:tcW w:w="0" w:type="auto"/>
            <w:tcBorders>
              <w:top w:val="nil"/>
              <w:left w:val="nil"/>
              <w:bottom w:val="single" w:sz="8" w:space="0" w:color="auto"/>
              <w:right w:val="single" w:sz="8" w:space="0" w:color="auto"/>
            </w:tcBorders>
            <w:shd w:val="clear" w:color="auto" w:fill="auto"/>
            <w:vAlign w:val="center"/>
            <w:hideMark/>
          </w:tcPr>
          <w:p w14:paraId="3764ADD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500</w:t>
            </w:r>
          </w:p>
        </w:tc>
        <w:tc>
          <w:tcPr>
            <w:tcW w:w="0" w:type="auto"/>
            <w:tcBorders>
              <w:top w:val="nil"/>
              <w:left w:val="nil"/>
              <w:bottom w:val="single" w:sz="8" w:space="0" w:color="auto"/>
              <w:right w:val="single" w:sz="8" w:space="0" w:color="auto"/>
            </w:tcBorders>
            <w:shd w:val="clear" w:color="auto" w:fill="auto"/>
            <w:vAlign w:val="center"/>
            <w:hideMark/>
          </w:tcPr>
          <w:p w14:paraId="2C6D946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Ramapo </w:t>
            </w:r>
          </w:p>
        </w:tc>
        <w:tc>
          <w:tcPr>
            <w:tcW w:w="0" w:type="auto"/>
            <w:tcBorders>
              <w:top w:val="nil"/>
              <w:left w:val="nil"/>
              <w:bottom w:val="single" w:sz="8" w:space="0" w:color="auto"/>
              <w:right w:val="single" w:sz="8" w:space="0" w:color="auto"/>
            </w:tcBorders>
            <w:shd w:val="clear" w:color="auto" w:fill="auto"/>
            <w:vAlign w:val="center"/>
            <w:hideMark/>
          </w:tcPr>
          <w:p w14:paraId="02E30CF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14B3469"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008082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M29 </w:t>
            </w:r>
          </w:p>
        </w:tc>
        <w:tc>
          <w:tcPr>
            <w:tcW w:w="0" w:type="auto"/>
            <w:tcBorders>
              <w:top w:val="nil"/>
              <w:left w:val="nil"/>
              <w:bottom w:val="single" w:sz="8" w:space="0" w:color="auto"/>
              <w:right w:val="single" w:sz="8" w:space="0" w:color="auto"/>
            </w:tcBorders>
            <w:shd w:val="clear" w:color="auto" w:fill="auto"/>
            <w:vAlign w:val="center"/>
            <w:hideMark/>
          </w:tcPr>
          <w:p w14:paraId="3F2CE41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Academy </w:t>
            </w:r>
          </w:p>
        </w:tc>
        <w:tc>
          <w:tcPr>
            <w:tcW w:w="0" w:type="auto"/>
            <w:tcBorders>
              <w:top w:val="nil"/>
              <w:left w:val="nil"/>
              <w:bottom w:val="single" w:sz="8" w:space="0" w:color="auto"/>
              <w:right w:val="single" w:sz="8" w:space="0" w:color="auto"/>
            </w:tcBorders>
            <w:shd w:val="clear" w:color="auto" w:fill="auto"/>
            <w:vAlign w:val="center"/>
            <w:hideMark/>
          </w:tcPr>
          <w:p w14:paraId="3836CA6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8FFA3E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Sprain Brook </w:t>
            </w:r>
          </w:p>
        </w:tc>
        <w:tc>
          <w:tcPr>
            <w:tcW w:w="0" w:type="auto"/>
            <w:tcBorders>
              <w:top w:val="nil"/>
              <w:left w:val="nil"/>
              <w:bottom w:val="single" w:sz="8" w:space="0" w:color="auto"/>
              <w:right w:val="single" w:sz="8" w:space="0" w:color="auto"/>
            </w:tcBorders>
            <w:shd w:val="clear" w:color="auto" w:fill="auto"/>
            <w:vAlign w:val="center"/>
            <w:hideMark/>
          </w:tcPr>
          <w:p w14:paraId="7240215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6C1D73A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D26701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w:t>
            </w:r>
          </w:p>
        </w:tc>
        <w:tc>
          <w:tcPr>
            <w:tcW w:w="0" w:type="auto"/>
            <w:tcBorders>
              <w:top w:val="nil"/>
              <w:left w:val="nil"/>
              <w:bottom w:val="single" w:sz="8" w:space="0" w:color="auto"/>
              <w:right w:val="single" w:sz="8" w:space="0" w:color="auto"/>
            </w:tcBorders>
            <w:shd w:val="clear" w:color="auto" w:fill="auto"/>
            <w:vAlign w:val="center"/>
            <w:hideMark/>
          </w:tcPr>
          <w:p w14:paraId="26A71B4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Alps </w:t>
            </w:r>
          </w:p>
        </w:tc>
        <w:tc>
          <w:tcPr>
            <w:tcW w:w="0" w:type="auto"/>
            <w:tcBorders>
              <w:top w:val="nil"/>
              <w:left w:val="nil"/>
              <w:bottom w:val="single" w:sz="8" w:space="0" w:color="auto"/>
              <w:right w:val="single" w:sz="8" w:space="0" w:color="auto"/>
            </w:tcBorders>
            <w:shd w:val="clear" w:color="auto" w:fill="auto"/>
            <w:vAlign w:val="center"/>
            <w:hideMark/>
          </w:tcPr>
          <w:p w14:paraId="73CEC62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E9522C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 Scotland </w:t>
            </w:r>
          </w:p>
        </w:tc>
        <w:tc>
          <w:tcPr>
            <w:tcW w:w="0" w:type="auto"/>
            <w:tcBorders>
              <w:top w:val="nil"/>
              <w:left w:val="nil"/>
              <w:bottom w:val="single" w:sz="8" w:space="0" w:color="auto"/>
              <w:right w:val="single" w:sz="8" w:space="0" w:color="auto"/>
            </w:tcBorders>
            <w:shd w:val="clear" w:color="auto" w:fill="auto"/>
            <w:vAlign w:val="center"/>
            <w:hideMark/>
          </w:tcPr>
          <w:p w14:paraId="1A633CB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4712524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0EA9D7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393</w:t>
            </w:r>
          </w:p>
        </w:tc>
        <w:tc>
          <w:tcPr>
            <w:tcW w:w="0" w:type="auto"/>
            <w:tcBorders>
              <w:top w:val="nil"/>
              <w:left w:val="nil"/>
              <w:bottom w:val="single" w:sz="8" w:space="0" w:color="auto"/>
              <w:right w:val="single" w:sz="8" w:space="0" w:color="auto"/>
            </w:tcBorders>
            <w:shd w:val="clear" w:color="auto" w:fill="auto"/>
            <w:vAlign w:val="center"/>
            <w:hideMark/>
          </w:tcPr>
          <w:p w14:paraId="03A7C94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Alps </w:t>
            </w:r>
          </w:p>
        </w:tc>
        <w:tc>
          <w:tcPr>
            <w:tcW w:w="0" w:type="auto"/>
            <w:tcBorders>
              <w:top w:val="nil"/>
              <w:left w:val="nil"/>
              <w:bottom w:val="single" w:sz="8" w:space="0" w:color="auto"/>
              <w:right w:val="single" w:sz="8" w:space="0" w:color="auto"/>
            </w:tcBorders>
            <w:shd w:val="clear" w:color="auto" w:fill="auto"/>
            <w:vAlign w:val="center"/>
            <w:hideMark/>
          </w:tcPr>
          <w:p w14:paraId="56E27E7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A1A7FD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Berkshire (ISO-NE) </w:t>
            </w:r>
          </w:p>
        </w:tc>
        <w:tc>
          <w:tcPr>
            <w:tcW w:w="0" w:type="auto"/>
            <w:tcBorders>
              <w:top w:val="nil"/>
              <w:left w:val="nil"/>
              <w:bottom w:val="single" w:sz="8" w:space="0" w:color="auto"/>
              <w:right w:val="single" w:sz="8" w:space="0" w:color="auto"/>
            </w:tcBorders>
            <w:shd w:val="clear" w:color="auto" w:fill="auto"/>
            <w:vAlign w:val="center"/>
            <w:hideMark/>
          </w:tcPr>
          <w:p w14:paraId="75A7F29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95F1A8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4EAB23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1-AR </w:t>
            </w:r>
          </w:p>
        </w:tc>
        <w:tc>
          <w:tcPr>
            <w:tcW w:w="0" w:type="auto"/>
            <w:tcBorders>
              <w:top w:val="nil"/>
              <w:left w:val="nil"/>
              <w:bottom w:val="single" w:sz="8" w:space="0" w:color="auto"/>
              <w:right w:val="single" w:sz="8" w:space="0" w:color="auto"/>
            </w:tcBorders>
            <w:shd w:val="clear" w:color="auto" w:fill="auto"/>
            <w:vAlign w:val="center"/>
            <w:hideMark/>
          </w:tcPr>
          <w:p w14:paraId="5AC4256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Alps </w:t>
            </w:r>
          </w:p>
        </w:tc>
        <w:tc>
          <w:tcPr>
            <w:tcW w:w="0" w:type="auto"/>
            <w:tcBorders>
              <w:top w:val="nil"/>
              <w:left w:val="nil"/>
              <w:bottom w:val="single" w:sz="8" w:space="0" w:color="auto"/>
              <w:right w:val="single" w:sz="8" w:space="0" w:color="auto"/>
            </w:tcBorders>
            <w:shd w:val="clear" w:color="auto" w:fill="auto"/>
            <w:vAlign w:val="center"/>
            <w:hideMark/>
          </w:tcPr>
          <w:p w14:paraId="31DB9B1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0D97D7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Reynolds Road </w:t>
            </w:r>
          </w:p>
        </w:tc>
        <w:tc>
          <w:tcPr>
            <w:tcW w:w="0" w:type="auto"/>
            <w:tcBorders>
              <w:top w:val="nil"/>
              <w:left w:val="nil"/>
              <w:bottom w:val="single" w:sz="8" w:space="0" w:color="auto"/>
              <w:right w:val="single" w:sz="8" w:space="0" w:color="auto"/>
            </w:tcBorders>
            <w:shd w:val="clear" w:color="auto" w:fill="auto"/>
            <w:vAlign w:val="center"/>
            <w:hideMark/>
          </w:tcPr>
          <w:p w14:paraId="42AE722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1C29313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089F31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Q35L </w:t>
            </w:r>
          </w:p>
        </w:tc>
        <w:tc>
          <w:tcPr>
            <w:tcW w:w="0" w:type="auto"/>
            <w:tcBorders>
              <w:top w:val="nil"/>
              <w:left w:val="nil"/>
              <w:bottom w:val="single" w:sz="8" w:space="0" w:color="auto"/>
              <w:right w:val="single" w:sz="8" w:space="0" w:color="auto"/>
            </w:tcBorders>
            <w:shd w:val="clear" w:color="auto" w:fill="auto"/>
            <w:vAlign w:val="center"/>
            <w:hideMark/>
          </w:tcPr>
          <w:p w14:paraId="173F230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Astoria </w:t>
            </w:r>
          </w:p>
        </w:tc>
        <w:tc>
          <w:tcPr>
            <w:tcW w:w="0" w:type="auto"/>
            <w:tcBorders>
              <w:top w:val="nil"/>
              <w:left w:val="nil"/>
              <w:bottom w:val="single" w:sz="8" w:space="0" w:color="auto"/>
              <w:right w:val="single" w:sz="8" w:space="0" w:color="auto"/>
            </w:tcBorders>
            <w:shd w:val="clear" w:color="auto" w:fill="auto"/>
            <w:vAlign w:val="center"/>
            <w:hideMark/>
          </w:tcPr>
          <w:p w14:paraId="6C2F986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8F7D2C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C </w:t>
            </w:r>
          </w:p>
        </w:tc>
        <w:tc>
          <w:tcPr>
            <w:tcW w:w="0" w:type="auto"/>
            <w:tcBorders>
              <w:top w:val="nil"/>
              <w:left w:val="nil"/>
              <w:bottom w:val="single" w:sz="8" w:space="0" w:color="auto"/>
              <w:right w:val="single" w:sz="8" w:space="0" w:color="auto"/>
            </w:tcBorders>
            <w:shd w:val="clear" w:color="auto" w:fill="auto"/>
            <w:vAlign w:val="center"/>
            <w:hideMark/>
          </w:tcPr>
          <w:p w14:paraId="565F2C0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53CB69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351933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Q35M </w:t>
            </w:r>
          </w:p>
        </w:tc>
        <w:tc>
          <w:tcPr>
            <w:tcW w:w="0" w:type="auto"/>
            <w:tcBorders>
              <w:top w:val="nil"/>
              <w:left w:val="nil"/>
              <w:bottom w:val="single" w:sz="8" w:space="0" w:color="auto"/>
              <w:right w:val="single" w:sz="8" w:space="0" w:color="auto"/>
            </w:tcBorders>
            <w:shd w:val="clear" w:color="auto" w:fill="auto"/>
            <w:vAlign w:val="center"/>
            <w:hideMark/>
          </w:tcPr>
          <w:p w14:paraId="1B89CAC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Astoria </w:t>
            </w:r>
          </w:p>
        </w:tc>
        <w:tc>
          <w:tcPr>
            <w:tcW w:w="0" w:type="auto"/>
            <w:tcBorders>
              <w:top w:val="nil"/>
              <w:left w:val="nil"/>
              <w:bottom w:val="single" w:sz="8" w:space="0" w:color="auto"/>
              <w:right w:val="single" w:sz="8" w:space="0" w:color="auto"/>
            </w:tcBorders>
            <w:shd w:val="clear" w:color="auto" w:fill="auto"/>
            <w:vAlign w:val="center"/>
            <w:hideMark/>
          </w:tcPr>
          <w:p w14:paraId="1035CCE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B0276C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D </w:t>
            </w:r>
          </w:p>
        </w:tc>
        <w:tc>
          <w:tcPr>
            <w:tcW w:w="0" w:type="auto"/>
            <w:tcBorders>
              <w:top w:val="nil"/>
              <w:left w:val="nil"/>
              <w:bottom w:val="single" w:sz="8" w:space="0" w:color="auto"/>
              <w:right w:val="single" w:sz="8" w:space="0" w:color="auto"/>
            </w:tcBorders>
            <w:shd w:val="clear" w:color="auto" w:fill="auto"/>
            <w:vAlign w:val="center"/>
            <w:hideMark/>
          </w:tcPr>
          <w:p w14:paraId="2892DD3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A6CBDD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5354FC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G13 </w:t>
            </w:r>
          </w:p>
        </w:tc>
        <w:tc>
          <w:tcPr>
            <w:tcW w:w="0" w:type="auto"/>
            <w:tcBorders>
              <w:top w:val="nil"/>
              <w:left w:val="nil"/>
              <w:bottom w:val="single" w:sz="8" w:space="0" w:color="auto"/>
              <w:right w:val="single" w:sz="8" w:space="0" w:color="auto"/>
            </w:tcBorders>
            <w:shd w:val="clear" w:color="auto" w:fill="auto"/>
            <w:vAlign w:val="center"/>
            <w:hideMark/>
          </w:tcPr>
          <w:p w14:paraId="0942D42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Astoria Annex </w:t>
            </w:r>
          </w:p>
        </w:tc>
        <w:tc>
          <w:tcPr>
            <w:tcW w:w="0" w:type="auto"/>
            <w:tcBorders>
              <w:top w:val="nil"/>
              <w:left w:val="nil"/>
              <w:bottom w:val="single" w:sz="8" w:space="0" w:color="auto"/>
              <w:right w:val="single" w:sz="8" w:space="0" w:color="auto"/>
            </w:tcBorders>
            <w:shd w:val="clear" w:color="auto" w:fill="auto"/>
            <w:vAlign w:val="center"/>
            <w:hideMark/>
          </w:tcPr>
          <w:p w14:paraId="63D2630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92D71C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Astoria Energy </w:t>
            </w:r>
          </w:p>
        </w:tc>
        <w:tc>
          <w:tcPr>
            <w:tcW w:w="0" w:type="auto"/>
            <w:tcBorders>
              <w:top w:val="nil"/>
              <w:left w:val="nil"/>
              <w:bottom w:val="single" w:sz="8" w:space="0" w:color="auto"/>
              <w:right w:val="single" w:sz="8" w:space="0" w:color="auto"/>
            </w:tcBorders>
            <w:shd w:val="clear" w:color="auto" w:fill="auto"/>
            <w:vAlign w:val="center"/>
            <w:hideMark/>
          </w:tcPr>
          <w:p w14:paraId="7F7303F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51FDFF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8BB3B6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PAR-1 </w:t>
            </w:r>
          </w:p>
        </w:tc>
        <w:tc>
          <w:tcPr>
            <w:tcW w:w="0" w:type="auto"/>
            <w:tcBorders>
              <w:top w:val="nil"/>
              <w:left w:val="nil"/>
              <w:bottom w:val="single" w:sz="8" w:space="0" w:color="auto"/>
              <w:right w:val="single" w:sz="8" w:space="0" w:color="auto"/>
            </w:tcBorders>
            <w:shd w:val="clear" w:color="auto" w:fill="auto"/>
            <w:vAlign w:val="center"/>
            <w:hideMark/>
          </w:tcPr>
          <w:p w14:paraId="01E343C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Astoria Annex </w:t>
            </w:r>
          </w:p>
        </w:tc>
        <w:tc>
          <w:tcPr>
            <w:tcW w:w="0" w:type="auto"/>
            <w:tcBorders>
              <w:top w:val="nil"/>
              <w:left w:val="nil"/>
              <w:bottom w:val="single" w:sz="8" w:space="0" w:color="auto"/>
              <w:right w:val="single" w:sz="8" w:space="0" w:color="auto"/>
            </w:tcBorders>
            <w:shd w:val="clear" w:color="auto" w:fill="auto"/>
            <w:vAlign w:val="center"/>
            <w:hideMark/>
          </w:tcPr>
          <w:p w14:paraId="06ABDCD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A44231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Astoria Annex </w:t>
            </w:r>
          </w:p>
        </w:tc>
        <w:tc>
          <w:tcPr>
            <w:tcW w:w="0" w:type="auto"/>
            <w:tcBorders>
              <w:top w:val="nil"/>
              <w:left w:val="nil"/>
              <w:bottom w:val="single" w:sz="8" w:space="0" w:color="auto"/>
              <w:right w:val="single" w:sz="8" w:space="0" w:color="auto"/>
            </w:tcBorders>
            <w:shd w:val="clear" w:color="auto" w:fill="auto"/>
            <w:vAlign w:val="center"/>
            <w:hideMark/>
          </w:tcPr>
          <w:p w14:paraId="7303D56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0EAF31C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2DFD52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TR-1 </w:t>
            </w:r>
          </w:p>
        </w:tc>
        <w:tc>
          <w:tcPr>
            <w:tcW w:w="0" w:type="auto"/>
            <w:tcBorders>
              <w:top w:val="nil"/>
              <w:left w:val="nil"/>
              <w:bottom w:val="single" w:sz="8" w:space="0" w:color="auto"/>
              <w:right w:val="single" w:sz="8" w:space="0" w:color="auto"/>
            </w:tcBorders>
            <w:shd w:val="clear" w:color="auto" w:fill="auto"/>
            <w:vAlign w:val="center"/>
            <w:hideMark/>
          </w:tcPr>
          <w:p w14:paraId="4002267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Astoria Annex </w:t>
            </w:r>
          </w:p>
        </w:tc>
        <w:tc>
          <w:tcPr>
            <w:tcW w:w="0" w:type="auto"/>
            <w:tcBorders>
              <w:top w:val="nil"/>
              <w:left w:val="nil"/>
              <w:bottom w:val="single" w:sz="8" w:space="0" w:color="auto"/>
              <w:right w:val="single" w:sz="8" w:space="0" w:color="auto"/>
            </w:tcBorders>
            <w:shd w:val="clear" w:color="auto" w:fill="auto"/>
            <w:vAlign w:val="center"/>
            <w:hideMark/>
          </w:tcPr>
          <w:p w14:paraId="2D89A9F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54B798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Astoria Annex </w:t>
            </w:r>
          </w:p>
        </w:tc>
        <w:tc>
          <w:tcPr>
            <w:tcW w:w="0" w:type="auto"/>
            <w:tcBorders>
              <w:top w:val="nil"/>
              <w:left w:val="nil"/>
              <w:bottom w:val="single" w:sz="8" w:space="0" w:color="auto"/>
              <w:right w:val="single" w:sz="8" w:space="0" w:color="auto"/>
            </w:tcBorders>
            <w:shd w:val="clear" w:color="auto" w:fill="auto"/>
            <w:vAlign w:val="center"/>
            <w:hideMark/>
          </w:tcPr>
          <w:p w14:paraId="0B81D40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41ED5F7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214C1E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91</w:t>
            </w:r>
          </w:p>
        </w:tc>
        <w:tc>
          <w:tcPr>
            <w:tcW w:w="0" w:type="auto"/>
            <w:tcBorders>
              <w:top w:val="nil"/>
              <w:left w:val="nil"/>
              <w:bottom w:val="single" w:sz="8" w:space="0" w:color="auto"/>
              <w:right w:val="single" w:sz="8" w:space="0" w:color="auto"/>
            </w:tcBorders>
            <w:shd w:val="clear" w:color="auto" w:fill="auto"/>
            <w:vAlign w:val="center"/>
            <w:hideMark/>
          </w:tcPr>
          <w:p w14:paraId="2160BB3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Athens </w:t>
            </w:r>
          </w:p>
        </w:tc>
        <w:tc>
          <w:tcPr>
            <w:tcW w:w="0" w:type="auto"/>
            <w:tcBorders>
              <w:top w:val="nil"/>
              <w:left w:val="nil"/>
              <w:bottom w:val="single" w:sz="8" w:space="0" w:color="auto"/>
              <w:right w:val="single" w:sz="8" w:space="0" w:color="auto"/>
            </w:tcBorders>
            <w:shd w:val="clear" w:color="auto" w:fill="auto"/>
            <w:vAlign w:val="center"/>
            <w:hideMark/>
          </w:tcPr>
          <w:p w14:paraId="16FB6BF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66A095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Pleasant Valley </w:t>
            </w:r>
          </w:p>
        </w:tc>
        <w:tc>
          <w:tcPr>
            <w:tcW w:w="0" w:type="auto"/>
            <w:tcBorders>
              <w:top w:val="nil"/>
              <w:left w:val="nil"/>
              <w:bottom w:val="single" w:sz="8" w:space="0" w:color="auto"/>
              <w:right w:val="single" w:sz="8" w:space="0" w:color="auto"/>
            </w:tcBorders>
            <w:shd w:val="clear" w:color="auto" w:fill="auto"/>
            <w:vAlign w:val="center"/>
            <w:hideMark/>
          </w:tcPr>
          <w:p w14:paraId="6CF65A2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472828D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A731A7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95</w:t>
            </w:r>
          </w:p>
        </w:tc>
        <w:tc>
          <w:tcPr>
            <w:tcW w:w="0" w:type="auto"/>
            <w:tcBorders>
              <w:top w:val="nil"/>
              <w:left w:val="nil"/>
              <w:bottom w:val="single" w:sz="8" w:space="0" w:color="auto"/>
              <w:right w:val="single" w:sz="8" w:space="0" w:color="auto"/>
            </w:tcBorders>
            <w:shd w:val="clear" w:color="auto" w:fill="auto"/>
            <w:vAlign w:val="center"/>
            <w:hideMark/>
          </w:tcPr>
          <w:p w14:paraId="3CCA10D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Athens </w:t>
            </w:r>
          </w:p>
        </w:tc>
        <w:tc>
          <w:tcPr>
            <w:tcW w:w="0" w:type="auto"/>
            <w:tcBorders>
              <w:top w:val="nil"/>
              <w:left w:val="nil"/>
              <w:bottom w:val="single" w:sz="8" w:space="0" w:color="auto"/>
              <w:right w:val="single" w:sz="8" w:space="0" w:color="auto"/>
            </w:tcBorders>
            <w:shd w:val="clear" w:color="auto" w:fill="auto"/>
            <w:vAlign w:val="center"/>
            <w:hideMark/>
          </w:tcPr>
          <w:p w14:paraId="2EF5770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9E5113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Leeds </w:t>
            </w:r>
          </w:p>
        </w:tc>
        <w:tc>
          <w:tcPr>
            <w:tcW w:w="0" w:type="auto"/>
            <w:tcBorders>
              <w:top w:val="nil"/>
              <w:left w:val="nil"/>
              <w:bottom w:val="single" w:sz="8" w:space="0" w:color="auto"/>
              <w:right w:val="single" w:sz="8" w:space="0" w:color="auto"/>
            </w:tcBorders>
            <w:shd w:val="clear" w:color="auto" w:fill="auto"/>
            <w:vAlign w:val="center"/>
            <w:hideMark/>
          </w:tcPr>
          <w:p w14:paraId="03D2C04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B9C3BF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AB34B9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CC1 </w:t>
            </w:r>
          </w:p>
        </w:tc>
        <w:tc>
          <w:tcPr>
            <w:tcW w:w="0" w:type="auto"/>
            <w:tcBorders>
              <w:top w:val="nil"/>
              <w:left w:val="nil"/>
              <w:bottom w:val="single" w:sz="8" w:space="0" w:color="auto"/>
              <w:right w:val="single" w:sz="8" w:space="0" w:color="auto"/>
            </w:tcBorders>
            <w:shd w:val="clear" w:color="auto" w:fill="auto"/>
            <w:vAlign w:val="center"/>
            <w:hideMark/>
          </w:tcPr>
          <w:p w14:paraId="7B66F1D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Athens </w:t>
            </w:r>
          </w:p>
        </w:tc>
        <w:tc>
          <w:tcPr>
            <w:tcW w:w="0" w:type="auto"/>
            <w:tcBorders>
              <w:top w:val="nil"/>
              <w:left w:val="nil"/>
              <w:bottom w:val="single" w:sz="8" w:space="0" w:color="auto"/>
              <w:right w:val="single" w:sz="8" w:space="0" w:color="auto"/>
            </w:tcBorders>
            <w:shd w:val="clear" w:color="auto" w:fill="auto"/>
            <w:vAlign w:val="center"/>
            <w:hideMark/>
          </w:tcPr>
          <w:p w14:paraId="37596C4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C9A994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Athens CC/ST #1 </w:t>
            </w:r>
          </w:p>
        </w:tc>
        <w:tc>
          <w:tcPr>
            <w:tcW w:w="0" w:type="auto"/>
            <w:tcBorders>
              <w:top w:val="nil"/>
              <w:left w:val="nil"/>
              <w:bottom w:val="single" w:sz="8" w:space="0" w:color="auto"/>
              <w:right w:val="single" w:sz="8" w:space="0" w:color="auto"/>
            </w:tcBorders>
            <w:shd w:val="clear" w:color="auto" w:fill="auto"/>
            <w:vAlign w:val="center"/>
            <w:hideMark/>
          </w:tcPr>
          <w:p w14:paraId="51F83F2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18</w:t>
            </w:r>
          </w:p>
        </w:tc>
      </w:tr>
      <w:tr w:rsidR="00FF49F1" w:rsidRPr="00FF49F1" w14:paraId="0B4B47A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3B49F4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CC2 </w:t>
            </w:r>
          </w:p>
        </w:tc>
        <w:tc>
          <w:tcPr>
            <w:tcW w:w="0" w:type="auto"/>
            <w:tcBorders>
              <w:top w:val="nil"/>
              <w:left w:val="nil"/>
              <w:bottom w:val="single" w:sz="8" w:space="0" w:color="auto"/>
              <w:right w:val="single" w:sz="8" w:space="0" w:color="auto"/>
            </w:tcBorders>
            <w:shd w:val="clear" w:color="auto" w:fill="auto"/>
            <w:vAlign w:val="center"/>
            <w:hideMark/>
          </w:tcPr>
          <w:p w14:paraId="734E99D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Athens </w:t>
            </w:r>
          </w:p>
        </w:tc>
        <w:tc>
          <w:tcPr>
            <w:tcW w:w="0" w:type="auto"/>
            <w:tcBorders>
              <w:top w:val="nil"/>
              <w:left w:val="nil"/>
              <w:bottom w:val="single" w:sz="8" w:space="0" w:color="auto"/>
              <w:right w:val="single" w:sz="8" w:space="0" w:color="auto"/>
            </w:tcBorders>
            <w:shd w:val="clear" w:color="auto" w:fill="auto"/>
            <w:vAlign w:val="center"/>
            <w:hideMark/>
          </w:tcPr>
          <w:p w14:paraId="2970B87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462056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Athens CC/ST #2 </w:t>
            </w:r>
          </w:p>
        </w:tc>
        <w:tc>
          <w:tcPr>
            <w:tcW w:w="0" w:type="auto"/>
            <w:tcBorders>
              <w:top w:val="nil"/>
              <w:left w:val="nil"/>
              <w:bottom w:val="single" w:sz="8" w:space="0" w:color="auto"/>
              <w:right w:val="single" w:sz="8" w:space="0" w:color="auto"/>
            </w:tcBorders>
            <w:shd w:val="clear" w:color="auto" w:fill="auto"/>
            <w:vAlign w:val="center"/>
            <w:hideMark/>
          </w:tcPr>
          <w:p w14:paraId="1F75F52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18</w:t>
            </w:r>
          </w:p>
        </w:tc>
      </w:tr>
      <w:tr w:rsidR="00FF49F1" w:rsidRPr="00FF49F1" w14:paraId="706B55E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20924D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CC3 </w:t>
            </w:r>
          </w:p>
        </w:tc>
        <w:tc>
          <w:tcPr>
            <w:tcW w:w="0" w:type="auto"/>
            <w:tcBorders>
              <w:top w:val="nil"/>
              <w:left w:val="nil"/>
              <w:bottom w:val="single" w:sz="8" w:space="0" w:color="auto"/>
              <w:right w:val="single" w:sz="8" w:space="0" w:color="auto"/>
            </w:tcBorders>
            <w:shd w:val="clear" w:color="auto" w:fill="auto"/>
            <w:vAlign w:val="center"/>
            <w:hideMark/>
          </w:tcPr>
          <w:p w14:paraId="13D63A8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Athens </w:t>
            </w:r>
          </w:p>
        </w:tc>
        <w:tc>
          <w:tcPr>
            <w:tcW w:w="0" w:type="auto"/>
            <w:tcBorders>
              <w:top w:val="nil"/>
              <w:left w:val="nil"/>
              <w:bottom w:val="single" w:sz="8" w:space="0" w:color="auto"/>
              <w:right w:val="single" w:sz="8" w:space="0" w:color="auto"/>
            </w:tcBorders>
            <w:shd w:val="clear" w:color="auto" w:fill="auto"/>
            <w:vAlign w:val="center"/>
            <w:hideMark/>
          </w:tcPr>
          <w:p w14:paraId="1C8FDCE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61B5D6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Athens CC/ST #3 </w:t>
            </w:r>
          </w:p>
        </w:tc>
        <w:tc>
          <w:tcPr>
            <w:tcW w:w="0" w:type="auto"/>
            <w:tcBorders>
              <w:top w:val="nil"/>
              <w:left w:val="nil"/>
              <w:bottom w:val="single" w:sz="8" w:space="0" w:color="auto"/>
              <w:right w:val="single" w:sz="8" w:space="0" w:color="auto"/>
            </w:tcBorders>
            <w:shd w:val="clear" w:color="auto" w:fill="auto"/>
            <w:vAlign w:val="center"/>
            <w:hideMark/>
          </w:tcPr>
          <w:p w14:paraId="72DBAC3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18</w:t>
            </w:r>
          </w:p>
        </w:tc>
      </w:tr>
      <w:tr w:rsidR="00FF49F1" w:rsidRPr="00FF49F1" w14:paraId="6D67421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0CAA21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G27 </w:t>
            </w:r>
          </w:p>
        </w:tc>
        <w:tc>
          <w:tcPr>
            <w:tcW w:w="0" w:type="auto"/>
            <w:tcBorders>
              <w:top w:val="nil"/>
              <w:left w:val="nil"/>
              <w:bottom w:val="single" w:sz="8" w:space="0" w:color="auto"/>
              <w:right w:val="single" w:sz="8" w:space="0" w:color="auto"/>
            </w:tcBorders>
            <w:shd w:val="clear" w:color="auto" w:fill="auto"/>
            <w:vAlign w:val="center"/>
            <w:hideMark/>
          </w:tcPr>
          <w:p w14:paraId="58B8D78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Bayonne </w:t>
            </w:r>
          </w:p>
        </w:tc>
        <w:tc>
          <w:tcPr>
            <w:tcW w:w="0" w:type="auto"/>
            <w:tcBorders>
              <w:top w:val="nil"/>
              <w:left w:val="nil"/>
              <w:bottom w:val="single" w:sz="8" w:space="0" w:color="auto"/>
              <w:right w:val="single" w:sz="8" w:space="0" w:color="auto"/>
            </w:tcBorders>
            <w:shd w:val="clear" w:color="auto" w:fill="auto"/>
            <w:vAlign w:val="center"/>
            <w:hideMark/>
          </w:tcPr>
          <w:p w14:paraId="4630E5A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CE622E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Gowanus  </w:t>
            </w:r>
          </w:p>
        </w:tc>
        <w:tc>
          <w:tcPr>
            <w:tcW w:w="0" w:type="auto"/>
            <w:tcBorders>
              <w:top w:val="nil"/>
              <w:left w:val="nil"/>
              <w:bottom w:val="single" w:sz="8" w:space="0" w:color="auto"/>
              <w:right w:val="single" w:sz="8" w:space="0" w:color="auto"/>
            </w:tcBorders>
            <w:shd w:val="clear" w:color="auto" w:fill="auto"/>
            <w:vAlign w:val="center"/>
            <w:hideMark/>
          </w:tcPr>
          <w:p w14:paraId="03D715A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2EA665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D5E9D8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PA301 </w:t>
            </w:r>
          </w:p>
        </w:tc>
        <w:tc>
          <w:tcPr>
            <w:tcW w:w="0" w:type="auto"/>
            <w:tcBorders>
              <w:top w:val="nil"/>
              <w:left w:val="nil"/>
              <w:bottom w:val="single" w:sz="8" w:space="0" w:color="auto"/>
              <w:right w:val="single" w:sz="8" w:space="0" w:color="auto"/>
            </w:tcBorders>
            <w:shd w:val="clear" w:color="auto" w:fill="auto"/>
            <w:vAlign w:val="center"/>
            <w:hideMark/>
          </w:tcPr>
          <w:p w14:paraId="21CE40F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Beck (IESO) A </w:t>
            </w:r>
          </w:p>
        </w:tc>
        <w:tc>
          <w:tcPr>
            <w:tcW w:w="0" w:type="auto"/>
            <w:tcBorders>
              <w:top w:val="nil"/>
              <w:left w:val="nil"/>
              <w:bottom w:val="single" w:sz="8" w:space="0" w:color="auto"/>
              <w:right w:val="single" w:sz="8" w:space="0" w:color="auto"/>
            </w:tcBorders>
            <w:shd w:val="clear" w:color="auto" w:fill="auto"/>
            <w:vAlign w:val="center"/>
            <w:hideMark/>
          </w:tcPr>
          <w:p w14:paraId="009E7C4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B11722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4754FFE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54470AE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565B3A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PA302 </w:t>
            </w:r>
          </w:p>
        </w:tc>
        <w:tc>
          <w:tcPr>
            <w:tcW w:w="0" w:type="auto"/>
            <w:tcBorders>
              <w:top w:val="nil"/>
              <w:left w:val="nil"/>
              <w:bottom w:val="single" w:sz="8" w:space="0" w:color="auto"/>
              <w:right w:val="single" w:sz="8" w:space="0" w:color="auto"/>
            </w:tcBorders>
            <w:shd w:val="clear" w:color="auto" w:fill="auto"/>
            <w:vAlign w:val="center"/>
            <w:hideMark/>
          </w:tcPr>
          <w:p w14:paraId="79AA24D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Beck (IESO) B </w:t>
            </w:r>
          </w:p>
        </w:tc>
        <w:tc>
          <w:tcPr>
            <w:tcW w:w="0" w:type="auto"/>
            <w:tcBorders>
              <w:top w:val="nil"/>
              <w:left w:val="nil"/>
              <w:bottom w:val="single" w:sz="8" w:space="0" w:color="auto"/>
              <w:right w:val="single" w:sz="8" w:space="0" w:color="auto"/>
            </w:tcBorders>
            <w:shd w:val="clear" w:color="auto" w:fill="auto"/>
            <w:vAlign w:val="center"/>
            <w:hideMark/>
          </w:tcPr>
          <w:p w14:paraId="0F556DF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B69107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68A9C71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6EE64B2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47B1CE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68</w:t>
            </w:r>
          </w:p>
        </w:tc>
        <w:tc>
          <w:tcPr>
            <w:tcW w:w="0" w:type="auto"/>
            <w:tcBorders>
              <w:top w:val="nil"/>
              <w:left w:val="nil"/>
              <w:bottom w:val="single" w:sz="8" w:space="0" w:color="auto"/>
              <w:right w:val="single" w:sz="8" w:space="0" w:color="auto"/>
            </w:tcBorders>
            <w:shd w:val="clear" w:color="auto" w:fill="auto"/>
            <w:vAlign w:val="center"/>
            <w:hideMark/>
          </w:tcPr>
          <w:p w14:paraId="4211D9C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Bowline </w:t>
            </w:r>
          </w:p>
        </w:tc>
        <w:tc>
          <w:tcPr>
            <w:tcW w:w="0" w:type="auto"/>
            <w:tcBorders>
              <w:top w:val="nil"/>
              <w:left w:val="nil"/>
              <w:bottom w:val="single" w:sz="8" w:space="0" w:color="auto"/>
              <w:right w:val="single" w:sz="8" w:space="0" w:color="auto"/>
            </w:tcBorders>
            <w:shd w:val="clear" w:color="auto" w:fill="auto"/>
            <w:vAlign w:val="center"/>
            <w:hideMark/>
          </w:tcPr>
          <w:p w14:paraId="41DDC40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3B4F9C1"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Ladentown</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00DE657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40FF5DF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3DD423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w:t>
            </w:r>
          </w:p>
        </w:tc>
        <w:tc>
          <w:tcPr>
            <w:tcW w:w="0" w:type="auto"/>
            <w:tcBorders>
              <w:top w:val="nil"/>
              <w:left w:val="nil"/>
              <w:bottom w:val="single" w:sz="8" w:space="0" w:color="auto"/>
              <w:right w:val="single" w:sz="8" w:space="0" w:color="auto"/>
            </w:tcBorders>
            <w:shd w:val="clear" w:color="auto" w:fill="auto"/>
            <w:vAlign w:val="center"/>
            <w:hideMark/>
          </w:tcPr>
          <w:p w14:paraId="2A4184A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Bowline Point </w:t>
            </w:r>
          </w:p>
        </w:tc>
        <w:tc>
          <w:tcPr>
            <w:tcW w:w="0" w:type="auto"/>
            <w:tcBorders>
              <w:top w:val="nil"/>
              <w:left w:val="nil"/>
              <w:bottom w:val="single" w:sz="8" w:space="0" w:color="auto"/>
              <w:right w:val="single" w:sz="8" w:space="0" w:color="auto"/>
            </w:tcBorders>
            <w:shd w:val="clear" w:color="auto" w:fill="auto"/>
            <w:vAlign w:val="center"/>
            <w:hideMark/>
          </w:tcPr>
          <w:p w14:paraId="2E8AEA9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2574AC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Bowline Point #1 </w:t>
            </w:r>
          </w:p>
        </w:tc>
        <w:tc>
          <w:tcPr>
            <w:tcW w:w="0" w:type="auto"/>
            <w:tcBorders>
              <w:top w:val="nil"/>
              <w:left w:val="nil"/>
              <w:bottom w:val="single" w:sz="8" w:space="0" w:color="auto"/>
              <w:right w:val="single" w:sz="8" w:space="0" w:color="auto"/>
            </w:tcBorders>
            <w:shd w:val="clear" w:color="auto" w:fill="auto"/>
            <w:vAlign w:val="center"/>
            <w:hideMark/>
          </w:tcPr>
          <w:p w14:paraId="09DB66B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20</w:t>
            </w:r>
          </w:p>
        </w:tc>
      </w:tr>
      <w:tr w:rsidR="00FF49F1" w:rsidRPr="00FF49F1" w14:paraId="1D73E86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FC448B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w:t>
            </w:r>
          </w:p>
        </w:tc>
        <w:tc>
          <w:tcPr>
            <w:tcW w:w="0" w:type="auto"/>
            <w:tcBorders>
              <w:top w:val="nil"/>
              <w:left w:val="nil"/>
              <w:bottom w:val="single" w:sz="8" w:space="0" w:color="auto"/>
              <w:right w:val="single" w:sz="8" w:space="0" w:color="auto"/>
            </w:tcBorders>
            <w:shd w:val="clear" w:color="auto" w:fill="auto"/>
            <w:vAlign w:val="center"/>
            <w:hideMark/>
          </w:tcPr>
          <w:p w14:paraId="482542C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Bowline Point </w:t>
            </w:r>
          </w:p>
        </w:tc>
        <w:tc>
          <w:tcPr>
            <w:tcW w:w="0" w:type="auto"/>
            <w:tcBorders>
              <w:top w:val="nil"/>
              <w:left w:val="nil"/>
              <w:bottom w:val="single" w:sz="8" w:space="0" w:color="auto"/>
              <w:right w:val="single" w:sz="8" w:space="0" w:color="auto"/>
            </w:tcBorders>
            <w:shd w:val="clear" w:color="auto" w:fill="auto"/>
            <w:vAlign w:val="center"/>
            <w:hideMark/>
          </w:tcPr>
          <w:p w14:paraId="587ED68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4F7FE6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Bowline Point #2 </w:t>
            </w:r>
          </w:p>
        </w:tc>
        <w:tc>
          <w:tcPr>
            <w:tcW w:w="0" w:type="auto"/>
            <w:tcBorders>
              <w:top w:val="nil"/>
              <w:left w:val="nil"/>
              <w:bottom w:val="single" w:sz="8" w:space="0" w:color="auto"/>
              <w:right w:val="single" w:sz="8" w:space="0" w:color="auto"/>
            </w:tcBorders>
            <w:shd w:val="clear" w:color="auto" w:fill="auto"/>
            <w:vAlign w:val="center"/>
            <w:hideMark/>
          </w:tcPr>
          <w:p w14:paraId="08E6E88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20</w:t>
            </w:r>
          </w:p>
        </w:tc>
      </w:tr>
      <w:tr w:rsidR="00FF49F1" w:rsidRPr="00FF49F1" w14:paraId="069DC03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2A76AF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67-1 </w:t>
            </w:r>
          </w:p>
        </w:tc>
        <w:tc>
          <w:tcPr>
            <w:tcW w:w="0" w:type="auto"/>
            <w:tcBorders>
              <w:top w:val="nil"/>
              <w:left w:val="nil"/>
              <w:bottom w:val="single" w:sz="8" w:space="0" w:color="auto"/>
              <w:right w:val="single" w:sz="8" w:space="0" w:color="auto"/>
            </w:tcBorders>
            <w:shd w:val="clear" w:color="auto" w:fill="auto"/>
            <w:vAlign w:val="center"/>
            <w:hideMark/>
          </w:tcPr>
          <w:p w14:paraId="6BBF84B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Bowline Point </w:t>
            </w:r>
          </w:p>
        </w:tc>
        <w:tc>
          <w:tcPr>
            <w:tcW w:w="0" w:type="auto"/>
            <w:tcBorders>
              <w:top w:val="nil"/>
              <w:left w:val="nil"/>
              <w:bottom w:val="single" w:sz="8" w:space="0" w:color="auto"/>
              <w:right w:val="single" w:sz="8" w:space="0" w:color="auto"/>
            </w:tcBorders>
            <w:shd w:val="clear" w:color="auto" w:fill="auto"/>
            <w:vAlign w:val="center"/>
            <w:hideMark/>
          </w:tcPr>
          <w:p w14:paraId="2D53F59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900A15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 Haverstraw </w:t>
            </w:r>
          </w:p>
        </w:tc>
        <w:tc>
          <w:tcPr>
            <w:tcW w:w="0" w:type="auto"/>
            <w:tcBorders>
              <w:top w:val="nil"/>
              <w:left w:val="nil"/>
              <w:bottom w:val="single" w:sz="8" w:space="0" w:color="auto"/>
              <w:right w:val="single" w:sz="8" w:space="0" w:color="auto"/>
            </w:tcBorders>
            <w:shd w:val="clear" w:color="auto" w:fill="auto"/>
            <w:vAlign w:val="center"/>
            <w:hideMark/>
          </w:tcPr>
          <w:p w14:paraId="783AE63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64C8E3C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CE4C74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TA5 </w:t>
            </w:r>
          </w:p>
        </w:tc>
        <w:tc>
          <w:tcPr>
            <w:tcW w:w="0" w:type="auto"/>
            <w:tcBorders>
              <w:top w:val="nil"/>
              <w:left w:val="nil"/>
              <w:bottom w:val="single" w:sz="8" w:space="0" w:color="auto"/>
              <w:right w:val="single" w:sz="8" w:space="0" w:color="auto"/>
            </w:tcBorders>
            <w:shd w:val="clear" w:color="auto" w:fill="auto"/>
            <w:vAlign w:val="center"/>
            <w:hideMark/>
          </w:tcPr>
          <w:p w14:paraId="1FBE47A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Buchanan N. </w:t>
            </w:r>
          </w:p>
        </w:tc>
        <w:tc>
          <w:tcPr>
            <w:tcW w:w="0" w:type="auto"/>
            <w:tcBorders>
              <w:top w:val="nil"/>
              <w:left w:val="nil"/>
              <w:bottom w:val="single" w:sz="8" w:space="0" w:color="auto"/>
              <w:right w:val="single" w:sz="8" w:space="0" w:color="auto"/>
            </w:tcBorders>
            <w:shd w:val="clear" w:color="auto" w:fill="auto"/>
            <w:vAlign w:val="center"/>
            <w:hideMark/>
          </w:tcPr>
          <w:p w14:paraId="61CF057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E118A7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Buchanan TA5 </w:t>
            </w:r>
          </w:p>
        </w:tc>
        <w:tc>
          <w:tcPr>
            <w:tcW w:w="0" w:type="auto"/>
            <w:tcBorders>
              <w:top w:val="nil"/>
              <w:left w:val="nil"/>
              <w:bottom w:val="single" w:sz="8" w:space="0" w:color="auto"/>
              <w:right w:val="single" w:sz="8" w:space="0" w:color="auto"/>
            </w:tcBorders>
            <w:shd w:val="clear" w:color="auto" w:fill="auto"/>
            <w:vAlign w:val="center"/>
            <w:hideMark/>
          </w:tcPr>
          <w:p w14:paraId="61FA923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49CE45A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9D8582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W93 </w:t>
            </w:r>
          </w:p>
        </w:tc>
        <w:tc>
          <w:tcPr>
            <w:tcW w:w="0" w:type="auto"/>
            <w:tcBorders>
              <w:top w:val="nil"/>
              <w:left w:val="nil"/>
              <w:bottom w:val="single" w:sz="8" w:space="0" w:color="auto"/>
              <w:right w:val="single" w:sz="8" w:space="0" w:color="auto"/>
            </w:tcBorders>
            <w:shd w:val="clear" w:color="auto" w:fill="auto"/>
            <w:vAlign w:val="center"/>
            <w:hideMark/>
          </w:tcPr>
          <w:p w14:paraId="4BBA0BA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Buchanan N. </w:t>
            </w:r>
          </w:p>
        </w:tc>
        <w:tc>
          <w:tcPr>
            <w:tcW w:w="0" w:type="auto"/>
            <w:tcBorders>
              <w:top w:val="nil"/>
              <w:left w:val="nil"/>
              <w:bottom w:val="single" w:sz="8" w:space="0" w:color="auto"/>
              <w:right w:val="single" w:sz="8" w:space="0" w:color="auto"/>
            </w:tcBorders>
            <w:shd w:val="clear" w:color="auto" w:fill="auto"/>
            <w:vAlign w:val="center"/>
            <w:hideMark/>
          </w:tcPr>
          <w:p w14:paraId="3B5F11A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9357F7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Eastview 2N </w:t>
            </w:r>
          </w:p>
        </w:tc>
        <w:tc>
          <w:tcPr>
            <w:tcW w:w="0" w:type="auto"/>
            <w:tcBorders>
              <w:top w:val="nil"/>
              <w:left w:val="nil"/>
              <w:bottom w:val="single" w:sz="8" w:space="0" w:color="auto"/>
              <w:right w:val="single" w:sz="8" w:space="0" w:color="auto"/>
            </w:tcBorders>
            <w:shd w:val="clear" w:color="auto" w:fill="auto"/>
            <w:vAlign w:val="center"/>
            <w:hideMark/>
          </w:tcPr>
          <w:p w14:paraId="2468213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6BF7056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952938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W95 </w:t>
            </w:r>
          </w:p>
        </w:tc>
        <w:tc>
          <w:tcPr>
            <w:tcW w:w="0" w:type="auto"/>
            <w:tcBorders>
              <w:top w:val="nil"/>
              <w:left w:val="nil"/>
              <w:bottom w:val="single" w:sz="8" w:space="0" w:color="auto"/>
              <w:right w:val="single" w:sz="8" w:space="0" w:color="auto"/>
            </w:tcBorders>
            <w:shd w:val="clear" w:color="auto" w:fill="auto"/>
            <w:vAlign w:val="center"/>
            <w:hideMark/>
          </w:tcPr>
          <w:p w14:paraId="3FF33C1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Buchanan N. </w:t>
            </w:r>
          </w:p>
        </w:tc>
        <w:tc>
          <w:tcPr>
            <w:tcW w:w="0" w:type="auto"/>
            <w:tcBorders>
              <w:top w:val="nil"/>
              <w:left w:val="nil"/>
              <w:bottom w:val="single" w:sz="8" w:space="0" w:color="auto"/>
              <w:right w:val="single" w:sz="8" w:space="0" w:color="auto"/>
            </w:tcBorders>
            <w:shd w:val="clear" w:color="auto" w:fill="auto"/>
            <w:vAlign w:val="center"/>
            <w:hideMark/>
          </w:tcPr>
          <w:p w14:paraId="7154730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FCEA4D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Indian Point #2 </w:t>
            </w:r>
          </w:p>
        </w:tc>
        <w:tc>
          <w:tcPr>
            <w:tcW w:w="0" w:type="auto"/>
            <w:tcBorders>
              <w:top w:val="nil"/>
              <w:left w:val="nil"/>
              <w:bottom w:val="single" w:sz="8" w:space="0" w:color="auto"/>
              <w:right w:val="single" w:sz="8" w:space="0" w:color="auto"/>
            </w:tcBorders>
            <w:shd w:val="clear" w:color="auto" w:fill="auto"/>
            <w:vAlign w:val="center"/>
            <w:hideMark/>
          </w:tcPr>
          <w:p w14:paraId="4597CF4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22</w:t>
            </w:r>
          </w:p>
        </w:tc>
      </w:tr>
      <w:tr w:rsidR="00FF49F1" w:rsidRPr="00FF49F1" w14:paraId="4466EEB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E97D00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W95 </w:t>
            </w:r>
          </w:p>
        </w:tc>
        <w:tc>
          <w:tcPr>
            <w:tcW w:w="0" w:type="auto"/>
            <w:tcBorders>
              <w:top w:val="nil"/>
              <w:left w:val="nil"/>
              <w:bottom w:val="single" w:sz="8" w:space="0" w:color="auto"/>
              <w:right w:val="single" w:sz="8" w:space="0" w:color="auto"/>
            </w:tcBorders>
            <w:shd w:val="clear" w:color="auto" w:fill="auto"/>
            <w:vAlign w:val="center"/>
            <w:hideMark/>
          </w:tcPr>
          <w:p w14:paraId="2114ADF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Buchanan N. </w:t>
            </w:r>
          </w:p>
        </w:tc>
        <w:tc>
          <w:tcPr>
            <w:tcW w:w="0" w:type="auto"/>
            <w:tcBorders>
              <w:top w:val="nil"/>
              <w:left w:val="nil"/>
              <w:bottom w:val="single" w:sz="8" w:space="0" w:color="auto"/>
              <w:right w:val="single" w:sz="8" w:space="0" w:color="auto"/>
            </w:tcBorders>
            <w:shd w:val="clear" w:color="auto" w:fill="auto"/>
            <w:vAlign w:val="center"/>
            <w:hideMark/>
          </w:tcPr>
          <w:p w14:paraId="31633F6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783A49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Indian Point #2 </w:t>
            </w:r>
          </w:p>
        </w:tc>
        <w:tc>
          <w:tcPr>
            <w:tcW w:w="0" w:type="auto"/>
            <w:tcBorders>
              <w:top w:val="nil"/>
              <w:left w:val="nil"/>
              <w:bottom w:val="single" w:sz="8" w:space="0" w:color="auto"/>
              <w:right w:val="single" w:sz="8" w:space="0" w:color="auto"/>
            </w:tcBorders>
            <w:shd w:val="clear" w:color="auto" w:fill="auto"/>
            <w:vAlign w:val="center"/>
            <w:hideMark/>
          </w:tcPr>
          <w:p w14:paraId="204CFBD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546A62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BE049A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Y94 </w:t>
            </w:r>
          </w:p>
        </w:tc>
        <w:tc>
          <w:tcPr>
            <w:tcW w:w="0" w:type="auto"/>
            <w:tcBorders>
              <w:top w:val="nil"/>
              <w:left w:val="nil"/>
              <w:bottom w:val="single" w:sz="8" w:space="0" w:color="auto"/>
              <w:right w:val="single" w:sz="8" w:space="0" w:color="auto"/>
            </w:tcBorders>
            <w:shd w:val="clear" w:color="auto" w:fill="auto"/>
            <w:vAlign w:val="center"/>
            <w:hideMark/>
          </w:tcPr>
          <w:p w14:paraId="26776D5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Buchanan N. </w:t>
            </w:r>
          </w:p>
        </w:tc>
        <w:tc>
          <w:tcPr>
            <w:tcW w:w="0" w:type="auto"/>
            <w:tcBorders>
              <w:top w:val="nil"/>
              <w:left w:val="nil"/>
              <w:bottom w:val="single" w:sz="8" w:space="0" w:color="auto"/>
              <w:right w:val="single" w:sz="8" w:space="0" w:color="auto"/>
            </w:tcBorders>
            <w:shd w:val="clear" w:color="auto" w:fill="auto"/>
            <w:vAlign w:val="center"/>
            <w:hideMark/>
          </w:tcPr>
          <w:p w14:paraId="4EAA168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E2FA2F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Ramapo </w:t>
            </w:r>
          </w:p>
        </w:tc>
        <w:tc>
          <w:tcPr>
            <w:tcW w:w="0" w:type="auto"/>
            <w:tcBorders>
              <w:top w:val="nil"/>
              <w:left w:val="nil"/>
              <w:bottom w:val="single" w:sz="8" w:space="0" w:color="auto"/>
              <w:right w:val="single" w:sz="8" w:space="0" w:color="auto"/>
            </w:tcBorders>
            <w:shd w:val="clear" w:color="auto" w:fill="auto"/>
            <w:vAlign w:val="center"/>
            <w:hideMark/>
          </w:tcPr>
          <w:p w14:paraId="348BE11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5D0D41E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2607FC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W96 </w:t>
            </w:r>
          </w:p>
        </w:tc>
        <w:tc>
          <w:tcPr>
            <w:tcW w:w="0" w:type="auto"/>
            <w:tcBorders>
              <w:top w:val="nil"/>
              <w:left w:val="nil"/>
              <w:bottom w:val="single" w:sz="8" w:space="0" w:color="auto"/>
              <w:right w:val="single" w:sz="8" w:space="0" w:color="auto"/>
            </w:tcBorders>
            <w:shd w:val="clear" w:color="auto" w:fill="auto"/>
            <w:vAlign w:val="center"/>
            <w:hideMark/>
          </w:tcPr>
          <w:p w14:paraId="3B13DBA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Buchanan S. </w:t>
            </w:r>
          </w:p>
        </w:tc>
        <w:tc>
          <w:tcPr>
            <w:tcW w:w="0" w:type="auto"/>
            <w:tcBorders>
              <w:top w:val="nil"/>
              <w:left w:val="nil"/>
              <w:bottom w:val="single" w:sz="8" w:space="0" w:color="auto"/>
              <w:right w:val="single" w:sz="8" w:space="0" w:color="auto"/>
            </w:tcBorders>
            <w:shd w:val="clear" w:color="auto" w:fill="auto"/>
            <w:vAlign w:val="center"/>
            <w:hideMark/>
          </w:tcPr>
          <w:p w14:paraId="03DF4D8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8ADC0B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Indian Point #3 </w:t>
            </w:r>
          </w:p>
        </w:tc>
        <w:tc>
          <w:tcPr>
            <w:tcW w:w="0" w:type="auto"/>
            <w:tcBorders>
              <w:top w:val="nil"/>
              <w:left w:val="nil"/>
              <w:bottom w:val="single" w:sz="8" w:space="0" w:color="auto"/>
              <w:right w:val="single" w:sz="8" w:space="0" w:color="auto"/>
            </w:tcBorders>
            <w:shd w:val="clear" w:color="auto" w:fill="auto"/>
            <w:vAlign w:val="center"/>
            <w:hideMark/>
          </w:tcPr>
          <w:p w14:paraId="2CC6ADF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22</w:t>
            </w:r>
          </w:p>
        </w:tc>
      </w:tr>
      <w:tr w:rsidR="00FF49F1" w:rsidRPr="00FF49F1" w14:paraId="0B059BC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0A7602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W96 </w:t>
            </w:r>
          </w:p>
        </w:tc>
        <w:tc>
          <w:tcPr>
            <w:tcW w:w="0" w:type="auto"/>
            <w:tcBorders>
              <w:top w:val="nil"/>
              <w:left w:val="nil"/>
              <w:bottom w:val="single" w:sz="8" w:space="0" w:color="auto"/>
              <w:right w:val="single" w:sz="8" w:space="0" w:color="auto"/>
            </w:tcBorders>
            <w:shd w:val="clear" w:color="auto" w:fill="auto"/>
            <w:vAlign w:val="center"/>
            <w:hideMark/>
          </w:tcPr>
          <w:p w14:paraId="10210C2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Buchanan S. </w:t>
            </w:r>
          </w:p>
        </w:tc>
        <w:tc>
          <w:tcPr>
            <w:tcW w:w="0" w:type="auto"/>
            <w:tcBorders>
              <w:top w:val="nil"/>
              <w:left w:val="nil"/>
              <w:bottom w:val="single" w:sz="8" w:space="0" w:color="auto"/>
              <w:right w:val="single" w:sz="8" w:space="0" w:color="auto"/>
            </w:tcBorders>
            <w:shd w:val="clear" w:color="auto" w:fill="auto"/>
            <w:vAlign w:val="center"/>
            <w:hideMark/>
          </w:tcPr>
          <w:p w14:paraId="5EDB959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906E43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Indian Point #3 </w:t>
            </w:r>
          </w:p>
        </w:tc>
        <w:tc>
          <w:tcPr>
            <w:tcW w:w="0" w:type="auto"/>
            <w:tcBorders>
              <w:top w:val="nil"/>
              <w:left w:val="nil"/>
              <w:bottom w:val="single" w:sz="8" w:space="0" w:color="auto"/>
              <w:right w:val="single" w:sz="8" w:space="0" w:color="auto"/>
            </w:tcBorders>
            <w:shd w:val="clear" w:color="auto" w:fill="auto"/>
            <w:vAlign w:val="center"/>
            <w:hideMark/>
          </w:tcPr>
          <w:p w14:paraId="086E502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009DB9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1369A5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W97 </w:t>
            </w:r>
          </w:p>
        </w:tc>
        <w:tc>
          <w:tcPr>
            <w:tcW w:w="0" w:type="auto"/>
            <w:tcBorders>
              <w:top w:val="nil"/>
              <w:left w:val="nil"/>
              <w:bottom w:val="single" w:sz="8" w:space="0" w:color="auto"/>
              <w:right w:val="single" w:sz="8" w:space="0" w:color="auto"/>
            </w:tcBorders>
            <w:shd w:val="clear" w:color="auto" w:fill="auto"/>
            <w:vAlign w:val="center"/>
            <w:hideMark/>
          </w:tcPr>
          <w:p w14:paraId="56CC663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Buchanan S. </w:t>
            </w:r>
          </w:p>
        </w:tc>
        <w:tc>
          <w:tcPr>
            <w:tcW w:w="0" w:type="auto"/>
            <w:tcBorders>
              <w:top w:val="nil"/>
              <w:left w:val="nil"/>
              <w:bottom w:val="single" w:sz="8" w:space="0" w:color="auto"/>
              <w:right w:val="single" w:sz="8" w:space="0" w:color="auto"/>
            </w:tcBorders>
            <w:shd w:val="clear" w:color="auto" w:fill="auto"/>
            <w:vAlign w:val="center"/>
            <w:hideMark/>
          </w:tcPr>
          <w:p w14:paraId="7A79CE4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DEC520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Millwood </w:t>
            </w:r>
          </w:p>
        </w:tc>
        <w:tc>
          <w:tcPr>
            <w:tcW w:w="0" w:type="auto"/>
            <w:tcBorders>
              <w:top w:val="nil"/>
              <w:left w:val="nil"/>
              <w:bottom w:val="single" w:sz="8" w:space="0" w:color="auto"/>
              <w:right w:val="single" w:sz="8" w:space="0" w:color="auto"/>
            </w:tcBorders>
            <w:shd w:val="clear" w:color="auto" w:fill="auto"/>
            <w:vAlign w:val="center"/>
            <w:hideMark/>
          </w:tcPr>
          <w:p w14:paraId="5E13289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D07EAC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53AE1F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lastRenderedPageBreak/>
              <w:t xml:space="preserve">W98 </w:t>
            </w:r>
          </w:p>
        </w:tc>
        <w:tc>
          <w:tcPr>
            <w:tcW w:w="0" w:type="auto"/>
            <w:tcBorders>
              <w:top w:val="nil"/>
              <w:left w:val="nil"/>
              <w:bottom w:val="single" w:sz="8" w:space="0" w:color="auto"/>
              <w:right w:val="single" w:sz="8" w:space="0" w:color="auto"/>
            </w:tcBorders>
            <w:shd w:val="clear" w:color="auto" w:fill="auto"/>
            <w:vAlign w:val="center"/>
            <w:hideMark/>
          </w:tcPr>
          <w:p w14:paraId="2EFA8E1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Buchanan S. </w:t>
            </w:r>
          </w:p>
        </w:tc>
        <w:tc>
          <w:tcPr>
            <w:tcW w:w="0" w:type="auto"/>
            <w:tcBorders>
              <w:top w:val="nil"/>
              <w:left w:val="nil"/>
              <w:bottom w:val="single" w:sz="8" w:space="0" w:color="auto"/>
              <w:right w:val="single" w:sz="8" w:space="0" w:color="auto"/>
            </w:tcBorders>
            <w:shd w:val="clear" w:color="auto" w:fill="auto"/>
            <w:vAlign w:val="center"/>
            <w:hideMark/>
          </w:tcPr>
          <w:p w14:paraId="5D2A541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BE8A54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Millwood </w:t>
            </w:r>
          </w:p>
        </w:tc>
        <w:tc>
          <w:tcPr>
            <w:tcW w:w="0" w:type="auto"/>
            <w:tcBorders>
              <w:top w:val="nil"/>
              <w:left w:val="nil"/>
              <w:bottom w:val="single" w:sz="8" w:space="0" w:color="auto"/>
              <w:right w:val="single" w:sz="8" w:space="0" w:color="auto"/>
            </w:tcBorders>
            <w:shd w:val="clear" w:color="auto" w:fill="auto"/>
            <w:vAlign w:val="center"/>
            <w:hideMark/>
          </w:tcPr>
          <w:p w14:paraId="6718C9F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931E9D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3C6D86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Y88 </w:t>
            </w:r>
          </w:p>
        </w:tc>
        <w:tc>
          <w:tcPr>
            <w:tcW w:w="0" w:type="auto"/>
            <w:tcBorders>
              <w:top w:val="nil"/>
              <w:left w:val="nil"/>
              <w:bottom w:val="single" w:sz="8" w:space="0" w:color="auto"/>
              <w:right w:val="single" w:sz="8" w:space="0" w:color="auto"/>
            </w:tcBorders>
            <w:shd w:val="clear" w:color="auto" w:fill="auto"/>
            <w:vAlign w:val="center"/>
            <w:hideMark/>
          </w:tcPr>
          <w:p w14:paraId="2E68571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Buchanan S. </w:t>
            </w:r>
          </w:p>
        </w:tc>
        <w:tc>
          <w:tcPr>
            <w:tcW w:w="0" w:type="auto"/>
            <w:tcBorders>
              <w:top w:val="nil"/>
              <w:left w:val="nil"/>
              <w:bottom w:val="single" w:sz="8" w:space="0" w:color="auto"/>
              <w:right w:val="single" w:sz="8" w:space="0" w:color="auto"/>
            </w:tcBorders>
            <w:shd w:val="clear" w:color="auto" w:fill="auto"/>
            <w:vAlign w:val="center"/>
            <w:hideMark/>
          </w:tcPr>
          <w:p w14:paraId="73E1AA0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345A45E"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Ladentown</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11BF768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B7C555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AE5833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36</w:t>
            </w:r>
          </w:p>
        </w:tc>
        <w:tc>
          <w:tcPr>
            <w:tcW w:w="0" w:type="auto"/>
            <w:tcBorders>
              <w:top w:val="nil"/>
              <w:left w:val="nil"/>
              <w:bottom w:val="single" w:sz="8" w:space="0" w:color="auto"/>
              <w:right w:val="single" w:sz="8" w:space="0" w:color="auto"/>
            </w:tcBorders>
            <w:shd w:val="clear" w:color="auto" w:fill="auto"/>
            <w:vAlign w:val="center"/>
            <w:hideMark/>
          </w:tcPr>
          <w:p w14:paraId="21E7131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Clarks Corners </w:t>
            </w:r>
          </w:p>
        </w:tc>
        <w:tc>
          <w:tcPr>
            <w:tcW w:w="0" w:type="auto"/>
            <w:tcBorders>
              <w:top w:val="nil"/>
              <w:left w:val="nil"/>
              <w:bottom w:val="single" w:sz="8" w:space="0" w:color="auto"/>
              <w:right w:val="single" w:sz="8" w:space="0" w:color="auto"/>
            </w:tcBorders>
            <w:shd w:val="clear" w:color="auto" w:fill="auto"/>
            <w:vAlign w:val="center"/>
            <w:hideMark/>
          </w:tcPr>
          <w:p w14:paraId="38D54CB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9EC50F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Oakdale </w:t>
            </w:r>
          </w:p>
        </w:tc>
        <w:tc>
          <w:tcPr>
            <w:tcW w:w="0" w:type="auto"/>
            <w:tcBorders>
              <w:top w:val="nil"/>
              <w:left w:val="nil"/>
              <w:bottom w:val="single" w:sz="8" w:space="0" w:color="auto"/>
              <w:right w:val="single" w:sz="8" w:space="0" w:color="auto"/>
            </w:tcBorders>
            <w:shd w:val="clear" w:color="auto" w:fill="auto"/>
            <w:vAlign w:val="center"/>
            <w:hideMark/>
          </w:tcPr>
          <w:p w14:paraId="29EAB05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677EDA3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BE3EDD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16893</w:t>
            </w:r>
          </w:p>
        </w:tc>
        <w:tc>
          <w:tcPr>
            <w:tcW w:w="0" w:type="auto"/>
            <w:tcBorders>
              <w:top w:val="nil"/>
              <w:left w:val="nil"/>
              <w:bottom w:val="single" w:sz="8" w:space="0" w:color="auto"/>
              <w:right w:val="single" w:sz="8" w:space="0" w:color="auto"/>
            </w:tcBorders>
            <w:shd w:val="clear" w:color="auto" w:fill="auto"/>
            <w:vAlign w:val="center"/>
            <w:hideMark/>
          </w:tcPr>
          <w:p w14:paraId="5227F9C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Clarks Corners </w:t>
            </w:r>
          </w:p>
        </w:tc>
        <w:tc>
          <w:tcPr>
            <w:tcW w:w="0" w:type="auto"/>
            <w:tcBorders>
              <w:top w:val="nil"/>
              <w:left w:val="nil"/>
              <w:bottom w:val="single" w:sz="8" w:space="0" w:color="auto"/>
              <w:right w:val="single" w:sz="8" w:space="0" w:color="auto"/>
            </w:tcBorders>
            <w:shd w:val="clear" w:color="auto" w:fill="auto"/>
            <w:vAlign w:val="center"/>
            <w:hideMark/>
          </w:tcPr>
          <w:p w14:paraId="62A6AC6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F31969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Lafayette </w:t>
            </w:r>
          </w:p>
        </w:tc>
        <w:tc>
          <w:tcPr>
            <w:tcW w:w="0" w:type="auto"/>
            <w:tcBorders>
              <w:top w:val="nil"/>
              <w:left w:val="nil"/>
              <w:bottom w:val="single" w:sz="8" w:space="0" w:color="auto"/>
              <w:right w:val="single" w:sz="8" w:space="0" w:color="auto"/>
            </w:tcBorders>
            <w:shd w:val="clear" w:color="auto" w:fill="auto"/>
            <w:vAlign w:val="center"/>
            <w:hideMark/>
          </w:tcPr>
          <w:p w14:paraId="1C6B9D5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9FC8A1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885FC6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1731748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Clarks Corners </w:t>
            </w:r>
          </w:p>
        </w:tc>
        <w:tc>
          <w:tcPr>
            <w:tcW w:w="0" w:type="auto"/>
            <w:tcBorders>
              <w:top w:val="nil"/>
              <w:left w:val="nil"/>
              <w:bottom w:val="single" w:sz="8" w:space="0" w:color="auto"/>
              <w:right w:val="single" w:sz="8" w:space="0" w:color="auto"/>
            </w:tcBorders>
            <w:shd w:val="clear" w:color="auto" w:fill="auto"/>
            <w:vAlign w:val="center"/>
            <w:hideMark/>
          </w:tcPr>
          <w:p w14:paraId="5F5143B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B9F1B3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Clarks Corners </w:t>
            </w:r>
          </w:p>
        </w:tc>
        <w:tc>
          <w:tcPr>
            <w:tcW w:w="0" w:type="auto"/>
            <w:tcBorders>
              <w:top w:val="nil"/>
              <w:left w:val="nil"/>
              <w:bottom w:val="single" w:sz="8" w:space="0" w:color="auto"/>
              <w:right w:val="single" w:sz="8" w:space="0" w:color="auto"/>
            </w:tcBorders>
            <w:shd w:val="clear" w:color="auto" w:fill="auto"/>
            <w:vAlign w:val="center"/>
            <w:hideMark/>
          </w:tcPr>
          <w:p w14:paraId="31E504F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13B593F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8497E3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267B441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Clarks Corners </w:t>
            </w:r>
          </w:p>
        </w:tc>
        <w:tc>
          <w:tcPr>
            <w:tcW w:w="0" w:type="auto"/>
            <w:tcBorders>
              <w:top w:val="nil"/>
              <w:left w:val="nil"/>
              <w:bottom w:val="single" w:sz="8" w:space="0" w:color="auto"/>
              <w:right w:val="single" w:sz="8" w:space="0" w:color="auto"/>
            </w:tcBorders>
            <w:shd w:val="clear" w:color="auto" w:fill="auto"/>
            <w:vAlign w:val="center"/>
            <w:hideMark/>
          </w:tcPr>
          <w:p w14:paraId="61EF1C5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D1EF91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Clarks Corners </w:t>
            </w:r>
          </w:p>
        </w:tc>
        <w:tc>
          <w:tcPr>
            <w:tcW w:w="0" w:type="auto"/>
            <w:tcBorders>
              <w:top w:val="nil"/>
              <w:left w:val="nil"/>
              <w:bottom w:val="single" w:sz="8" w:space="0" w:color="auto"/>
              <w:right w:val="single" w:sz="8" w:space="0" w:color="auto"/>
            </w:tcBorders>
            <w:shd w:val="clear" w:color="auto" w:fill="auto"/>
            <w:vAlign w:val="center"/>
            <w:hideMark/>
          </w:tcPr>
          <w:p w14:paraId="1847C0A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541A2B5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7FA3C6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w:t>
            </w:r>
          </w:p>
        </w:tc>
        <w:tc>
          <w:tcPr>
            <w:tcW w:w="0" w:type="auto"/>
            <w:tcBorders>
              <w:top w:val="nil"/>
              <w:left w:val="nil"/>
              <w:bottom w:val="single" w:sz="8" w:space="0" w:color="auto"/>
              <w:right w:val="single" w:sz="8" w:space="0" w:color="auto"/>
            </w:tcBorders>
            <w:shd w:val="clear" w:color="auto" w:fill="auto"/>
            <w:vAlign w:val="center"/>
            <w:hideMark/>
          </w:tcPr>
          <w:p w14:paraId="15EC14C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Clay </w:t>
            </w:r>
          </w:p>
        </w:tc>
        <w:tc>
          <w:tcPr>
            <w:tcW w:w="0" w:type="auto"/>
            <w:tcBorders>
              <w:top w:val="nil"/>
              <w:left w:val="nil"/>
              <w:bottom w:val="single" w:sz="8" w:space="0" w:color="auto"/>
              <w:right w:val="single" w:sz="8" w:space="0" w:color="auto"/>
            </w:tcBorders>
            <w:shd w:val="clear" w:color="auto" w:fill="auto"/>
            <w:vAlign w:val="center"/>
            <w:hideMark/>
          </w:tcPr>
          <w:p w14:paraId="1CE7176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87A7C59"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Volney</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3E0154A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54A472B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AFE89A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w:t>
            </w:r>
          </w:p>
        </w:tc>
        <w:tc>
          <w:tcPr>
            <w:tcW w:w="0" w:type="auto"/>
            <w:tcBorders>
              <w:top w:val="nil"/>
              <w:left w:val="nil"/>
              <w:bottom w:val="single" w:sz="8" w:space="0" w:color="auto"/>
              <w:right w:val="single" w:sz="8" w:space="0" w:color="auto"/>
            </w:tcBorders>
            <w:shd w:val="clear" w:color="auto" w:fill="auto"/>
            <w:vAlign w:val="center"/>
            <w:hideMark/>
          </w:tcPr>
          <w:p w14:paraId="61F43AC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Clay </w:t>
            </w:r>
          </w:p>
        </w:tc>
        <w:tc>
          <w:tcPr>
            <w:tcW w:w="0" w:type="auto"/>
            <w:tcBorders>
              <w:top w:val="nil"/>
              <w:left w:val="nil"/>
              <w:bottom w:val="single" w:sz="8" w:space="0" w:color="auto"/>
              <w:right w:val="single" w:sz="8" w:space="0" w:color="auto"/>
            </w:tcBorders>
            <w:shd w:val="clear" w:color="auto" w:fill="auto"/>
            <w:vAlign w:val="center"/>
            <w:hideMark/>
          </w:tcPr>
          <w:p w14:paraId="717F3C4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938702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Nine Mile Point #1 </w:t>
            </w:r>
          </w:p>
        </w:tc>
        <w:tc>
          <w:tcPr>
            <w:tcW w:w="0" w:type="auto"/>
            <w:tcBorders>
              <w:top w:val="nil"/>
              <w:left w:val="nil"/>
              <w:bottom w:val="single" w:sz="8" w:space="0" w:color="auto"/>
              <w:right w:val="single" w:sz="8" w:space="0" w:color="auto"/>
            </w:tcBorders>
            <w:shd w:val="clear" w:color="auto" w:fill="auto"/>
            <w:vAlign w:val="center"/>
            <w:hideMark/>
          </w:tcPr>
          <w:p w14:paraId="45331B2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5578D45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3D2ADE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w:t>
            </w:r>
          </w:p>
        </w:tc>
        <w:tc>
          <w:tcPr>
            <w:tcW w:w="0" w:type="auto"/>
            <w:tcBorders>
              <w:top w:val="nil"/>
              <w:left w:val="nil"/>
              <w:bottom w:val="single" w:sz="8" w:space="0" w:color="auto"/>
              <w:right w:val="single" w:sz="8" w:space="0" w:color="auto"/>
            </w:tcBorders>
            <w:shd w:val="clear" w:color="auto" w:fill="auto"/>
            <w:vAlign w:val="center"/>
            <w:hideMark/>
          </w:tcPr>
          <w:p w14:paraId="046555D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Clay </w:t>
            </w:r>
          </w:p>
        </w:tc>
        <w:tc>
          <w:tcPr>
            <w:tcW w:w="0" w:type="auto"/>
            <w:tcBorders>
              <w:top w:val="nil"/>
              <w:left w:val="nil"/>
              <w:bottom w:val="single" w:sz="8" w:space="0" w:color="auto"/>
              <w:right w:val="single" w:sz="8" w:space="0" w:color="auto"/>
            </w:tcBorders>
            <w:shd w:val="clear" w:color="auto" w:fill="auto"/>
            <w:vAlign w:val="center"/>
            <w:hideMark/>
          </w:tcPr>
          <w:p w14:paraId="3E9A454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F5FEB5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Dewitt </w:t>
            </w:r>
          </w:p>
        </w:tc>
        <w:tc>
          <w:tcPr>
            <w:tcW w:w="0" w:type="auto"/>
            <w:tcBorders>
              <w:top w:val="nil"/>
              <w:left w:val="nil"/>
              <w:bottom w:val="single" w:sz="8" w:space="0" w:color="auto"/>
              <w:right w:val="single" w:sz="8" w:space="0" w:color="auto"/>
            </w:tcBorders>
            <w:shd w:val="clear" w:color="auto" w:fill="auto"/>
            <w:vAlign w:val="center"/>
            <w:hideMark/>
          </w:tcPr>
          <w:p w14:paraId="5DD5285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17B72ED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775EAF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26</w:t>
            </w:r>
          </w:p>
        </w:tc>
        <w:tc>
          <w:tcPr>
            <w:tcW w:w="0" w:type="auto"/>
            <w:tcBorders>
              <w:top w:val="nil"/>
              <w:left w:val="nil"/>
              <w:bottom w:val="single" w:sz="8" w:space="0" w:color="auto"/>
              <w:right w:val="single" w:sz="8" w:space="0" w:color="auto"/>
            </w:tcBorders>
            <w:shd w:val="clear" w:color="auto" w:fill="auto"/>
            <w:vAlign w:val="center"/>
            <w:hideMark/>
          </w:tcPr>
          <w:p w14:paraId="21C2C5E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Clay </w:t>
            </w:r>
          </w:p>
        </w:tc>
        <w:tc>
          <w:tcPr>
            <w:tcW w:w="0" w:type="auto"/>
            <w:tcBorders>
              <w:top w:val="nil"/>
              <w:left w:val="nil"/>
              <w:bottom w:val="single" w:sz="8" w:space="0" w:color="auto"/>
              <w:right w:val="single" w:sz="8" w:space="0" w:color="auto"/>
            </w:tcBorders>
            <w:shd w:val="clear" w:color="auto" w:fill="auto"/>
            <w:vAlign w:val="center"/>
            <w:hideMark/>
          </w:tcPr>
          <w:p w14:paraId="482F7BD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0AF058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Independence </w:t>
            </w:r>
          </w:p>
        </w:tc>
        <w:tc>
          <w:tcPr>
            <w:tcW w:w="0" w:type="auto"/>
            <w:tcBorders>
              <w:top w:val="nil"/>
              <w:left w:val="nil"/>
              <w:bottom w:val="single" w:sz="8" w:space="0" w:color="auto"/>
              <w:right w:val="single" w:sz="8" w:space="0" w:color="auto"/>
            </w:tcBorders>
            <w:shd w:val="clear" w:color="auto" w:fill="auto"/>
            <w:vAlign w:val="center"/>
            <w:hideMark/>
          </w:tcPr>
          <w:p w14:paraId="3572FF4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4E9A5A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98CB9D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1-16</w:t>
            </w:r>
          </w:p>
        </w:tc>
        <w:tc>
          <w:tcPr>
            <w:tcW w:w="0" w:type="auto"/>
            <w:tcBorders>
              <w:top w:val="nil"/>
              <w:left w:val="nil"/>
              <w:bottom w:val="single" w:sz="8" w:space="0" w:color="auto"/>
              <w:right w:val="single" w:sz="8" w:space="0" w:color="auto"/>
            </w:tcBorders>
            <w:shd w:val="clear" w:color="auto" w:fill="auto"/>
            <w:vAlign w:val="center"/>
            <w:hideMark/>
          </w:tcPr>
          <w:p w14:paraId="56C2F8E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Clay </w:t>
            </w:r>
          </w:p>
        </w:tc>
        <w:tc>
          <w:tcPr>
            <w:tcW w:w="0" w:type="auto"/>
            <w:tcBorders>
              <w:top w:val="nil"/>
              <w:left w:val="nil"/>
              <w:bottom w:val="single" w:sz="8" w:space="0" w:color="auto"/>
              <w:right w:val="single" w:sz="8" w:space="0" w:color="auto"/>
            </w:tcBorders>
            <w:shd w:val="clear" w:color="auto" w:fill="auto"/>
            <w:vAlign w:val="center"/>
            <w:hideMark/>
          </w:tcPr>
          <w:p w14:paraId="10D3707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A8D4D36"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Edic</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39D7BFE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6B8D7A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28411D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2-15</w:t>
            </w:r>
          </w:p>
        </w:tc>
        <w:tc>
          <w:tcPr>
            <w:tcW w:w="0" w:type="auto"/>
            <w:tcBorders>
              <w:top w:val="nil"/>
              <w:left w:val="nil"/>
              <w:bottom w:val="single" w:sz="8" w:space="0" w:color="auto"/>
              <w:right w:val="single" w:sz="8" w:space="0" w:color="auto"/>
            </w:tcBorders>
            <w:shd w:val="clear" w:color="auto" w:fill="auto"/>
            <w:vAlign w:val="center"/>
            <w:hideMark/>
          </w:tcPr>
          <w:p w14:paraId="0FAD44B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Clay </w:t>
            </w:r>
          </w:p>
        </w:tc>
        <w:tc>
          <w:tcPr>
            <w:tcW w:w="0" w:type="auto"/>
            <w:tcBorders>
              <w:top w:val="nil"/>
              <w:left w:val="nil"/>
              <w:bottom w:val="single" w:sz="8" w:space="0" w:color="auto"/>
              <w:right w:val="single" w:sz="8" w:space="0" w:color="auto"/>
            </w:tcBorders>
            <w:shd w:val="clear" w:color="auto" w:fill="auto"/>
            <w:vAlign w:val="center"/>
            <w:hideMark/>
          </w:tcPr>
          <w:p w14:paraId="0531F1A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80F7C76"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Edic</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3526A5F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659397A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C3712D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07DA99C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Clay </w:t>
            </w:r>
          </w:p>
        </w:tc>
        <w:tc>
          <w:tcPr>
            <w:tcW w:w="0" w:type="auto"/>
            <w:tcBorders>
              <w:top w:val="nil"/>
              <w:left w:val="nil"/>
              <w:bottom w:val="single" w:sz="8" w:space="0" w:color="auto"/>
              <w:right w:val="single" w:sz="8" w:space="0" w:color="auto"/>
            </w:tcBorders>
            <w:shd w:val="clear" w:color="auto" w:fill="auto"/>
            <w:vAlign w:val="center"/>
            <w:hideMark/>
          </w:tcPr>
          <w:p w14:paraId="684A085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B2EA90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Clay </w:t>
            </w:r>
          </w:p>
        </w:tc>
        <w:tc>
          <w:tcPr>
            <w:tcW w:w="0" w:type="auto"/>
            <w:tcBorders>
              <w:top w:val="nil"/>
              <w:left w:val="nil"/>
              <w:bottom w:val="single" w:sz="8" w:space="0" w:color="auto"/>
              <w:right w:val="single" w:sz="8" w:space="0" w:color="auto"/>
            </w:tcBorders>
            <w:shd w:val="clear" w:color="auto" w:fill="auto"/>
            <w:vAlign w:val="center"/>
            <w:hideMark/>
          </w:tcPr>
          <w:p w14:paraId="4818417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3747A21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A2D57A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6887884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Clay </w:t>
            </w:r>
          </w:p>
        </w:tc>
        <w:tc>
          <w:tcPr>
            <w:tcW w:w="0" w:type="auto"/>
            <w:tcBorders>
              <w:top w:val="nil"/>
              <w:left w:val="nil"/>
              <w:bottom w:val="single" w:sz="8" w:space="0" w:color="auto"/>
              <w:right w:val="single" w:sz="8" w:space="0" w:color="auto"/>
            </w:tcBorders>
            <w:shd w:val="clear" w:color="auto" w:fill="auto"/>
            <w:vAlign w:val="center"/>
            <w:hideMark/>
          </w:tcPr>
          <w:p w14:paraId="32845FB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B57D6D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Clay </w:t>
            </w:r>
          </w:p>
        </w:tc>
        <w:tc>
          <w:tcPr>
            <w:tcW w:w="0" w:type="auto"/>
            <w:tcBorders>
              <w:top w:val="nil"/>
              <w:left w:val="nil"/>
              <w:bottom w:val="single" w:sz="8" w:space="0" w:color="auto"/>
              <w:right w:val="single" w:sz="8" w:space="0" w:color="auto"/>
            </w:tcBorders>
            <w:shd w:val="clear" w:color="auto" w:fill="auto"/>
            <w:vAlign w:val="center"/>
            <w:hideMark/>
          </w:tcPr>
          <w:p w14:paraId="13DA42F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7FF7C73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2216A0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PC1 </w:t>
            </w:r>
          </w:p>
        </w:tc>
        <w:tc>
          <w:tcPr>
            <w:tcW w:w="0" w:type="auto"/>
            <w:tcBorders>
              <w:top w:val="nil"/>
              <w:left w:val="nil"/>
              <w:bottom w:val="single" w:sz="8" w:space="0" w:color="auto"/>
              <w:right w:val="single" w:sz="8" w:space="0" w:color="auto"/>
            </w:tcBorders>
            <w:shd w:val="clear" w:color="auto" w:fill="auto"/>
            <w:vAlign w:val="center"/>
            <w:hideMark/>
          </w:tcPr>
          <w:p w14:paraId="66EE429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Clay </w:t>
            </w:r>
          </w:p>
        </w:tc>
        <w:tc>
          <w:tcPr>
            <w:tcW w:w="0" w:type="auto"/>
            <w:tcBorders>
              <w:top w:val="nil"/>
              <w:left w:val="nil"/>
              <w:bottom w:val="single" w:sz="8" w:space="0" w:color="auto"/>
              <w:right w:val="single" w:sz="8" w:space="0" w:color="auto"/>
            </w:tcBorders>
            <w:shd w:val="clear" w:color="auto" w:fill="auto"/>
            <w:vAlign w:val="center"/>
            <w:hideMark/>
          </w:tcPr>
          <w:p w14:paraId="5D7CD0A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85E5D6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Pannell Rd </w:t>
            </w:r>
          </w:p>
        </w:tc>
        <w:tc>
          <w:tcPr>
            <w:tcW w:w="0" w:type="auto"/>
            <w:tcBorders>
              <w:top w:val="nil"/>
              <w:left w:val="nil"/>
              <w:bottom w:val="single" w:sz="8" w:space="0" w:color="auto"/>
              <w:right w:val="single" w:sz="8" w:space="0" w:color="auto"/>
            </w:tcBorders>
            <w:shd w:val="clear" w:color="auto" w:fill="auto"/>
            <w:vAlign w:val="center"/>
            <w:hideMark/>
          </w:tcPr>
          <w:p w14:paraId="773323F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09F080F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FA29F5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PC2 </w:t>
            </w:r>
          </w:p>
        </w:tc>
        <w:tc>
          <w:tcPr>
            <w:tcW w:w="0" w:type="auto"/>
            <w:tcBorders>
              <w:top w:val="nil"/>
              <w:left w:val="nil"/>
              <w:bottom w:val="single" w:sz="8" w:space="0" w:color="auto"/>
              <w:right w:val="single" w:sz="8" w:space="0" w:color="auto"/>
            </w:tcBorders>
            <w:shd w:val="clear" w:color="auto" w:fill="auto"/>
            <w:vAlign w:val="center"/>
            <w:hideMark/>
          </w:tcPr>
          <w:p w14:paraId="7CC87B8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Clay </w:t>
            </w:r>
          </w:p>
        </w:tc>
        <w:tc>
          <w:tcPr>
            <w:tcW w:w="0" w:type="auto"/>
            <w:tcBorders>
              <w:top w:val="nil"/>
              <w:left w:val="nil"/>
              <w:bottom w:val="single" w:sz="8" w:space="0" w:color="auto"/>
              <w:right w:val="single" w:sz="8" w:space="0" w:color="auto"/>
            </w:tcBorders>
            <w:shd w:val="clear" w:color="auto" w:fill="auto"/>
            <w:vAlign w:val="center"/>
            <w:hideMark/>
          </w:tcPr>
          <w:p w14:paraId="3238454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3C6C79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Pannell Rd </w:t>
            </w:r>
          </w:p>
        </w:tc>
        <w:tc>
          <w:tcPr>
            <w:tcW w:w="0" w:type="auto"/>
            <w:tcBorders>
              <w:top w:val="nil"/>
              <w:left w:val="nil"/>
              <w:bottom w:val="single" w:sz="8" w:space="0" w:color="auto"/>
              <w:right w:val="single" w:sz="8" w:space="0" w:color="auto"/>
            </w:tcBorders>
            <w:shd w:val="clear" w:color="auto" w:fill="auto"/>
            <w:vAlign w:val="center"/>
            <w:hideMark/>
          </w:tcPr>
          <w:p w14:paraId="6BE34C3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56C5A19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A90AEF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33</w:t>
            </w:r>
          </w:p>
        </w:tc>
        <w:tc>
          <w:tcPr>
            <w:tcW w:w="0" w:type="auto"/>
            <w:tcBorders>
              <w:top w:val="nil"/>
              <w:left w:val="nil"/>
              <w:bottom w:val="single" w:sz="8" w:space="0" w:color="auto"/>
              <w:right w:val="single" w:sz="8" w:space="0" w:color="auto"/>
            </w:tcBorders>
            <w:shd w:val="clear" w:color="auto" w:fill="auto"/>
            <w:vAlign w:val="center"/>
            <w:hideMark/>
          </w:tcPr>
          <w:p w14:paraId="4B942F4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Coopers Corners </w:t>
            </w:r>
          </w:p>
        </w:tc>
        <w:tc>
          <w:tcPr>
            <w:tcW w:w="0" w:type="auto"/>
            <w:tcBorders>
              <w:top w:val="nil"/>
              <w:left w:val="nil"/>
              <w:bottom w:val="single" w:sz="8" w:space="0" w:color="auto"/>
              <w:right w:val="single" w:sz="8" w:space="0" w:color="auto"/>
            </w:tcBorders>
            <w:shd w:val="clear" w:color="auto" w:fill="auto"/>
            <w:vAlign w:val="center"/>
            <w:hideMark/>
          </w:tcPr>
          <w:p w14:paraId="0EE603C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92B5BA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Fraser </w:t>
            </w:r>
          </w:p>
        </w:tc>
        <w:tc>
          <w:tcPr>
            <w:tcW w:w="0" w:type="auto"/>
            <w:tcBorders>
              <w:top w:val="nil"/>
              <w:left w:val="nil"/>
              <w:bottom w:val="single" w:sz="8" w:space="0" w:color="auto"/>
              <w:right w:val="single" w:sz="8" w:space="0" w:color="auto"/>
            </w:tcBorders>
            <w:shd w:val="clear" w:color="auto" w:fill="auto"/>
            <w:vAlign w:val="center"/>
            <w:hideMark/>
          </w:tcPr>
          <w:p w14:paraId="7F68139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4D7C2669"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6D3F33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3C277AE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Coopers Corners </w:t>
            </w:r>
          </w:p>
        </w:tc>
        <w:tc>
          <w:tcPr>
            <w:tcW w:w="0" w:type="auto"/>
            <w:tcBorders>
              <w:top w:val="nil"/>
              <w:left w:val="nil"/>
              <w:bottom w:val="single" w:sz="8" w:space="0" w:color="auto"/>
              <w:right w:val="single" w:sz="8" w:space="0" w:color="auto"/>
            </w:tcBorders>
            <w:shd w:val="clear" w:color="auto" w:fill="auto"/>
            <w:vAlign w:val="center"/>
            <w:hideMark/>
          </w:tcPr>
          <w:p w14:paraId="51A1A5D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163E10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Coopers Corners </w:t>
            </w:r>
          </w:p>
        </w:tc>
        <w:tc>
          <w:tcPr>
            <w:tcW w:w="0" w:type="auto"/>
            <w:tcBorders>
              <w:top w:val="nil"/>
              <w:left w:val="nil"/>
              <w:bottom w:val="single" w:sz="8" w:space="0" w:color="auto"/>
              <w:right w:val="single" w:sz="8" w:space="0" w:color="auto"/>
            </w:tcBorders>
            <w:shd w:val="clear" w:color="auto" w:fill="auto"/>
            <w:vAlign w:val="center"/>
            <w:hideMark/>
          </w:tcPr>
          <w:p w14:paraId="2FBBAA2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282C2C3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EDA6E7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3 </w:t>
            </w:r>
          </w:p>
        </w:tc>
        <w:tc>
          <w:tcPr>
            <w:tcW w:w="0" w:type="auto"/>
            <w:tcBorders>
              <w:top w:val="nil"/>
              <w:left w:val="nil"/>
              <w:bottom w:val="single" w:sz="8" w:space="0" w:color="auto"/>
              <w:right w:val="single" w:sz="8" w:space="0" w:color="auto"/>
            </w:tcBorders>
            <w:shd w:val="clear" w:color="auto" w:fill="auto"/>
            <w:vAlign w:val="center"/>
            <w:hideMark/>
          </w:tcPr>
          <w:p w14:paraId="0CCCFA1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Coopers Corners </w:t>
            </w:r>
          </w:p>
        </w:tc>
        <w:tc>
          <w:tcPr>
            <w:tcW w:w="0" w:type="auto"/>
            <w:tcBorders>
              <w:top w:val="nil"/>
              <w:left w:val="nil"/>
              <w:bottom w:val="single" w:sz="8" w:space="0" w:color="auto"/>
              <w:right w:val="single" w:sz="8" w:space="0" w:color="auto"/>
            </w:tcBorders>
            <w:shd w:val="clear" w:color="auto" w:fill="auto"/>
            <w:vAlign w:val="center"/>
            <w:hideMark/>
          </w:tcPr>
          <w:p w14:paraId="2EA4026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4FDEBE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Coopers Corners </w:t>
            </w:r>
          </w:p>
        </w:tc>
        <w:tc>
          <w:tcPr>
            <w:tcW w:w="0" w:type="auto"/>
            <w:tcBorders>
              <w:top w:val="nil"/>
              <w:left w:val="nil"/>
              <w:bottom w:val="single" w:sz="8" w:space="0" w:color="auto"/>
              <w:right w:val="single" w:sz="8" w:space="0" w:color="auto"/>
            </w:tcBorders>
            <w:shd w:val="clear" w:color="auto" w:fill="auto"/>
            <w:vAlign w:val="center"/>
            <w:hideMark/>
          </w:tcPr>
          <w:p w14:paraId="7C501B1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09ADA2E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1A8A1A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CCDA42 </w:t>
            </w:r>
          </w:p>
        </w:tc>
        <w:tc>
          <w:tcPr>
            <w:tcW w:w="0" w:type="auto"/>
            <w:tcBorders>
              <w:top w:val="nil"/>
              <w:left w:val="nil"/>
              <w:bottom w:val="single" w:sz="8" w:space="0" w:color="auto"/>
              <w:right w:val="single" w:sz="8" w:space="0" w:color="auto"/>
            </w:tcBorders>
            <w:shd w:val="clear" w:color="auto" w:fill="auto"/>
            <w:vAlign w:val="center"/>
            <w:hideMark/>
          </w:tcPr>
          <w:p w14:paraId="7D4D760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Coopers Corners </w:t>
            </w:r>
          </w:p>
        </w:tc>
        <w:tc>
          <w:tcPr>
            <w:tcW w:w="0" w:type="auto"/>
            <w:tcBorders>
              <w:top w:val="nil"/>
              <w:left w:val="nil"/>
              <w:bottom w:val="single" w:sz="8" w:space="0" w:color="auto"/>
              <w:right w:val="single" w:sz="8" w:space="0" w:color="auto"/>
            </w:tcBorders>
            <w:shd w:val="clear" w:color="auto" w:fill="auto"/>
            <w:vAlign w:val="center"/>
            <w:hideMark/>
          </w:tcPr>
          <w:p w14:paraId="1FB6C56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1BF39C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Dolson Ave </w:t>
            </w:r>
          </w:p>
        </w:tc>
        <w:tc>
          <w:tcPr>
            <w:tcW w:w="0" w:type="auto"/>
            <w:tcBorders>
              <w:top w:val="nil"/>
              <w:left w:val="nil"/>
              <w:bottom w:val="single" w:sz="8" w:space="0" w:color="auto"/>
              <w:right w:val="single" w:sz="8" w:space="0" w:color="auto"/>
            </w:tcBorders>
            <w:shd w:val="clear" w:color="auto" w:fill="auto"/>
            <w:vAlign w:val="center"/>
            <w:hideMark/>
          </w:tcPr>
          <w:p w14:paraId="6017BCA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D84D4D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54EFC9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CCRT-34</w:t>
            </w:r>
          </w:p>
        </w:tc>
        <w:tc>
          <w:tcPr>
            <w:tcW w:w="0" w:type="auto"/>
            <w:tcBorders>
              <w:top w:val="nil"/>
              <w:left w:val="nil"/>
              <w:bottom w:val="single" w:sz="8" w:space="0" w:color="auto"/>
              <w:right w:val="single" w:sz="8" w:space="0" w:color="auto"/>
            </w:tcBorders>
            <w:shd w:val="clear" w:color="auto" w:fill="auto"/>
            <w:vAlign w:val="center"/>
            <w:hideMark/>
          </w:tcPr>
          <w:p w14:paraId="223C043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Coopers Corners </w:t>
            </w:r>
          </w:p>
        </w:tc>
        <w:tc>
          <w:tcPr>
            <w:tcW w:w="0" w:type="auto"/>
            <w:tcBorders>
              <w:top w:val="nil"/>
              <w:left w:val="nil"/>
              <w:bottom w:val="single" w:sz="8" w:space="0" w:color="auto"/>
              <w:right w:val="single" w:sz="8" w:space="0" w:color="auto"/>
            </w:tcBorders>
            <w:shd w:val="clear" w:color="auto" w:fill="auto"/>
            <w:vAlign w:val="center"/>
            <w:hideMark/>
          </w:tcPr>
          <w:p w14:paraId="7379AA8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D8F2DD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Rock Tavern/Middletown</w:t>
            </w:r>
          </w:p>
        </w:tc>
        <w:tc>
          <w:tcPr>
            <w:tcW w:w="0" w:type="auto"/>
            <w:tcBorders>
              <w:top w:val="nil"/>
              <w:left w:val="nil"/>
              <w:bottom w:val="single" w:sz="8" w:space="0" w:color="auto"/>
              <w:right w:val="single" w:sz="8" w:space="0" w:color="auto"/>
            </w:tcBorders>
            <w:shd w:val="clear" w:color="auto" w:fill="auto"/>
            <w:vAlign w:val="center"/>
            <w:hideMark/>
          </w:tcPr>
          <w:p w14:paraId="18DE919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0DC82D9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BE69E7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UCC2-41 </w:t>
            </w:r>
          </w:p>
        </w:tc>
        <w:tc>
          <w:tcPr>
            <w:tcW w:w="0" w:type="auto"/>
            <w:tcBorders>
              <w:top w:val="nil"/>
              <w:left w:val="nil"/>
              <w:bottom w:val="single" w:sz="8" w:space="0" w:color="auto"/>
              <w:right w:val="single" w:sz="8" w:space="0" w:color="auto"/>
            </w:tcBorders>
            <w:shd w:val="clear" w:color="auto" w:fill="auto"/>
            <w:vAlign w:val="center"/>
            <w:hideMark/>
          </w:tcPr>
          <w:p w14:paraId="395A0AF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Coopers Corners </w:t>
            </w:r>
          </w:p>
        </w:tc>
        <w:tc>
          <w:tcPr>
            <w:tcW w:w="0" w:type="auto"/>
            <w:tcBorders>
              <w:top w:val="nil"/>
              <w:left w:val="nil"/>
              <w:bottom w:val="single" w:sz="8" w:space="0" w:color="auto"/>
              <w:right w:val="single" w:sz="8" w:space="0" w:color="auto"/>
            </w:tcBorders>
            <w:shd w:val="clear" w:color="auto" w:fill="auto"/>
            <w:vAlign w:val="center"/>
            <w:hideMark/>
          </w:tcPr>
          <w:p w14:paraId="4E6316A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A698AC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Marcy </w:t>
            </w:r>
          </w:p>
        </w:tc>
        <w:tc>
          <w:tcPr>
            <w:tcW w:w="0" w:type="auto"/>
            <w:tcBorders>
              <w:top w:val="nil"/>
              <w:left w:val="nil"/>
              <w:bottom w:val="single" w:sz="8" w:space="0" w:color="auto"/>
              <w:right w:val="single" w:sz="8" w:space="0" w:color="auto"/>
            </w:tcBorders>
            <w:shd w:val="clear" w:color="auto" w:fill="auto"/>
            <w:vAlign w:val="center"/>
            <w:hideMark/>
          </w:tcPr>
          <w:p w14:paraId="4DFD699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1932156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389664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F83</w:t>
            </w:r>
          </w:p>
        </w:tc>
        <w:tc>
          <w:tcPr>
            <w:tcW w:w="0" w:type="auto"/>
            <w:tcBorders>
              <w:top w:val="nil"/>
              <w:left w:val="nil"/>
              <w:bottom w:val="single" w:sz="8" w:space="0" w:color="auto"/>
              <w:right w:val="single" w:sz="8" w:space="0" w:color="auto"/>
            </w:tcBorders>
            <w:shd w:val="clear" w:color="auto" w:fill="auto"/>
            <w:vAlign w:val="center"/>
            <w:hideMark/>
          </w:tcPr>
          <w:p w14:paraId="5926622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Cricket Valley</w:t>
            </w:r>
          </w:p>
        </w:tc>
        <w:tc>
          <w:tcPr>
            <w:tcW w:w="0" w:type="auto"/>
            <w:tcBorders>
              <w:top w:val="nil"/>
              <w:left w:val="nil"/>
              <w:bottom w:val="single" w:sz="8" w:space="0" w:color="auto"/>
              <w:right w:val="single" w:sz="8" w:space="0" w:color="auto"/>
            </w:tcBorders>
            <w:shd w:val="clear" w:color="auto" w:fill="auto"/>
            <w:vAlign w:val="center"/>
            <w:hideMark/>
          </w:tcPr>
          <w:p w14:paraId="3090454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9BE060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Pleasant Valley</w:t>
            </w:r>
          </w:p>
        </w:tc>
        <w:tc>
          <w:tcPr>
            <w:tcW w:w="0" w:type="auto"/>
            <w:tcBorders>
              <w:top w:val="nil"/>
              <w:left w:val="nil"/>
              <w:bottom w:val="single" w:sz="8" w:space="0" w:color="auto"/>
              <w:right w:val="single" w:sz="8" w:space="0" w:color="auto"/>
            </w:tcBorders>
            <w:shd w:val="clear" w:color="auto" w:fill="auto"/>
            <w:vAlign w:val="center"/>
            <w:hideMark/>
          </w:tcPr>
          <w:p w14:paraId="79FA7A4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4243BCF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16B734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F84</w:t>
            </w:r>
          </w:p>
        </w:tc>
        <w:tc>
          <w:tcPr>
            <w:tcW w:w="0" w:type="auto"/>
            <w:tcBorders>
              <w:top w:val="nil"/>
              <w:left w:val="nil"/>
              <w:bottom w:val="single" w:sz="8" w:space="0" w:color="auto"/>
              <w:right w:val="single" w:sz="8" w:space="0" w:color="auto"/>
            </w:tcBorders>
            <w:shd w:val="clear" w:color="auto" w:fill="auto"/>
            <w:vAlign w:val="center"/>
            <w:hideMark/>
          </w:tcPr>
          <w:p w14:paraId="0232050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Cricket Valley</w:t>
            </w:r>
          </w:p>
        </w:tc>
        <w:tc>
          <w:tcPr>
            <w:tcW w:w="0" w:type="auto"/>
            <w:tcBorders>
              <w:top w:val="nil"/>
              <w:left w:val="nil"/>
              <w:bottom w:val="single" w:sz="8" w:space="0" w:color="auto"/>
              <w:right w:val="single" w:sz="8" w:space="0" w:color="auto"/>
            </w:tcBorders>
            <w:shd w:val="clear" w:color="auto" w:fill="auto"/>
            <w:vAlign w:val="center"/>
            <w:hideMark/>
          </w:tcPr>
          <w:p w14:paraId="53F75A5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350DCE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Pleasant Valley</w:t>
            </w:r>
          </w:p>
        </w:tc>
        <w:tc>
          <w:tcPr>
            <w:tcW w:w="0" w:type="auto"/>
            <w:tcBorders>
              <w:top w:val="nil"/>
              <w:left w:val="nil"/>
              <w:bottom w:val="single" w:sz="8" w:space="0" w:color="auto"/>
              <w:right w:val="single" w:sz="8" w:space="0" w:color="auto"/>
            </w:tcBorders>
            <w:shd w:val="clear" w:color="auto" w:fill="auto"/>
            <w:vAlign w:val="center"/>
            <w:hideMark/>
          </w:tcPr>
          <w:p w14:paraId="60373D9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0B19687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BB58FD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398</w:t>
            </w:r>
          </w:p>
        </w:tc>
        <w:tc>
          <w:tcPr>
            <w:tcW w:w="0" w:type="auto"/>
            <w:tcBorders>
              <w:top w:val="nil"/>
              <w:left w:val="nil"/>
              <w:bottom w:val="single" w:sz="8" w:space="0" w:color="auto"/>
              <w:right w:val="single" w:sz="8" w:space="0" w:color="auto"/>
            </w:tcBorders>
            <w:shd w:val="clear" w:color="auto" w:fill="auto"/>
            <w:vAlign w:val="center"/>
            <w:hideMark/>
          </w:tcPr>
          <w:p w14:paraId="3F5C472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Cricket Valley</w:t>
            </w:r>
          </w:p>
        </w:tc>
        <w:tc>
          <w:tcPr>
            <w:tcW w:w="0" w:type="auto"/>
            <w:tcBorders>
              <w:top w:val="nil"/>
              <w:left w:val="nil"/>
              <w:bottom w:val="single" w:sz="8" w:space="0" w:color="auto"/>
              <w:right w:val="single" w:sz="8" w:space="0" w:color="auto"/>
            </w:tcBorders>
            <w:shd w:val="clear" w:color="auto" w:fill="auto"/>
            <w:vAlign w:val="center"/>
            <w:hideMark/>
          </w:tcPr>
          <w:p w14:paraId="5223974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A6EC03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Long Mountain (NE)</w:t>
            </w:r>
          </w:p>
        </w:tc>
        <w:tc>
          <w:tcPr>
            <w:tcW w:w="0" w:type="auto"/>
            <w:tcBorders>
              <w:top w:val="nil"/>
              <w:left w:val="nil"/>
              <w:bottom w:val="single" w:sz="8" w:space="0" w:color="auto"/>
              <w:right w:val="single" w:sz="8" w:space="0" w:color="auto"/>
            </w:tcBorders>
            <w:shd w:val="clear" w:color="auto" w:fill="auto"/>
            <w:vAlign w:val="center"/>
            <w:hideMark/>
          </w:tcPr>
          <w:p w14:paraId="45D1579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D12618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8C94A5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MSUT-1</w:t>
            </w:r>
          </w:p>
        </w:tc>
        <w:tc>
          <w:tcPr>
            <w:tcW w:w="0" w:type="auto"/>
            <w:tcBorders>
              <w:top w:val="nil"/>
              <w:left w:val="nil"/>
              <w:bottom w:val="single" w:sz="8" w:space="0" w:color="auto"/>
              <w:right w:val="single" w:sz="8" w:space="0" w:color="auto"/>
            </w:tcBorders>
            <w:shd w:val="clear" w:color="auto" w:fill="auto"/>
            <w:vAlign w:val="center"/>
            <w:hideMark/>
          </w:tcPr>
          <w:p w14:paraId="0D35AC6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Cricket Valley</w:t>
            </w:r>
          </w:p>
        </w:tc>
        <w:tc>
          <w:tcPr>
            <w:tcW w:w="0" w:type="auto"/>
            <w:tcBorders>
              <w:top w:val="nil"/>
              <w:left w:val="nil"/>
              <w:bottom w:val="single" w:sz="8" w:space="0" w:color="auto"/>
              <w:right w:val="single" w:sz="8" w:space="0" w:color="auto"/>
            </w:tcBorders>
            <w:shd w:val="clear" w:color="auto" w:fill="auto"/>
            <w:vAlign w:val="center"/>
            <w:hideMark/>
          </w:tcPr>
          <w:p w14:paraId="5F24634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20195E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Cricket Valley</w:t>
            </w:r>
          </w:p>
        </w:tc>
        <w:tc>
          <w:tcPr>
            <w:tcW w:w="0" w:type="auto"/>
            <w:tcBorders>
              <w:top w:val="nil"/>
              <w:left w:val="nil"/>
              <w:bottom w:val="single" w:sz="8" w:space="0" w:color="auto"/>
              <w:right w:val="single" w:sz="8" w:space="0" w:color="auto"/>
            </w:tcBorders>
            <w:shd w:val="clear" w:color="auto" w:fill="auto"/>
            <w:vAlign w:val="center"/>
            <w:hideMark/>
          </w:tcPr>
          <w:p w14:paraId="61E0831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18</w:t>
            </w:r>
          </w:p>
        </w:tc>
      </w:tr>
      <w:tr w:rsidR="00FF49F1" w:rsidRPr="00FF49F1" w14:paraId="435B305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5342CC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MSUT-2</w:t>
            </w:r>
          </w:p>
        </w:tc>
        <w:tc>
          <w:tcPr>
            <w:tcW w:w="0" w:type="auto"/>
            <w:tcBorders>
              <w:top w:val="nil"/>
              <w:left w:val="nil"/>
              <w:bottom w:val="single" w:sz="8" w:space="0" w:color="auto"/>
              <w:right w:val="single" w:sz="8" w:space="0" w:color="auto"/>
            </w:tcBorders>
            <w:shd w:val="clear" w:color="auto" w:fill="auto"/>
            <w:vAlign w:val="center"/>
            <w:hideMark/>
          </w:tcPr>
          <w:p w14:paraId="7DA73CC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Cricket Valley</w:t>
            </w:r>
          </w:p>
        </w:tc>
        <w:tc>
          <w:tcPr>
            <w:tcW w:w="0" w:type="auto"/>
            <w:tcBorders>
              <w:top w:val="nil"/>
              <w:left w:val="nil"/>
              <w:bottom w:val="single" w:sz="8" w:space="0" w:color="auto"/>
              <w:right w:val="single" w:sz="8" w:space="0" w:color="auto"/>
            </w:tcBorders>
            <w:shd w:val="clear" w:color="auto" w:fill="auto"/>
            <w:vAlign w:val="center"/>
            <w:hideMark/>
          </w:tcPr>
          <w:p w14:paraId="13D3F17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4E250C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Cricket Valley</w:t>
            </w:r>
          </w:p>
        </w:tc>
        <w:tc>
          <w:tcPr>
            <w:tcW w:w="0" w:type="auto"/>
            <w:tcBorders>
              <w:top w:val="nil"/>
              <w:left w:val="nil"/>
              <w:bottom w:val="single" w:sz="8" w:space="0" w:color="auto"/>
              <w:right w:val="single" w:sz="8" w:space="0" w:color="auto"/>
            </w:tcBorders>
            <w:shd w:val="clear" w:color="auto" w:fill="auto"/>
            <w:vAlign w:val="center"/>
            <w:hideMark/>
          </w:tcPr>
          <w:p w14:paraId="3942664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18</w:t>
            </w:r>
          </w:p>
        </w:tc>
      </w:tr>
      <w:tr w:rsidR="00FF49F1" w:rsidRPr="00FF49F1" w14:paraId="38721E9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C59BB4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MSUT-3</w:t>
            </w:r>
          </w:p>
        </w:tc>
        <w:tc>
          <w:tcPr>
            <w:tcW w:w="0" w:type="auto"/>
            <w:tcBorders>
              <w:top w:val="nil"/>
              <w:left w:val="nil"/>
              <w:bottom w:val="single" w:sz="8" w:space="0" w:color="auto"/>
              <w:right w:val="single" w:sz="8" w:space="0" w:color="auto"/>
            </w:tcBorders>
            <w:shd w:val="clear" w:color="auto" w:fill="auto"/>
            <w:vAlign w:val="center"/>
            <w:hideMark/>
          </w:tcPr>
          <w:p w14:paraId="3971F4B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Cricket Valley</w:t>
            </w:r>
          </w:p>
        </w:tc>
        <w:tc>
          <w:tcPr>
            <w:tcW w:w="0" w:type="auto"/>
            <w:tcBorders>
              <w:top w:val="nil"/>
              <w:left w:val="nil"/>
              <w:bottom w:val="single" w:sz="8" w:space="0" w:color="auto"/>
              <w:right w:val="single" w:sz="8" w:space="0" w:color="auto"/>
            </w:tcBorders>
            <w:shd w:val="clear" w:color="auto" w:fill="auto"/>
            <w:vAlign w:val="center"/>
            <w:hideMark/>
          </w:tcPr>
          <w:p w14:paraId="63C7237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9A7A10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Cricket Valley</w:t>
            </w:r>
          </w:p>
        </w:tc>
        <w:tc>
          <w:tcPr>
            <w:tcW w:w="0" w:type="auto"/>
            <w:tcBorders>
              <w:top w:val="nil"/>
              <w:left w:val="nil"/>
              <w:bottom w:val="single" w:sz="8" w:space="0" w:color="auto"/>
              <w:right w:val="single" w:sz="8" w:space="0" w:color="auto"/>
            </w:tcBorders>
            <w:shd w:val="clear" w:color="auto" w:fill="auto"/>
            <w:vAlign w:val="center"/>
            <w:hideMark/>
          </w:tcPr>
          <w:p w14:paraId="5ED8A65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18</w:t>
            </w:r>
          </w:p>
        </w:tc>
      </w:tr>
      <w:tr w:rsidR="00FF49F1" w:rsidRPr="00FF49F1" w14:paraId="56F360E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D0B54A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22</w:t>
            </w:r>
          </w:p>
        </w:tc>
        <w:tc>
          <w:tcPr>
            <w:tcW w:w="0" w:type="auto"/>
            <w:tcBorders>
              <w:top w:val="nil"/>
              <w:left w:val="nil"/>
              <w:bottom w:val="single" w:sz="8" w:space="0" w:color="auto"/>
              <w:right w:val="single" w:sz="8" w:space="0" w:color="auto"/>
            </w:tcBorders>
            <w:shd w:val="clear" w:color="auto" w:fill="auto"/>
            <w:vAlign w:val="center"/>
            <w:hideMark/>
          </w:tcPr>
          <w:p w14:paraId="06BC4CF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Dewitt </w:t>
            </w:r>
          </w:p>
        </w:tc>
        <w:tc>
          <w:tcPr>
            <w:tcW w:w="0" w:type="auto"/>
            <w:tcBorders>
              <w:top w:val="nil"/>
              <w:left w:val="nil"/>
              <w:bottom w:val="single" w:sz="8" w:space="0" w:color="auto"/>
              <w:right w:val="single" w:sz="8" w:space="0" w:color="auto"/>
            </w:tcBorders>
            <w:shd w:val="clear" w:color="auto" w:fill="auto"/>
            <w:vAlign w:val="center"/>
            <w:hideMark/>
          </w:tcPr>
          <w:p w14:paraId="00E04FB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85F89C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Lafayette </w:t>
            </w:r>
          </w:p>
        </w:tc>
        <w:tc>
          <w:tcPr>
            <w:tcW w:w="0" w:type="auto"/>
            <w:tcBorders>
              <w:top w:val="nil"/>
              <w:left w:val="nil"/>
              <w:bottom w:val="single" w:sz="8" w:space="0" w:color="auto"/>
              <w:right w:val="single" w:sz="8" w:space="0" w:color="auto"/>
            </w:tcBorders>
            <w:shd w:val="clear" w:color="auto" w:fill="auto"/>
            <w:vAlign w:val="center"/>
            <w:hideMark/>
          </w:tcPr>
          <w:p w14:paraId="4435971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AAE42D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1D9FD5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32D9215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Dewitt </w:t>
            </w:r>
          </w:p>
        </w:tc>
        <w:tc>
          <w:tcPr>
            <w:tcW w:w="0" w:type="auto"/>
            <w:tcBorders>
              <w:top w:val="nil"/>
              <w:left w:val="nil"/>
              <w:bottom w:val="single" w:sz="8" w:space="0" w:color="auto"/>
              <w:right w:val="single" w:sz="8" w:space="0" w:color="auto"/>
            </w:tcBorders>
            <w:shd w:val="clear" w:color="auto" w:fill="auto"/>
            <w:vAlign w:val="center"/>
            <w:hideMark/>
          </w:tcPr>
          <w:p w14:paraId="4EE0D08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1ADE28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Dewitt </w:t>
            </w:r>
          </w:p>
        </w:tc>
        <w:tc>
          <w:tcPr>
            <w:tcW w:w="0" w:type="auto"/>
            <w:tcBorders>
              <w:top w:val="nil"/>
              <w:left w:val="nil"/>
              <w:bottom w:val="single" w:sz="8" w:space="0" w:color="auto"/>
              <w:right w:val="single" w:sz="8" w:space="0" w:color="auto"/>
            </w:tcBorders>
            <w:shd w:val="clear" w:color="auto" w:fill="auto"/>
            <w:vAlign w:val="center"/>
            <w:hideMark/>
          </w:tcPr>
          <w:p w14:paraId="26D73F9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6828E7F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A470F8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DART44 </w:t>
            </w:r>
          </w:p>
        </w:tc>
        <w:tc>
          <w:tcPr>
            <w:tcW w:w="0" w:type="auto"/>
            <w:tcBorders>
              <w:top w:val="nil"/>
              <w:left w:val="nil"/>
              <w:bottom w:val="single" w:sz="8" w:space="0" w:color="auto"/>
              <w:right w:val="single" w:sz="8" w:space="0" w:color="auto"/>
            </w:tcBorders>
            <w:shd w:val="clear" w:color="auto" w:fill="auto"/>
            <w:vAlign w:val="center"/>
            <w:hideMark/>
          </w:tcPr>
          <w:p w14:paraId="132C0E6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Dolson Ave </w:t>
            </w:r>
          </w:p>
        </w:tc>
        <w:tc>
          <w:tcPr>
            <w:tcW w:w="0" w:type="auto"/>
            <w:tcBorders>
              <w:top w:val="nil"/>
              <w:left w:val="nil"/>
              <w:bottom w:val="single" w:sz="8" w:space="0" w:color="auto"/>
              <w:right w:val="single" w:sz="8" w:space="0" w:color="auto"/>
            </w:tcBorders>
            <w:shd w:val="clear" w:color="auto" w:fill="auto"/>
            <w:vAlign w:val="center"/>
            <w:hideMark/>
          </w:tcPr>
          <w:p w14:paraId="1C3072C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9B050C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Rock Tavern </w:t>
            </w:r>
          </w:p>
        </w:tc>
        <w:tc>
          <w:tcPr>
            <w:tcW w:w="0" w:type="auto"/>
            <w:tcBorders>
              <w:top w:val="nil"/>
              <w:left w:val="nil"/>
              <w:bottom w:val="single" w:sz="8" w:space="0" w:color="auto"/>
              <w:right w:val="single" w:sz="8" w:space="0" w:color="auto"/>
            </w:tcBorders>
            <w:shd w:val="clear" w:color="auto" w:fill="auto"/>
            <w:vAlign w:val="center"/>
            <w:hideMark/>
          </w:tcPr>
          <w:p w14:paraId="4C18A2C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6C6A3B8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457890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501</w:t>
            </w:r>
          </w:p>
        </w:tc>
        <w:tc>
          <w:tcPr>
            <w:tcW w:w="0" w:type="auto"/>
            <w:tcBorders>
              <w:top w:val="nil"/>
              <w:left w:val="nil"/>
              <w:bottom w:val="single" w:sz="8" w:space="0" w:color="auto"/>
              <w:right w:val="single" w:sz="8" w:space="0" w:color="auto"/>
            </w:tcBorders>
            <w:shd w:val="clear" w:color="auto" w:fill="auto"/>
            <w:vAlign w:val="center"/>
            <w:hideMark/>
          </w:tcPr>
          <w:p w14:paraId="2D30C86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Duffy Ave </w:t>
            </w:r>
          </w:p>
        </w:tc>
        <w:tc>
          <w:tcPr>
            <w:tcW w:w="0" w:type="auto"/>
            <w:tcBorders>
              <w:top w:val="nil"/>
              <w:left w:val="nil"/>
              <w:bottom w:val="single" w:sz="8" w:space="0" w:color="auto"/>
              <w:right w:val="single" w:sz="8" w:space="0" w:color="auto"/>
            </w:tcBorders>
            <w:shd w:val="clear" w:color="auto" w:fill="auto"/>
            <w:vAlign w:val="center"/>
            <w:hideMark/>
          </w:tcPr>
          <w:p w14:paraId="43840E3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C228A8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Newbridge Road </w:t>
            </w:r>
          </w:p>
        </w:tc>
        <w:tc>
          <w:tcPr>
            <w:tcW w:w="0" w:type="auto"/>
            <w:tcBorders>
              <w:top w:val="nil"/>
              <w:left w:val="nil"/>
              <w:bottom w:val="single" w:sz="8" w:space="0" w:color="auto"/>
              <w:right w:val="single" w:sz="8" w:space="0" w:color="auto"/>
            </w:tcBorders>
            <w:shd w:val="clear" w:color="auto" w:fill="auto"/>
            <w:vAlign w:val="center"/>
            <w:hideMark/>
          </w:tcPr>
          <w:p w14:paraId="142862F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1BAE0A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279BB8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71</w:t>
            </w:r>
          </w:p>
        </w:tc>
        <w:tc>
          <w:tcPr>
            <w:tcW w:w="0" w:type="auto"/>
            <w:tcBorders>
              <w:top w:val="nil"/>
              <w:left w:val="nil"/>
              <w:bottom w:val="single" w:sz="8" w:space="0" w:color="auto"/>
              <w:right w:val="single" w:sz="8" w:space="0" w:color="auto"/>
            </w:tcBorders>
            <w:shd w:val="clear" w:color="auto" w:fill="auto"/>
            <w:vAlign w:val="center"/>
            <w:hideMark/>
          </w:tcPr>
          <w:p w14:paraId="531BE0AA"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Dunwoodie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6F86C38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0090AB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Mott Haven </w:t>
            </w:r>
          </w:p>
        </w:tc>
        <w:tc>
          <w:tcPr>
            <w:tcW w:w="0" w:type="auto"/>
            <w:tcBorders>
              <w:top w:val="nil"/>
              <w:left w:val="nil"/>
              <w:bottom w:val="single" w:sz="8" w:space="0" w:color="auto"/>
              <w:right w:val="single" w:sz="8" w:space="0" w:color="auto"/>
            </w:tcBorders>
            <w:shd w:val="clear" w:color="auto" w:fill="auto"/>
            <w:vAlign w:val="center"/>
            <w:hideMark/>
          </w:tcPr>
          <w:p w14:paraId="15EC9FC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9CAAC9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949191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72</w:t>
            </w:r>
          </w:p>
        </w:tc>
        <w:tc>
          <w:tcPr>
            <w:tcW w:w="0" w:type="auto"/>
            <w:tcBorders>
              <w:top w:val="nil"/>
              <w:left w:val="nil"/>
              <w:bottom w:val="single" w:sz="8" w:space="0" w:color="auto"/>
              <w:right w:val="single" w:sz="8" w:space="0" w:color="auto"/>
            </w:tcBorders>
            <w:shd w:val="clear" w:color="auto" w:fill="auto"/>
            <w:vAlign w:val="center"/>
            <w:hideMark/>
          </w:tcPr>
          <w:p w14:paraId="345490ED"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Dunwoodie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2B489A7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B5A437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Mott Haven </w:t>
            </w:r>
          </w:p>
        </w:tc>
        <w:tc>
          <w:tcPr>
            <w:tcW w:w="0" w:type="auto"/>
            <w:tcBorders>
              <w:top w:val="nil"/>
              <w:left w:val="nil"/>
              <w:bottom w:val="single" w:sz="8" w:space="0" w:color="auto"/>
              <w:right w:val="single" w:sz="8" w:space="0" w:color="auto"/>
            </w:tcBorders>
            <w:shd w:val="clear" w:color="auto" w:fill="auto"/>
            <w:vAlign w:val="center"/>
            <w:hideMark/>
          </w:tcPr>
          <w:p w14:paraId="70DBC2B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583C812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F4B23B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W73/BK S1</w:t>
            </w:r>
          </w:p>
        </w:tc>
        <w:tc>
          <w:tcPr>
            <w:tcW w:w="0" w:type="auto"/>
            <w:tcBorders>
              <w:top w:val="nil"/>
              <w:left w:val="nil"/>
              <w:bottom w:val="single" w:sz="8" w:space="0" w:color="auto"/>
              <w:right w:val="single" w:sz="8" w:space="0" w:color="auto"/>
            </w:tcBorders>
            <w:shd w:val="clear" w:color="auto" w:fill="auto"/>
            <w:vAlign w:val="center"/>
            <w:hideMark/>
          </w:tcPr>
          <w:p w14:paraId="70A54884"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Dunwoodie</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0FDBDC8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0A7E22A"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Dunwoodie</w:t>
            </w:r>
            <w:proofErr w:type="spellEnd"/>
            <w:r w:rsidRPr="00FF49F1">
              <w:rPr>
                <w:rFonts w:ascii="Calibri" w:hAnsi="Calibri" w:cs="Calibri"/>
                <w:color w:val="000000"/>
                <w:sz w:val="16"/>
                <w:szCs w:val="16"/>
                <w:lang w:bidi="ar-SA"/>
              </w:rPr>
              <w:t xml:space="preserve"> South</w:t>
            </w:r>
          </w:p>
        </w:tc>
        <w:tc>
          <w:tcPr>
            <w:tcW w:w="0" w:type="auto"/>
            <w:tcBorders>
              <w:top w:val="nil"/>
              <w:left w:val="nil"/>
              <w:bottom w:val="single" w:sz="8" w:space="0" w:color="auto"/>
              <w:right w:val="single" w:sz="8" w:space="0" w:color="auto"/>
            </w:tcBorders>
            <w:shd w:val="clear" w:color="auto" w:fill="auto"/>
            <w:vAlign w:val="center"/>
            <w:hideMark/>
          </w:tcPr>
          <w:p w14:paraId="439C24C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559F62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433685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W74/BK N1</w:t>
            </w:r>
          </w:p>
        </w:tc>
        <w:tc>
          <w:tcPr>
            <w:tcW w:w="0" w:type="auto"/>
            <w:tcBorders>
              <w:top w:val="nil"/>
              <w:left w:val="nil"/>
              <w:bottom w:val="single" w:sz="8" w:space="0" w:color="auto"/>
              <w:right w:val="single" w:sz="8" w:space="0" w:color="auto"/>
            </w:tcBorders>
            <w:shd w:val="clear" w:color="auto" w:fill="auto"/>
            <w:vAlign w:val="center"/>
            <w:hideMark/>
          </w:tcPr>
          <w:p w14:paraId="6336D421"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Dunwoodie</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4974DFD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3BCEE04"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Dunwoodie</w:t>
            </w:r>
            <w:proofErr w:type="spellEnd"/>
            <w:r w:rsidRPr="00FF49F1">
              <w:rPr>
                <w:rFonts w:ascii="Calibri" w:hAnsi="Calibri" w:cs="Calibri"/>
                <w:color w:val="000000"/>
                <w:sz w:val="16"/>
                <w:szCs w:val="16"/>
                <w:lang w:bidi="ar-SA"/>
              </w:rPr>
              <w:t xml:space="preserve"> North</w:t>
            </w:r>
          </w:p>
        </w:tc>
        <w:tc>
          <w:tcPr>
            <w:tcW w:w="0" w:type="auto"/>
            <w:tcBorders>
              <w:top w:val="nil"/>
              <w:left w:val="nil"/>
              <w:bottom w:val="single" w:sz="8" w:space="0" w:color="auto"/>
              <w:right w:val="single" w:sz="8" w:space="0" w:color="auto"/>
            </w:tcBorders>
            <w:shd w:val="clear" w:color="auto" w:fill="auto"/>
            <w:vAlign w:val="center"/>
            <w:hideMark/>
          </w:tcPr>
          <w:p w14:paraId="2203C2E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62669CE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7444FB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W75 </w:t>
            </w:r>
          </w:p>
        </w:tc>
        <w:tc>
          <w:tcPr>
            <w:tcW w:w="0" w:type="auto"/>
            <w:tcBorders>
              <w:top w:val="nil"/>
              <w:left w:val="nil"/>
              <w:bottom w:val="single" w:sz="8" w:space="0" w:color="auto"/>
              <w:right w:val="single" w:sz="8" w:space="0" w:color="auto"/>
            </w:tcBorders>
            <w:shd w:val="clear" w:color="auto" w:fill="auto"/>
            <w:vAlign w:val="center"/>
            <w:hideMark/>
          </w:tcPr>
          <w:p w14:paraId="42B3FA40"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Dunwoodie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0D94350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9C2335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Sprain Brook </w:t>
            </w:r>
          </w:p>
        </w:tc>
        <w:tc>
          <w:tcPr>
            <w:tcW w:w="0" w:type="auto"/>
            <w:tcBorders>
              <w:top w:val="nil"/>
              <w:left w:val="nil"/>
              <w:bottom w:val="single" w:sz="8" w:space="0" w:color="auto"/>
              <w:right w:val="single" w:sz="8" w:space="0" w:color="auto"/>
            </w:tcBorders>
            <w:shd w:val="clear" w:color="auto" w:fill="auto"/>
            <w:vAlign w:val="center"/>
            <w:hideMark/>
          </w:tcPr>
          <w:p w14:paraId="7A38717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542B958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59F2C1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W89 </w:t>
            </w:r>
          </w:p>
        </w:tc>
        <w:tc>
          <w:tcPr>
            <w:tcW w:w="0" w:type="auto"/>
            <w:tcBorders>
              <w:top w:val="nil"/>
              <w:left w:val="nil"/>
              <w:bottom w:val="single" w:sz="8" w:space="0" w:color="auto"/>
              <w:right w:val="single" w:sz="8" w:space="0" w:color="auto"/>
            </w:tcBorders>
            <w:shd w:val="clear" w:color="auto" w:fill="auto"/>
            <w:vAlign w:val="center"/>
            <w:hideMark/>
          </w:tcPr>
          <w:p w14:paraId="166BD2E4"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Dunwoodie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4186287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2CAC9C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Pleasantville </w:t>
            </w:r>
          </w:p>
        </w:tc>
        <w:tc>
          <w:tcPr>
            <w:tcW w:w="0" w:type="auto"/>
            <w:tcBorders>
              <w:top w:val="nil"/>
              <w:left w:val="nil"/>
              <w:bottom w:val="single" w:sz="8" w:space="0" w:color="auto"/>
              <w:right w:val="single" w:sz="8" w:space="0" w:color="auto"/>
            </w:tcBorders>
            <w:shd w:val="clear" w:color="auto" w:fill="auto"/>
            <w:vAlign w:val="center"/>
            <w:hideMark/>
          </w:tcPr>
          <w:p w14:paraId="48AA9BE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01FEBB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714471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W90 </w:t>
            </w:r>
          </w:p>
        </w:tc>
        <w:tc>
          <w:tcPr>
            <w:tcW w:w="0" w:type="auto"/>
            <w:tcBorders>
              <w:top w:val="nil"/>
              <w:left w:val="nil"/>
              <w:bottom w:val="single" w:sz="8" w:space="0" w:color="auto"/>
              <w:right w:val="single" w:sz="8" w:space="0" w:color="auto"/>
            </w:tcBorders>
            <w:shd w:val="clear" w:color="auto" w:fill="auto"/>
            <w:vAlign w:val="center"/>
            <w:hideMark/>
          </w:tcPr>
          <w:p w14:paraId="4FF91307"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Dunwoodie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215BD82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B80E7A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Pleasantville </w:t>
            </w:r>
          </w:p>
        </w:tc>
        <w:tc>
          <w:tcPr>
            <w:tcW w:w="0" w:type="auto"/>
            <w:tcBorders>
              <w:top w:val="nil"/>
              <w:left w:val="nil"/>
              <w:bottom w:val="single" w:sz="8" w:space="0" w:color="auto"/>
              <w:right w:val="single" w:sz="8" w:space="0" w:color="auto"/>
            </w:tcBorders>
            <w:shd w:val="clear" w:color="auto" w:fill="auto"/>
            <w:vAlign w:val="center"/>
            <w:hideMark/>
          </w:tcPr>
          <w:p w14:paraId="7B43B91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5ADDA95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3A28ED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Y50 </w:t>
            </w:r>
          </w:p>
        </w:tc>
        <w:tc>
          <w:tcPr>
            <w:tcW w:w="0" w:type="auto"/>
            <w:tcBorders>
              <w:top w:val="nil"/>
              <w:left w:val="nil"/>
              <w:bottom w:val="single" w:sz="8" w:space="0" w:color="auto"/>
              <w:right w:val="single" w:sz="8" w:space="0" w:color="auto"/>
            </w:tcBorders>
            <w:shd w:val="clear" w:color="auto" w:fill="auto"/>
            <w:vAlign w:val="center"/>
            <w:hideMark/>
          </w:tcPr>
          <w:p w14:paraId="5E4EB355"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Dunwoodie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0C42ACE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4F0F34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Shore Road </w:t>
            </w:r>
          </w:p>
        </w:tc>
        <w:tc>
          <w:tcPr>
            <w:tcW w:w="0" w:type="auto"/>
            <w:tcBorders>
              <w:top w:val="nil"/>
              <w:left w:val="nil"/>
              <w:bottom w:val="single" w:sz="8" w:space="0" w:color="auto"/>
              <w:right w:val="single" w:sz="8" w:space="0" w:color="auto"/>
            </w:tcBorders>
            <w:shd w:val="clear" w:color="auto" w:fill="auto"/>
            <w:vAlign w:val="center"/>
            <w:hideMark/>
          </w:tcPr>
          <w:p w14:paraId="5AB1322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07DBC0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4B6E1D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lastRenderedPageBreak/>
              <w:t xml:space="preserve">BK 17 </w:t>
            </w:r>
          </w:p>
        </w:tc>
        <w:tc>
          <w:tcPr>
            <w:tcW w:w="0" w:type="auto"/>
            <w:tcBorders>
              <w:top w:val="nil"/>
              <w:left w:val="nil"/>
              <w:bottom w:val="single" w:sz="8" w:space="0" w:color="auto"/>
              <w:right w:val="single" w:sz="8" w:space="0" w:color="auto"/>
            </w:tcBorders>
            <w:shd w:val="clear" w:color="auto" w:fill="auto"/>
            <w:vAlign w:val="center"/>
            <w:hideMark/>
          </w:tcPr>
          <w:p w14:paraId="7702265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w:t>
            </w:r>
          </w:p>
        </w:tc>
        <w:tc>
          <w:tcPr>
            <w:tcW w:w="0" w:type="auto"/>
            <w:tcBorders>
              <w:top w:val="nil"/>
              <w:left w:val="nil"/>
              <w:bottom w:val="single" w:sz="8" w:space="0" w:color="auto"/>
              <w:right w:val="single" w:sz="8" w:space="0" w:color="auto"/>
            </w:tcBorders>
            <w:shd w:val="clear" w:color="auto" w:fill="auto"/>
            <w:vAlign w:val="center"/>
            <w:hideMark/>
          </w:tcPr>
          <w:p w14:paraId="28864E9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38104E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w:t>
            </w:r>
          </w:p>
        </w:tc>
        <w:tc>
          <w:tcPr>
            <w:tcW w:w="0" w:type="auto"/>
            <w:tcBorders>
              <w:top w:val="nil"/>
              <w:left w:val="nil"/>
              <w:bottom w:val="single" w:sz="8" w:space="0" w:color="auto"/>
              <w:right w:val="single" w:sz="8" w:space="0" w:color="auto"/>
            </w:tcBorders>
            <w:shd w:val="clear" w:color="auto" w:fill="auto"/>
            <w:vAlign w:val="center"/>
            <w:hideMark/>
          </w:tcPr>
          <w:p w14:paraId="47A56E1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69</w:t>
            </w:r>
          </w:p>
        </w:tc>
      </w:tr>
      <w:tr w:rsidR="00FF49F1" w:rsidRPr="00FF49F1" w14:paraId="2BA07A2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2A3378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45</w:t>
            </w:r>
          </w:p>
        </w:tc>
        <w:tc>
          <w:tcPr>
            <w:tcW w:w="0" w:type="auto"/>
            <w:tcBorders>
              <w:top w:val="nil"/>
              <w:left w:val="nil"/>
              <w:bottom w:val="single" w:sz="8" w:space="0" w:color="auto"/>
              <w:right w:val="single" w:sz="8" w:space="0" w:color="auto"/>
            </w:tcBorders>
            <w:shd w:val="clear" w:color="auto" w:fill="auto"/>
            <w:vAlign w:val="center"/>
            <w:hideMark/>
          </w:tcPr>
          <w:p w14:paraId="2A97025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A </w:t>
            </w:r>
          </w:p>
        </w:tc>
        <w:tc>
          <w:tcPr>
            <w:tcW w:w="0" w:type="auto"/>
            <w:tcBorders>
              <w:top w:val="nil"/>
              <w:left w:val="nil"/>
              <w:bottom w:val="single" w:sz="8" w:space="0" w:color="auto"/>
              <w:right w:val="single" w:sz="8" w:space="0" w:color="auto"/>
            </w:tcBorders>
            <w:shd w:val="clear" w:color="auto" w:fill="auto"/>
            <w:vAlign w:val="center"/>
            <w:hideMark/>
          </w:tcPr>
          <w:p w14:paraId="7E42004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511658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476FEB3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FDA833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67AC85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14 </w:t>
            </w:r>
          </w:p>
        </w:tc>
        <w:tc>
          <w:tcPr>
            <w:tcW w:w="0" w:type="auto"/>
            <w:tcBorders>
              <w:top w:val="nil"/>
              <w:left w:val="nil"/>
              <w:bottom w:val="single" w:sz="8" w:space="0" w:color="auto"/>
              <w:right w:val="single" w:sz="8" w:space="0" w:color="auto"/>
            </w:tcBorders>
            <w:shd w:val="clear" w:color="auto" w:fill="auto"/>
            <w:vAlign w:val="center"/>
            <w:hideMark/>
          </w:tcPr>
          <w:p w14:paraId="6F65795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A </w:t>
            </w:r>
          </w:p>
        </w:tc>
        <w:tc>
          <w:tcPr>
            <w:tcW w:w="0" w:type="auto"/>
            <w:tcBorders>
              <w:top w:val="nil"/>
              <w:left w:val="nil"/>
              <w:bottom w:val="single" w:sz="8" w:space="0" w:color="auto"/>
              <w:right w:val="single" w:sz="8" w:space="0" w:color="auto"/>
            </w:tcBorders>
            <w:shd w:val="clear" w:color="auto" w:fill="auto"/>
            <w:vAlign w:val="center"/>
            <w:hideMark/>
          </w:tcPr>
          <w:p w14:paraId="22ECEB7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6127E4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w:t>
            </w:r>
          </w:p>
        </w:tc>
        <w:tc>
          <w:tcPr>
            <w:tcW w:w="0" w:type="auto"/>
            <w:tcBorders>
              <w:top w:val="nil"/>
              <w:left w:val="nil"/>
              <w:bottom w:val="single" w:sz="8" w:space="0" w:color="auto"/>
              <w:right w:val="single" w:sz="8" w:space="0" w:color="auto"/>
            </w:tcBorders>
            <w:shd w:val="clear" w:color="auto" w:fill="auto"/>
            <w:vAlign w:val="center"/>
            <w:hideMark/>
          </w:tcPr>
          <w:p w14:paraId="3E84987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1DAD79D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CE8E1B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15 </w:t>
            </w:r>
          </w:p>
        </w:tc>
        <w:tc>
          <w:tcPr>
            <w:tcW w:w="0" w:type="auto"/>
            <w:tcBorders>
              <w:top w:val="nil"/>
              <w:left w:val="nil"/>
              <w:bottom w:val="single" w:sz="8" w:space="0" w:color="auto"/>
              <w:right w:val="single" w:sz="8" w:space="0" w:color="auto"/>
            </w:tcBorders>
            <w:shd w:val="clear" w:color="auto" w:fill="auto"/>
            <w:vAlign w:val="center"/>
            <w:hideMark/>
          </w:tcPr>
          <w:p w14:paraId="0D27484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A </w:t>
            </w:r>
          </w:p>
        </w:tc>
        <w:tc>
          <w:tcPr>
            <w:tcW w:w="0" w:type="auto"/>
            <w:tcBorders>
              <w:top w:val="nil"/>
              <w:left w:val="nil"/>
              <w:bottom w:val="single" w:sz="8" w:space="0" w:color="auto"/>
              <w:right w:val="single" w:sz="8" w:space="0" w:color="auto"/>
            </w:tcBorders>
            <w:shd w:val="clear" w:color="auto" w:fill="auto"/>
            <w:vAlign w:val="center"/>
            <w:hideMark/>
          </w:tcPr>
          <w:p w14:paraId="370D755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A5B230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w:t>
            </w:r>
          </w:p>
        </w:tc>
        <w:tc>
          <w:tcPr>
            <w:tcW w:w="0" w:type="auto"/>
            <w:tcBorders>
              <w:top w:val="nil"/>
              <w:left w:val="nil"/>
              <w:bottom w:val="single" w:sz="8" w:space="0" w:color="auto"/>
              <w:right w:val="single" w:sz="8" w:space="0" w:color="auto"/>
            </w:tcBorders>
            <w:shd w:val="clear" w:color="auto" w:fill="auto"/>
            <w:vAlign w:val="center"/>
            <w:hideMark/>
          </w:tcPr>
          <w:p w14:paraId="355BCBF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431B7A9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327C0D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M54 </w:t>
            </w:r>
          </w:p>
        </w:tc>
        <w:tc>
          <w:tcPr>
            <w:tcW w:w="0" w:type="auto"/>
            <w:tcBorders>
              <w:top w:val="nil"/>
              <w:left w:val="nil"/>
              <w:bottom w:val="single" w:sz="8" w:space="0" w:color="auto"/>
              <w:right w:val="single" w:sz="8" w:space="0" w:color="auto"/>
            </w:tcBorders>
            <w:shd w:val="clear" w:color="auto" w:fill="auto"/>
            <w:vAlign w:val="center"/>
            <w:hideMark/>
          </w:tcPr>
          <w:p w14:paraId="471CBCA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A </w:t>
            </w:r>
          </w:p>
        </w:tc>
        <w:tc>
          <w:tcPr>
            <w:tcW w:w="0" w:type="auto"/>
            <w:tcBorders>
              <w:top w:val="nil"/>
              <w:left w:val="nil"/>
              <w:bottom w:val="single" w:sz="8" w:space="0" w:color="auto"/>
              <w:right w:val="single" w:sz="8" w:space="0" w:color="auto"/>
            </w:tcBorders>
            <w:shd w:val="clear" w:color="auto" w:fill="auto"/>
            <w:vAlign w:val="center"/>
            <w:hideMark/>
          </w:tcPr>
          <w:p w14:paraId="347D813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DD3308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 49th St. </w:t>
            </w:r>
          </w:p>
        </w:tc>
        <w:tc>
          <w:tcPr>
            <w:tcW w:w="0" w:type="auto"/>
            <w:tcBorders>
              <w:top w:val="nil"/>
              <w:left w:val="nil"/>
              <w:bottom w:val="single" w:sz="8" w:space="0" w:color="auto"/>
              <w:right w:val="single" w:sz="8" w:space="0" w:color="auto"/>
            </w:tcBorders>
            <w:shd w:val="clear" w:color="auto" w:fill="auto"/>
            <w:vAlign w:val="center"/>
            <w:hideMark/>
          </w:tcPr>
          <w:p w14:paraId="39F9E6E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4287191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03BC54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46</w:t>
            </w:r>
          </w:p>
        </w:tc>
        <w:tc>
          <w:tcPr>
            <w:tcW w:w="0" w:type="auto"/>
            <w:tcBorders>
              <w:top w:val="nil"/>
              <w:left w:val="nil"/>
              <w:bottom w:val="single" w:sz="8" w:space="0" w:color="auto"/>
              <w:right w:val="single" w:sz="8" w:space="0" w:color="auto"/>
            </w:tcBorders>
            <w:shd w:val="clear" w:color="auto" w:fill="auto"/>
            <w:vAlign w:val="center"/>
            <w:hideMark/>
          </w:tcPr>
          <w:p w14:paraId="600D2D3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B </w:t>
            </w:r>
          </w:p>
        </w:tc>
        <w:tc>
          <w:tcPr>
            <w:tcW w:w="0" w:type="auto"/>
            <w:tcBorders>
              <w:top w:val="nil"/>
              <w:left w:val="nil"/>
              <w:bottom w:val="single" w:sz="8" w:space="0" w:color="auto"/>
              <w:right w:val="single" w:sz="8" w:space="0" w:color="auto"/>
            </w:tcBorders>
            <w:shd w:val="clear" w:color="auto" w:fill="auto"/>
            <w:vAlign w:val="center"/>
            <w:hideMark/>
          </w:tcPr>
          <w:p w14:paraId="748D1FD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50BCBD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10986C8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DFD4B9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3DAF9E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12 </w:t>
            </w:r>
          </w:p>
        </w:tc>
        <w:tc>
          <w:tcPr>
            <w:tcW w:w="0" w:type="auto"/>
            <w:tcBorders>
              <w:top w:val="nil"/>
              <w:left w:val="nil"/>
              <w:bottom w:val="single" w:sz="8" w:space="0" w:color="auto"/>
              <w:right w:val="single" w:sz="8" w:space="0" w:color="auto"/>
            </w:tcBorders>
            <w:shd w:val="clear" w:color="auto" w:fill="auto"/>
            <w:vAlign w:val="center"/>
            <w:hideMark/>
          </w:tcPr>
          <w:p w14:paraId="12B1C54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B </w:t>
            </w:r>
          </w:p>
        </w:tc>
        <w:tc>
          <w:tcPr>
            <w:tcW w:w="0" w:type="auto"/>
            <w:tcBorders>
              <w:top w:val="nil"/>
              <w:left w:val="nil"/>
              <w:bottom w:val="single" w:sz="8" w:space="0" w:color="auto"/>
              <w:right w:val="single" w:sz="8" w:space="0" w:color="auto"/>
            </w:tcBorders>
            <w:shd w:val="clear" w:color="auto" w:fill="auto"/>
            <w:vAlign w:val="center"/>
            <w:hideMark/>
          </w:tcPr>
          <w:p w14:paraId="48E9C44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B1CAED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w:t>
            </w:r>
          </w:p>
        </w:tc>
        <w:tc>
          <w:tcPr>
            <w:tcW w:w="0" w:type="auto"/>
            <w:tcBorders>
              <w:top w:val="nil"/>
              <w:left w:val="nil"/>
              <w:bottom w:val="single" w:sz="8" w:space="0" w:color="auto"/>
              <w:right w:val="single" w:sz="8" w:space="0" w:color="auto"/>
            </w:tcBorders>
            <w:shd w:val="clear" w:color="auto" w:fill="auto"/>
            <w:vAlign w:val="center"/>
            <w:hideMark/>
          </w:tcPr>
          <w:p w14:paraId="266B508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3C279B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94AE0E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13 </w:t>
            </w:r>
          </w:p>
        </w:tc>
        <w:tc>
          <w:tcPr>
            <w:tcW w:w="0" w:type="auto"/>
            <w:tcBorders>
              <w:top w:val="nil"/>
              <w:left w:val="nil"/>
              <w:bottom w:val="single" w:sz="8" w:space="0" w:color="auto"/>
              <w:right w:val="single" w:sz="8" w:space="0" w:color="auto"/>
            </w:tcBorders>
            <w:shd w:val="clear" w:color="auto" w:fill="auto"/>
            <w:vAlign w:val="center"/>
            <w:hideMark/>
          </w:tcPr>
          <w:p w14:paraId="48A335D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B </w:t>
            </w:r>
          </w:p>
        </w:tc>
        <w:tc>
          <w:tcPr>
            <w:tcW w:w="0" w:type="auto"/>
            <w:tcBorders>
              <w:top w:val="nil"/>
              <w:left w:val="nil"/>
              <w:bottom w:val="single" w:sz="8" w:space="0" w:color="auto"/>
              <w:right w:val="single" w:sz="8" w:space="0" w:color="auto"/>
            </w:tcBorders>
            <w:shd w:val="clear" w:color="auto" w:fill="auto"/>
            <w:vAlign w:val="center"/>
            <w:hideMark/>
          </w:tcPr>
          <w:p w14:paraId="38565CC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43294B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w:t>
            </w:r>
          </w:p>
        </w:tc>
        <w:tc>
          <w:tcPr>
            <w:tcW w:w="0" w:type="auto"/>
            <w:tcBorders>
              <w:top w:val="nil"/>
              <w:left w:val="nil"/>
              <w:bottom w:val="single" w:sz="8" w:space="0" w:color="auto"/>
              <w:right w:val="single" w:sz="8" w:space="0" w:color="auto"/>
            </w:tcBorders>
            <w:shd w:val="clear" w:color="auto" w:fill="auto"/>
            <w:vAlign w:val="center"/>
            <w:hideMark/>
          </w:tcPr>
          <w:p w14:paraId="0380EAF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7B336B9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6C5457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M55 </w:t>
            </w:r>
          </w:p>
        </w:tc>
        <w:tc>
          <w:tcPr>
            <w:tcW w:w="0" w:type="auto"/>
            <w:tcBorders>
              <w:top w:val="nil"/>
              <w:left w:val="nil"/>
              <w:bottom w:val="single" w:sz="8" w:space="0" w:color="auto"/>
              <w:right w:val="single" w:sz="8" w:space="0" w:color="auto"/>
            </w:tcBorders>
            <w:shd w:val="clear" w:color="auto" w:fill="auto"/>
            <w:vAlign w:val="center"/>
            <w:hideMark/>
          </w:tcPr>
          <w:p w14:paraId="6906BF1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B </w:t>
            </w:r>
          </w:p>
        </w:tc>
        <w:tc>
          <w:tcPr>
            <w:tcW w:w="0" w:type="auto"/>
            <w:tcBorders>
              <w:top w:val="nil"/>
              <w:left w:val="nil"/>
              <w:bottom w:val="single" w:sz="8" w:space="0" w:color="auto"/>
              <w:right w:val="single" w:sz="8" w:space="0" w:color="auto"/>
            </w:tcBorders>
            <w:shd w:val="clear" w:color="auto" w:fill="auto"/>
            <w:vAlign w:val="center"/>
            <w:hideMark/>
          </w:tcPr>
          <w:p w14:paraId="42DDE5E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5C9446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 49th St. </w:t>
            </w:r>
          </w:p>
        </w:tc>
        <w:tc>
          <w:tcPr>
            <w:tcW w:w="0" w:type="auto"/>
            <w:tcBorders>
              <w:top w:val="nil"/>
              <w:left w:val="nil"/>
              <w:bottom w:val="single" w:sz="8" w:space="0" w:color="auto"/>
              <w:right w:val="single" w:sz="8" w:space="0" w:color="auto"/>
            </w:tcBorders>
            <w:shd w:val="clear" w:color="auto" w:fill="auto"/>
            <w:vAlign w:val="center"/>
            <w:hideMark/>
          </w:tcPr>
          <w:p w14:paraId="2552F95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4DBACAB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EB397E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B47 </w:t>
            </w:r>
          </w:p>
        </w:tc>
        <w:tc>
          <w:tcPr>
            <w:tcW w:w="0" w:type="auto"/>
            <w:tcBorders>
              <w:top w:val="nil"/>
              <w:left w:val="nil"/>
              <w:bottom w:val="single" w:sz="8" w:space="0" w:color="auto"/>
              <w:right w:val="single" w:sz="8" w:space="0" w:color="auto"/>
            </w:tcBorders>
            <w:shd w:val="clear" w:color="auto" w:fill="auto"/>
            <w:vAlign w:val="center"/>
            <w:hideMark/>
          </w:tcPr>
          <w:p w14:paraId="4AD6A81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C </w:t>
            </w:r>
          </w:p>
        </w:tc>
        <w:tc>
          <w:tcPr>
            <w:tcW w:w="0" w:type="auto"/>
            <w:tcBorders>
              <w:top w:val="nil"/>
              <w:left w:val="nil"/>
              <w:bottom w:val="single" w:sz="8" w:space="0" w:color="auto"/>
              <w:right w:val="single" w:sz="8" w:space="0" w:color="auto"/>
            </w:tcBorders>
            <w:shd w:val="clear" w:color="auto" w:fill="auto"/>
            <w:vAlign w:val="center"/>
            <w:hideMark/>
          </w:tcPr>
          <w:p w14:paraId="27FA94D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32C5E2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6824256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14A9EAB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1FF851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16 </w:t>
            </w:r>
          </w:p>
        </w:tc>
        <w:tc>
          <w:tcPr>
            <w:tcW w:w="0" w:type="auto"/>
            <w:tcBorders>
              <w:top w:val="nil"/>
              <w:left w:val="nil"/>
              <w:bottom w:val="single" w:sz="8" w:space="0" w:color="auto"/>
              <w:right w:val="single" w:sz="8" w:space="0" w:color="auto"/>
            </w:tcBorders>
            <w:shd w:val="clear" w:color="auto" w:fill="auto"/>
            <w:vAlign w:val="center"/>
            <w:hideMark/>
          </w:tcPr>
          <w:p w14:paraId="12A2203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C </w:t>
            </w:r>
          </w:p>
        </w:tc>
        <w:tc>
          <w:tcPr>
            <w:tcW w:w="0" w:type="auto"/>
            <w:tcBorders>
              <w:top w:val="nil"/>
              <w:left w:val="nil"/>
              <w:bottom w:val="single" w:sz="8" w:space="0" w:color="auto"/>
              <w:right w:val="single" w:sz="8" w:space="0" w:color="auto"/>
            </w:tcBorders>
            <w:shd w:val="clear" w:color="auto" w:fill="auto"/>
            <w:vAlign w:val="center"/>
            <w:hideMark/>
          </w:tcPr>
          <w:p w14:paraId="70BBD6A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12655E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w:t>
            </w:r>
          </w:p>
        </w:tc>
        <w:tc>
          <w:tcPr>
            <w:tcW w:w="0" w:type="auto"/>
            <w:tcBorders>
              <w:top w:val="nil"/>
              <w:left w:val="nil"/>
              <w:bottom w:val="single" w:sz="8" w:space="0" w:color="auto"/>
              <w:right w:val="single" w:sz="8" w:space="0" w:color="auto"/>
            </w:tcBorders>
            <w:shd w:val="clear" w:color="auto" w:fill="auto"/>
            <w:vAlign w:val="center"/>
            <w:hideMark/>
          </w:tcPr>
          <w:p w14:paraId="66BA505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FD66C1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59E034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48</w:t>
            </w:r>
          </w:p>
        </w:tc>
        <w:tc>
          <w:tcPr>
            <w:tcW w:w="0" w:type="auto"/>
            <w:tcBorders>
              <w:top w:val="nil"/>
              <w:left w:val="nil"/>
              <w:bottom w:val="single" w:sz="8" w:space="0" w:color="auto"/>
              <w:right w:val="single" w:sz="8" w:space="0" w:color="auto"/>
            </w:tcBorders>
            <w:shd w:val="clear" w:color="auto" w:fill="auto"/>
            <w:vAlign w:val="center"/>
            <w:hideMark/>
          </w:tcPr>
          <w:p w14:paraId="29F1DA9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D </w:t>
            </w:r>
          </w:p>
        </w:tc>
        <w:tc>
          <w:tcPr>
            <w:tcW w:w="0" w:type="auto"/>
            <w:tcBorders>
              <w:top w:val="nil"/>
              <w:left w:val="nil"/>
              <w:bottom w:val="single" w:sz="8" w:space="0" w:color="auto"/>
              <w:right w:val="single" w:sz="8" w:space="0" w:color="auto"/>
            </w:tcBorders>
            <w:shd w:val="clear" w:color="auto" w:fill="auto"/>
            <w:vAlign w:val="center"/>
            <w:hideMark/>
          </w:tcPr>
          <w:p w14:paraId="3E5AE9F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0CE2A7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403F84C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2A543C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FFD6A0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10 </w:t>
            </w:r>
          </w:p>
        </w:tc>
        <w:tc>
          <w:tcPr>
            <w:tcW w:w="0" w:type="auto"/>
            <w:tcBorders>
              <w:top w:val="nil"/>
              <w:left w:val="nil"/>
              <w:bottom w:val="single" w:sz="8" w:space="0" w:color="auto"/>
              <w:right w:val="single" w:sz="8" w:space="0" w:color="auto"/>
            </w:tcBorders>
            <w:shd w:val="clear" w:color="auto" w:fill="auto"/>
            <w:vAlign w:val="center"/>
            <w:hideMark/>
          </w:tcPr>
          <w:p w14:paraId="77D84BF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D </w:t>
            </w:r>
          </w:p>
        </w:tc>
        <w:tc>
          <w:tcPr>
            <w:tcW w:w="0" w:type="auto"/>
            <w:tcBorders>
              <w:top w:val="nil"/>
              <w:left w:val="nil"/>
              <w:bottom w:val="single" w:sz="8" w:space="0" w:color="auto"/>
              <w:right w:val="single" w:sz="8" w:space="0" w:color="auto"/>
            </w:tcBorders>
            <w:shd w:val="clear" w:color="auto" w:fill="auto"/>
            <w:vAlign w:val="center"/>
            <w:hideMark/>
          </w:tcPr>
          <w:p w14:paraId="3FE6B43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09BB30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w:t>
            </w:r>
          </w:p>
        </w:tc>
        <w:tc>
          <w:tcPr>
            <w:tcW w:w="0" w:type="auto"/>
            <w:tcBorders>
              <w:top w:val="nil"/>
              <w:left w:val="nil"/>
              <w:bottom w:val="single" w:sz="8" w:space="0" w:color="auto"/>
              <w:right w:val="single" w:sz="8" w:space="0" w:color="auto"/>
            </w:tcBorders>
            <w:shd w:val="clear" w:color="auto" w:fill="auto"/>
            <w:vAlign w:val="center"/>
            <w:hideMark/>
          </w:tcPr>
          <w:p w14:paraId="402F538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66A215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926174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11 </w:t>
            </w:r>
          </w:p>
        </w:tc>
        <w:tc>
          <w:tcPr>
            <w:tcW w:w="0" w:type="auto"/>
            <w:tcBorders>
              <w:top w:val="nil"/>
              <w:left w:val="nil"/>
              <w:bottom w:val="single" w:sz="8" w:space="0" w:color="auto"/>
              <w:right w:val="single" w:sz="8" w:space="0" w:color="auto"/>
            </w:tcBorders>
            <w:shd w:val="clear" w:color="auto" w:fill="auto"/>
            <w:vAlign w:val="center"/>
            <w:hideMark/>
          </w:tcPr>
          <w:p w14:paraId="55583E3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D </w:t>
            </w:r>
          </w:p>
        </w:tc>
        <w:tc>
          <w:tcPr>
            <w:tcW w:w="0" w:type="auto"/>
            <w:tcBorders>
              <w:top w:val="nil"/>
              <w:left w:val="nil"/>
              <w:bottom w:val="single" w:sz="8" w:space="0" w:color="auto"/>
              <w:right w:val="single" w:sz="8" w:space="0" w:color="auto"/>
            </w:tcBorders>
            <w:shd w:val="clear" w:color="auto" w:fill="auto"/>
            <w:vAlign w:val="center"/>
            <w:hideMark/>
          </w:tcPr>
          <w:p w14:paraId="3558612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A9421D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13th St </w:t>
            </w:r>
          </w:p>
        </w:tc>
        <w:tc>
          <w:tcPr>
            <w:tcW w:w="0" w:type="auto"/>
            <w:tcBorders>
              <w:top w:val="nil"/>
              <w:left w:val="nil"/>
              <w:bottom w:val="single" w:sz="8" w:space="0" w:color="auto"/>
              <w:right w:val="single" w:sz="8" w:space="0" w:color="auto"/>
            </w:tcBorders>
            <w:shd w:val="clear" w:color="auto" w:fill="auto"/>
            <w:vAlign w:val="center"/>
            <w:hideMark/>
          </w:tcPr>
          <w:p w14:paraId="3FE1D9B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2785F9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08CE01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305</w:t>
            </w:r>
          </w:p>
        </w:tc>
        <w:tc>
          <w:tcPr>
            <w:tcW w:w="0" w:type="auto"/>
            <w:tcBorders>
              <w:top w:val="nil"/>
              <w:left w:val="nil"/>
              <w:bottom w:val="single" w:sz="8" w:space="0" w:color="auto"/>
              <w:right w:val="single" w:sz="8" w:space="0" w:color="auto"/>
            </w:tcBorders>
            <w:shd w:val="clear" w:color="auto" w:fill="auto"/>
            <w:vAlign w:val="center"/>
            <w:hideMark/>
          </w:tcPr>
          <w:p w14:paraId="777EA18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Fishkill </w:t>
            </w:r>
          </w:p>
        </w:tc>
        <w:tc>
          <w:tcPr>
            <w:tcW w:w="0" w:type="auto"/>
            <w:tcBorders>
              <w:top w:val="nil"/>
              <w:left w:val="nil"/>
              <w:bottom w:val="single" w:sz="8" w:space="0" w:color="auto"/>
              <w:right w:val="single" w:sz="8" w:space="0" w:color="auto"/>
            </w:tcBorders>
            <w:shd w:val="clear" w:color="auto" w:fill="auto"/>
            <w:vAlign w:val="center"/>
            <w:hideMark/>
          </w:tcPr>
          <w:p w14:paraId="5006E46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375E82A"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Roseton</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4D58606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F4F0B2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EF8C2F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585CF2D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Fishkill </w:t>
            </w:r>
          </w:p>
        </w:tc>
        <w:tc>
          <w:tcPr>
            <w:tcW w:w="0" w:type="auto"/>
            <w:tcBorders>
              <w:top w:val="nil"/>
              <w:left w:val="nil"/>
              <w:bottom w:val="single" w:sz="8" w:space="0" w:color="auto"/>
              <w:right w:val="single" w:sz="8" w:space="0" w:color="auto"/>
            </w:tcBorders>
            <w:shd w:val="clear" w:color="auto" w:fill="auto"/>
            <w:vAlign w:val="center"/>
            <w:hideMark/>
          </w:tcPr>
          <w:p w14:paraId="00DC41D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CD605D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Fishkill </w:t>
            </w:r>
          </w:p>
        </w:tc>
        <w:tc>
          <w:tcPr>
            <w:tcW w:w="0" w:type="auto"/>
            <w:tcBorders>
              <w:top w:val="nil"/>
              <w:left w:val="nil"/>
              <w:bottom w:val="single" w:sz="8" w:space="0" w:color="auto"/>
              <w:right w:val="single" w:sz="8" w:space="0" w:color="auto"/>
            </w:tcBorders>
            <w:shd w:val="clear" w:color="auto" w:fill="auto"/>
            <w:vAlign w:val="center"/>
            <w:hideMark/>
          </w:tcPr>
          <w:p w14:paraId="59AA8F7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3FC6C1E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66BD8C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4268C6E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Fishkill </w:t>
            </w:r>
          </w:p>
        </w:tc>
        <w:tc>
          <w:tcPr>
            <w:tcW w:w="0" w:type="auto"/>
            <w:tcBorders>
              <w:top w:val="nil"/>
              <w:left w:val="nil"/>
              <w:bottom w:val="single" w:sz="8" w:space="0" w:color="auto"/>
              <w:right w:val="single" w:sz="8" w:space="0" w:color="auto"/>
            </w:tcBorders>
            <w:shd w:val="clear" w:color="auto" w:fill="auto"/>
            <w:vAlign w:val="center"/>
            <w:hideMark/>
          </w:tcPr>
          <w:p w14:paraId="48A2652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90E701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Fishkill </w:t>
            </w:r>
          </w:p>
        </w:tc>
        <w:tc>
          <w:tcPr>
            <w:tcW w:w="0" w:type="auto"/>
            <w:tcBorders>
              <w:top w:val="nil"/>
              <w:left w:val="nil"/>
              <w:bottom w:val="single" w:sz="8" w:space="0" w:color="auto"/>
              <w:right w:val="single" w:sz="8" w:space="0" w:color="auto"/>
            </w:tcBorders>
            <w:shd w:val="clear" w:color="auto" w:fill="auto"/>
            <w:vAlign w:val="center"/>
            <w:hideMark/>
          </w:tcPr>
          <w:p w14:paraId="59EEF8A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4D7D8C4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70A094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F36 </w:t>
            </w:r>
          </w:p>
        </w:tc>
        <w:tc>
          <w:tcPr>
            <w:tcW w:w="0" w:type="auto"/>
            <w:tcBorders>
              <w:top w:val="nil"/>
              <w:left w:val="nil"/>
              <w:bottom w:val="single" w:sz="8" w:space="0" w:color="auto"/>
              <w:right w:val="single" w:sz="8" w:space="0" w:color="auto"/>
            </w:tcBorders>
            <w:shd w:val="clear" w:color="auto" w:fill="auto"/>
            <w:vAlign w:val="center"/>
            <w:hideMark/>
          </w:tcPr>
          <w:p w14:paraId="67127F0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Fishkill </w:t>
            </w:r>
          </w:p>
        </w:tc>
        <w:tc>
          <w:tcPr>
            <w:tcW w:w="0" w:type="auto"/>
            <w:tcBorders>
              <w:top w:val="nil"/>
              <w:left w:val="nil"/>
              <w:bottom w:val="single" w:sz="8" w:space="0" w:color="auto"/>
              <w:right w:val="single" w:sz="8" w:space="0" w:color="auto"/>
            </w:tcBorders>
            <w:shd w:val="clear" w:color="auto" w:fill="auto"/>
            <w:vAlign w:val="center"/>
            <w:hideMark/>
          </w:tcPr>
          <w:p w14:paraId="4BA0C72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205DEB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Pleasant Valley </w:t>
            </w:r>
          </w:p>
        </w:tc>
        <w:tc>
          <w:tcPr>
            <w:tcW w:w="0" w:type="auto"/>
            <w:tcBorders>
              <w:top w:val="nil"/>
              <w:left w:val="nil"/>
              <w:bottom w:val="single" w:sz="8" w:space="0" w:color="auto"/>
              <w:right w:val="single" w:sz="8" w:space="0" w:color="auto"/>
            </w:tcBorders>
            <w:shd w:val="clear" w:color="auto" w:fill="auto"/>
            <w:vAlign w:val="center"/>
            <w:hideMark/>
          </w:tcPr>
          <w:p w14:paraId="663D01D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782CA0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47B1F1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F37 </w:t>
            </w:r>
          </w:p>
        </w:tc>
        <w:tc>
          <w:tcPr>
            <w:tcW w:w="0" w:type="auto"/>
            <w:tcBorders>
              <w:top w:val="nil"/>
              <w:left w:val="nil"/>
              <w:bottom w:val="single" w:sz="8" w:space="0" w:color="auto"/>
              <w:right w:val="single" w:sz="8" w:space="0" w:color="auto"/>
            </w:tcBorders>
            <w:shd w:val="clear" w:color="auto" w:fill="auto"/>
            <w:vAlign w:val="center"/>
            <w:hideMark/>
          </w:tcPr>
          <w:p w14:paraId="6265728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Fishkill </w:t>
            </w:r>
          </w:p>
        </w:tc>
        <w:tc>
          <w:tcPr>
            <w:tcW w:w="0" w:type="auto"/>
            <w:tcBorders>
              <w:top w:val="nil"/>
              <w:left w:val="nil"/>
              <w:bottom w:val="single" w:sz="8" w:space="0" w:color="auto"/>
              <w:right w:val="single" w:sz="8" w:space="0" w:color="auto"/>
            </w:tcBorders>
            <w:shd w:val="clear" w:color="auto" w:fill="auto"/>
            <w:vAlign w:val="center"/>
            <w:hideMark/>
          </w:tcPr>
          <w:p w14:paraId="68E77A7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351DD6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Pleasant Valley </w:t>
            </w:r>
          </w:p>
        </w:tc>
        <w:tc>
          <w:tcPr>
            <w:tcW w:w="0" w:type="auto"/>
            <w:tcBorders>
              <w:top w:val="nil"/>
              <w:left w:val="nil"/>
              <w:bottom w:val="single" w:sz="8" w:space="0" w:color="auto"/>
              <w:right w:val="single" w:sz="8" w:space="0" w:color="auto"/>
            </w:tcBorders>
            <w:shd w:val="clear" w:color="auto" w:fill="auto"/>
            <w:vAlign w:val="center"/>
            <w:hideMark/>
          </w:tcPr>
          <w:p w14:paraId="46A79EC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62982CC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F8E306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F38/Y86 </w:t>
            </w:r>
          </w:p>
        </w:tc>
        <w:tc>
          <w:tcPr>
            <w:tcW w:w="0" w:type="auto"/>
            <w:tcBorders>
              <w:top w:val="nil"/>
              <w:left w:val="nil"/>
              <w:bottom w:val="single" w:sz="8" w:space="0" w:color="auto"/>
              <w:right w:val="single" w:sz="8" w:space="0" w:color="auto"/>
            </w:tcBorders>
            <w:shd w:val="clear" w:color="auto" w:fill="auto"/>
            <w:vAlign w:val="center"/>
            <w:hideMark/>
          </w:tcPr>
          <w:p w14:paraId="6CE4F8C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Fishkill </w:t>
            </w:r>
          </w:p>
        </w:tc>
        <w:tc>
          <w:tcPr>
            <w:tcW w:w="0" w:type="auto"/>
            <w:tcBorders>
              <w:top w:val="nil"/>
              <w:left w:val="nil"/>
              <w:bottom w:val="single" w:sz="8" w:space="0" w:color="auto"/>
              <w:right w:val="single" w:sz="8" w:space="0" w:color="auto"/>
            </w:tcBorders>
            <w:shd w:val="clear" w:color="auto" w:fill="auto"/>
            <w:vAlign w:val="center"/>
            <w:hideMark/>
          </w:tcPr>
          <w:p w14:paraId="2727C33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B7879A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Wood St/Pleasantville </w:t>
            </w:r>
          </w:p>
        </w:tc>
        <w:tc>
          <w:tcPr>
            <w:tcW w:w="0" w:type="auto"/>
            <w:tcBorders>
              <w:top w:val="nil"/>
              <w:left w:val="nil"/>
              <w:bottom w:val="single" w:sz="8" w:space="0" w:color="auto"/>
              <w:right w:val="single" w:sz="8" w:space="0" w:color="auto"/>
            </w:tcBorders>
            <w:shd w:val="clear" w:color="auto" w:fill="auto"/>
            <w:vAlign w:val="center"/>
            <w:hideMark/>
          </w:tcPr>
          <w:p w14:paraId="17DF0A3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A81372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2F9F89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F39/Y87 </w:t>
            </w:r>
          </w:p>
        </w:tc>
        <w:tc>
          <w:tcPr>
            <w:tcW w:w="0" w:type="auto"/>
            <w:tcBorders>
              <w:top w:val="nil"/>
              <w:left w:val="nil"/>
              <w:bottom w:val="single" w:sz="8" w:space="0" w:color="auto"/>
              <w:right w:val="single" w:sz="8" w:space="0" w:color="auto"/>
            </w:tcBorders>
            <w:shd w:val="clear" w:color="auto" w:fill="auto"/>
            <w:vAlign w:val="center"/>
            <w:hideMark/>
          </w:tcPr>
          <w:p w14:paraId="4AC2010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Fishkill </w:t>
            </w:r>
          </w:p>
        </w:tc>
        <w:tc>
          <w:tcPr>
            <w:tcW w:w="0" w:type="auto"/>
            <w:tcBorders>
              <w:top w:val="nil"/>
              <w:left w:val="nil"/>
              <w:bottom w:val="single" w:sz="8" w:space="0" w:color="auto"/>
              <w:right w:val="single" w:sz="8" w:space="0" w:color="auto"/>
            </w:tcBorders>
            <w:shd w:val="clear" w:color="auto" w:fill="auto"/>
            <w:vAlign w:val="center"/>
            <w:hideMark/>
          </w:tcPr>
          <w:p w14:paraId="0FAE83C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501203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Wood St/Pleasantville </w:t>
            </w:r>
          </w:p>
        </w:tc>
        <w:tc>
          <w:tcPr>
            <w:tcW w:w="0" w:type="auto"/>
            <w:tcBorders>
              <w:top w:val="nil"/>
              <w:left w:val="nil"/>
              <w:bottom w:val="single" w:sz="8" w:space="0" w:color="auto"/>
              <w:right w:val="single" w:sz="8" w:space="0" w:color="auto"/>
            </w:tcBorders>
            <w:shd w:val="clear" w:color="auto" w:fill="auto"/>
            <w:vAlign w:val="center"/>
            <w:hideMark/>
          </w:tcPr>
          <w:p w14:paraId="073C973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072285B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A2C97E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6BCD15A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Garden City </w:t>
            </w:r>
          </w:p>
        </w:tc>
        <w:tc>
          <w:tcPr>
            <w:tcW w:w="0" w:type="auto"/>
            <w:tcBorders>
              <w:top w:val="nil"/>
              <w:left w:val="nil"/>
              <w:bottom w:val="single" w:sz="8" w:space="0" w:color="auto"/>
              <w:right w:val="single" w:sz="8" w:space="0" w:color="auto"/>
            </w:tcBorders>
            <w:shd w:val="clear" w:color="auto" w:fill="auto"/>
            <w:vAlign w:val="center"/>
            <w:hideMark/>
          </w:tcPr>
          <w:p w14:paraId="35C43DC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4829EE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Garden City </w:t>
            </w:r>
          </w:p>
        </w:tc>
        <w:tc>
          <w:tcPr>
            <w:tcW w:w="0" w:type="auto"/>
            <w:tcBorders>
              <w:top w:val="nil"/>
              <w:left w:val="nil"/>
              <w:bottom w:val="single" w:sz="8" w:space="0" w:color="auto"/>
              <w:right w:val="single" w:sz="8" w:space="0" w:color="auto"/>
            </w:tcBorders>
            <w:shd w:val="clear" w:color="auto" w:fill="auto"/>
            <w:vAlign w:val="center"/>
            <w:hideMark/>
          </w:tcPr>
          <w:p w14:paraId="621628A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383F992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271227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5943E64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Garden City </w:t>
            </w:r>
          </w:p>
        </w:tc>
        <w:tc>
          <w:tcPr>
            <w:tcW w:w="0" w:type="auto"/>
            <w:tcBorders>
              <w:top w:val="nil"/>
              <w:left w:val="nil"/>
              <w:bottom w:val="single" w:sz="8" w:space="0" w:color="auto"/>
              <w:right w:val="single" w:sz="8" w:space="0" w:color="auto"/>
            </w:tcBorders>
            <w:shd w:val="clear" w:color="auto" w:fill="auto"/>
            <w:vAlign w:val="center"/>
            <w:hideMark/>
          </w:tcPr>
          <w:p w14:paraId="1CE7053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5C008B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Garden City </w:t>
            </w:r>
          </w:p>
        </w:tc>
        <w:tc>
          <w:tcPr>
            <w:tcW w:w="0" w:type="auto"/>
            <w:tcBorders>
              <w:top w:val="nil"/>
              <w:left w:val="nil"/>
              <w:bottom w:val="single" w:sz="8" w:space="0" w:color="auto"/>
              <w:right w:val="single" w:sz="8" w:space="0" w:color="auto"/>
            </w:tcBorders>
            <w:shd w:val="clear" w:color="auto" w:fill="auto"/>
            <w:vAlign w:val="center"/>
            <w:hideMark/>
          </w:tcPr>
          <w:p w14:paraId="131C1AD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4512169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AE44E1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PAR1 </w:t>
            </w:r>
          </w:p>
        </w:tc>
        <w:tc>
          <w:tcPr>
            <w:tcW w:w="0" w:type="auto"/>
            <w:tcBorders>
              <w:top w:val="nil"/>
              <w:left w:val="nil"/>
              <w:bottom w:val="single" w:sz="8" w:space="0" w:color="auto"/>
              <w:right w:val="single" w:sz="8" w:space="0" w:color="auto"/>
            </w:tcBorders>
            <w:shd w:val="clear" w:color="auto" w:fill="auto"/>
            <w:vAlign w:val="center"/>
            <w:hideMark/>
          </w:tcPr>
          <w:p w14:paraId="2394435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Garden City </w:t>
            </w:r>
          </w:p>
        </w:tc>
        <w:tc>
          <w:tcPr>
            <w:tcW w:w="0" w:type="auto"/>
            <w:tcBorders>
              <w:top w:val="nil"/>
              <w:left w:val="nil"/>
              <w:bottom w:val="single" w:sz="8" w:space="0" w:color="auto"/>
              <w:right w:val="single" w:sz="8" w:space="0" w:color="auto"/>
            </w:tcBorders>
            <w:shd w:val="clear" w:color="auto" w:fill="auto"/>
            <w:vAlign w:val="center"/>
            <w:hideMark/>
          </w:tcPr>
          <w:p w14:paraId="09E80DA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660066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Garden City </w:t>
            </w:r>
          </w:p>
        </w:tc>
        <w:tc>
          <w:tcPr>
            <w:tcW w:w="0" w:type="auto"/>
            <w:tcBorders>
              <w:top w:val="nil"/>
              <w:left w:val="nil"/>
              <w:bottom w:val="single" w:sz="8" w:space="0" w:color="auto"/>
              <w:right w:val="single" w:sz="8" w:space="0" w:color="auto"/>
            </w:tcBorders>
            <w:shd w:val="clear" w:color="auto" w:fill="auto"/>
            <w:vAlign w:val="center"/>
            <w:hideMark/>
          </w:tcPr>
          <w:p w14:paraId="4CE33FC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5E2CEA1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1F8CD1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PAR2 </w:t>
            </w:r>
          </w:p>
        </w:tc>
        <w:tc>
          <w:tcPr>
            <w:tcW w:w="0" w:type="auto"/>
            <w:tcBorders>
              <w:top w:val="nil"/>
              <w:left w:val="nil"/>
              <w:bottom w:val="single" w:sz="8" w:space="0" w:color="auto"/>
              <w:right w:val="single" w:sz="8" w:space="0" w:color="auto"/>
            </w:tcBorders>
            <w:shd w:val="clear" w:color="auto" w:fill="auto"/>
            <w:vAlign w:val="center"/>
            <w:hideMark/>
          </w:tcPr>
          <w:p w14:paraId="20E17E7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Garden City </w:t>
            </w:r>
          </w:p>
        </w:tc>
        <w:tc>
          <w:tcPr>
            <w:tcW w:w="0" w:type="auto"/>
            <w:tcBorders>
              <w:top w:val="nil"/>
              <w:left w:val="nil"/>
              <w:bottom w:val="single" w:sz="8" w:space="0" w:color="auto"/>
              <w:right w:val="single" w:sz="8" w:space="0" w:color="auto"/>
            </w:tcBorders>
            <w:shd w:val="clear" w:color="auto" w:fill="auto"/>
            <w:vAlign w:val="center"/>
            <w:hideMark/>
          </w:tcPr>
          <w:p w14:paraId="05BE810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86836B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Garden City </w:t>
            </w:r>
          </w:p>
        </w:tc>
        <w:tc>
          <w:tcPr>
            <w:tcW w:w="0" w:type="auto"/>
            <w:tcBorders>
              <w:top w:val="nil"/>
              <w:left w:val="nil"/>
              <w:bottom w:val="single" w:sz="8" w:space="0" w:color="auto"/>
              <w:right w:val="single" w:sz="8" w:space="0" w:color="auto"/>
            </w:tcBorders>
            <w:shd w:val="clear" w:color="auto" w:fill="auto"/>
            <w:vAlign w:val="center"/>
            <w:hideMark/>
          </w:tcPr>
          <w:p w14:paraId="5108EB0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51A82E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C1E6FC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Y49 </w:t>
            </w:r>
          </w:p>
        </w:tc>
        <w:tc>
          <w:tcPr>
            <w:tcW w:w="0" w:type="auto"/>
            <w:tcBorders>
              <w:top w:val="nil"/>
              <w:left w:val="nil"/>
              <w:bottom w:val="single" w:sz="8" w:space="0" w:color="auto"/>
              <w:right w:val="single" w:sz="8" w:space="0" w:color="auto"/>
            </w:tcBorders>
            <w:shd w:val="clear" w:color="auto" w:fill="auto"/>
            <w:vAlign w:val="center"/>
            <w:hideMark/>
          </w:tcPr>
          <w:p w14:paraId="36B391F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Garden City </w:t>
            </w:r>
          </w:p>
        </w:tc>
        <w:tc>
          <w:tcPr>
            <w:tcW w:w="0" w:type="auto"/>
            <w:tcBorders>
              <w:top w:val="nil"/>
              <w:left w:val="nil"/>
              <w:bottom w:val="single" w:sz="8" w:space="0" w:color="auto"/>
              <w:right w:val="single" w:sz="8" w:space="0" w:color="auto"/>
            </w:tcBorders>
            <w:shd w:val="clear" w:color="auto" w:fill="auto"/>
            <w:vAlign w:val="center"/>
            <w:hideMark/>
          </w:tcPr>
          <w:p w14:paraId="21F48F9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E36922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Sprain Brook </w:t>
            </w:r>
          </w:p>
        </w:tc>
        <w:tc>
          <w:tcPr>
            <w:tcW w:w="0" w:type="auto"/>
            <w:tcBorders>
              <w:top w:val="nil"/>
              <w:left w:val="nil"/>
              <w:bottom w:val="single" w:sz="8" w:space="0" w:color="auto"/>
              <w:right w:val="single" w:sz="8" w:space="0" w:color="auto"/>
            </w:tcBorders>
            <w:shd w:val="clear" w:color="auto" w:fill="auto"/>
            <w:vAlign w:val="center"/>
            <w:hideMark/>
          </w:tcPr>
          <w:p w14:paraId="4E913E9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4368765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51C377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1N* </w:t>
            </w:r>
          </w:p>
        </w:tc>
        <w:tc>
          <w:tcPr>
            <w:tcW w:w="0" w:type="auto"/>
            <w:tcBorders>
              <w:top w:val="nil"/>
              <w:left w:val="nil"/>
              <w:bottom w:val="single" w:sz="8" w:space="0" w:color="auto"/>
              <w:right w:val="single" w:sz="8" w:space="0" w:color="auto"/>
            </w:tcBorders>
            <w:shd w:val="clear" w:color="auto" w:fill="auto"/>
            <w:vAlign w:val="center"/>
            <w:hideMark/>
          </w:tcPr>
          <w:p w14:paraId="3689043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Eastview </w:t>
            </w:r>
          </w:p>
        </w:tc>
        <w:tc>
          <w:tcPr>
            <w:tcW w:w="0" w:type="auto"/>
            <w:tcBorders>
              <w:top w:val="nil"/>
              <w:left w:val="nil"/>
              <w:bottom w:val="single" w:sz="8" w:space="0" w:color="auto"/>
              <w:right w:val="single" w:sz="8" w:space="0" w:color="auto"/>
            </w:tcBorders>
            <w:shd w:val="clear" w:color="auto" w:fill="auto"/>
            <w:vAlign w:val="center"/>
            <w:hideMark/>
          </w:tcPr>
          <w:p w14:paraId="41734AA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F02F97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Eastview </w:t>
            </w:r>
          </w:p>
        </w:tc>
        <w:tc>
          <w:tcPr>
            <w:tcW w:w="0" w:type="auto"/>
            <w:tcBorders>
              <w:top w:val="nil"/>
              <w:left w:val="nil"/>
              <w:bottom w:val="single" w:sz="8" w:space="0" w:color="auto"/>
              <w:right w:val="single" w:sz="8" w:space="0" w:color="auto"/>
            </w:tcBorders>
            <w:shd w:val="clear" w:color="auto" w:fill="auto"/>
            <w:vAlign w:val="center"/>
            <w:hideMark/>
          </w:tcPr>
          <w:p w14:paraId="302981E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7E3024C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991E7F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1S* </w:t>
            </w:r>
          </w:p>
        </w:tc>
        <w:tc>
          <w:tcPr>
            <w:tcW w:w="0" w:type="auto"/>
            <w:tcBorders>
              <w:top w:val="nil"/>
              <w:left w:val="nil"/>
              <w:bottom w:val="single" w:sz="8" w:space="0" w:color="auto"/>
              <w:right w:val="single" w:sz="8" w:space="0" w:color="auto"/>
            </w:tcBorders>
            <w:shd w:val="clear" w:color="auto" w:fill="auto"/>
            <w:vAlign w:val="center"/>
            <w:hideMark/>
          </w:tcPr>
          <w:p w14:paraId="0D7DA7B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Eastview </w:t>
            </w:r>
          </w:p>
        </w:tc>
        <w:tc>
          <w:tcPr>
            <w:tcW w:w="0" w:type="auto"/>
            <w:tcBorders>
              <w:top w:val="nil"/>
              <w:left w:val="nil"/>
              <w:bottom w:val="single" w:sz="8" w:space="0" w:color="auto"/>
              <w:right w:val="single" w:sz="8" w:space="0" w:color="auto"/>
            </w:tcBorders>
            <w:shd w:val="clear" w:color="auto" w:fill="auto"/>
            <w:vAlign w:val="center"/>
            <w:hideMark/>
          </w:tcPr>
          <w:p w14:paraId="2897999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AEB9FE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Eastview </w:t>
            </w:r>
          </w:p>
        </w:tc>
        <w:tc>
          <w:tcPr>
            <w:tcW w:w="0" w:type="auto"/>
            <w:tcBorders>
              <w:top w:val="nil"/>
              <w:left w:val="nil"/>
              <w:bottom w:val="single" w:sz="8" w:space="0" w:color="auto"/>
              <w:right w:val="single" w:sz="8" w:space="0" w:color="auto"/>
            </w:tcBorders>
            <w:shd w:val="clear" w:color="auto" w:fill="auto"/>
            <w:vAlign w:val="center"/>
            <w:hideMark/>
          </w:tcPr>
          <w:p w14:paraId="1C62324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4F35890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7FF2B8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2N* </w:t>
            </w:r>
          </w:p>
        </w:tc>
        <w:tc>
          <w:tcPr>
            <w:tcW w:w="0" w:type="auto"/>
            <w:tcBorders>
              <w:top w:val="nil"/>
              <w:left w:val="nil"/>
              <w:bottom w:val="single" w:sz="8" w:space="0" w:color="auto"/>
              <w:right w:val="single" w:sz="8" w:space="0" w:color="auto"/>
            </w:tcBorders>
            <w:shd w:val="clear" w:color="auto" w:fill="auto"/>
            <w:vAlign w:val="center"/>
            <w:hideMark/>
          </w:tcPr>
          <w:p w14:paraId="33368A7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Eastview </w:t>
            </w:r>
          </w:p>
        </w:tc>
        <w:tc>
          <w:tcPr>
            <w:tcW w:w="0" w:type="auto"/>
            <w:tcBorders>
              <w:top w:val="nil"/>
              <w:left w:val="nil"/>
              <w:bottom w:val="single" w:sz="8" w:space="0" w:color="auto"/>
              <w:right w:val="single" w:sz="8" w:space="0" w:color="auto"/>
            </w:tcBorders>
            <w:shd w:val="clear" w:color="auto" w:fill="auto"/>
            <w:vAlign w:val="center"/>
            <w:hideMark/>
          </w:tcPr>
          <w:p w14:paraId="4E6B446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42B4A2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Eastview </w:t>
            </w:r>
          </w:p>
        </w:tc>
        <w:tc>
          <w:tcPr>
            <w:tcW w:w="0" w:type="auto"/>
            <w:tcBorders>
              <w:top w:val="nil"/>
              <w:left w:val="nil"/>
              <w:bottom w:val="single" w:sz="8" w:space="0" w:color="auto"/>
              <w:right w:val="single" w:sz="8" w:space="0" w:color="auto"/>
            </w:tcBorders>
            <w:shd w:val="clear" w:color="auto" w:fill="auto"/>
            <w:vAlign w:val="center"/>
            <w:hideMark/>
          </w:tcPr>
          <w:p w14:paraId="0BC993B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420D712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3D5F94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2S* </w:t>
            </w:r>
          </w:p>
        </w:tc>
        <w:tc>
          <w:tcPr>
            <w:tcW w:w="0" w:type="auto"/>
            <w:tcBorders>
              <w:top w:val="nil"/>
              <w:left w:val="nil"/>
              <w:bottom w:val="single" w:sz="8" w:space="0" w:color="auto"/>
              <w:right w:val="single" w:sz="8" w:space="0" w:color="auto"/>
            </w:tcBorders>
            <w:shd w:val="clear" w:color="auto" w:fill="auto"/>
            <w:vAlign w:val="center"/>
            <w:hideMark/>
          </w:tcPr>
          <w:p w14:paraId="52C8F3A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Eastview </w:t>
            </w:r>
          </w:p>
        </w:tc>
        <w:tc>
          <w:tcPr>
            <w:tcW w:w="0" w:type="auto"/>
            <w:tcBorders>
              <w:top w:val="nil"/>
              <w:left w:val="nil"/>
              <w:bottom w:val="single" w:sz="8" w:space="0" w:color="auto"/>
              <w:right w:val="single" w:sz="8" w:space="0" w:color="auto"/>
            </w:tcBorders>
            <w:shd w:val="clear" w:color="auto" w:fill="auto"/>
            <w:vAlign w:val="center"/>
            <w:hideMark/>
          </w:tcPr>
          <w:p w14:paraId="023940B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974728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Eastview </w:t>
            </w:r>
          </w:p>
        </w:tc>
        <w:tc>
          <w:tcPr>
            <w:tcW w:w="0" w:type="auto"/>
            <w:tcBorders>
              <w:top w:val="nil"/>
              <w:left w:val="nil"/>
              <w:bottom w:val="single" w:sz="8" w:space="0" w:color="auto"/>
              <w:right w:val="single" w:sz="8" w:space="0" w:color="auto"/>
            </w:tcBorders>
            <w:shd w:val="clear" w:color="auto" w:fill="auto"/>
            <w:vAlign w:val="center"/>
            <w:hideMark/>
          </w:tcPr>
          <w:p w14:paraId="335AEB9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2C3FE2C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8B9ADF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W64 </w:t>
            </w:r>
          </w:p>
        </w:tc>
        <w:tc>
          <w:tcPr>
            <w:tcW w:w="0" w:type="auto"/>
            <w:tcBorders>
              <w:top w:val="nil"/>
              <w:left w:val="nil"/>
              <w:bottom w:val="single" w:sz="8" w:space="0" w:color="auto"/>
              <w:right w:val="single" w:sz="8" w:space="0" w:color="auto"/>
            </w:tcBorders>
            <w:shd w:val="clear" w:color="auto" w:fill="auto"/>
            <w:vAlign w:val="center"/>
            <w:hideMark/>
          </w:tcPr>
          <w:p w14:paraId="2653D8A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Eastview 1N </w:t>
            </w:r>
          </w:p>
        </w:tc>
        <w:tc>
          <w:tcPr>
            <w:tcW w:w="0" w:type="auto"/>
            <w:tcBorders>
              <w:top w:val="nil"/>
              <w:left w:val="nil"/>
              <w:bottom w:val="single" w:sz="8" w:space="0" w:color="auto"/>
              <w:right w:val="single" w:sz="8" w:space="0" w:color="auto"/>
            </w:tcBorders>
            <w:shd w:val="clear" w:color="auto" w:fill="auto"/>
            <w:vAlign w:val="center"/>
            <w:hideMark/>
          </w:tcPr>
          <w:p w14:paraId="79ABB5D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B6CE3C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Sprain Brook </w:t>
            </w:r>
          </w:p>
        </w:tc>
        <w:tc>
          <w:tcPr>
            <w:tcW w:w="0" w:type="auto"/>
            <w:tcBorders>
              <w:top w:val="nil"/>
              <w:left w:val="nil"/>
              <w:bottom w:val="single" w:sz="8" w:space="0" w:color="auto"/>
              <w:right w:val="single" w:sz="8" w:space="0" w:color="auto"/>
            </w:tcBorders>
            <w:shd w:val="clear" w:color="auto" w:fill="auto"/>
            <w:vAlign w:val="center"/>
            <w:hideMark/>
          </w:tcPr>
          <w:p w14:paraId="2B6A68B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C38F48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9EC1C9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W99 </w:t>
            </w:r>
          </w:p>
        </w:tc>
        <w:tc>
          <w:tcPr>
            <w:tcW w:w="0" w:type="auto"/>
            <w:tcBorders>
              <w:top w:val="nil"/>
              <w:left w:val="nil"/>
              <w:bottom w:val="single" w:sz="8" w:space="0" w:color="auto"/>
              <w:right w:val="single" w:sz="8" w:space="0" w:color="auto"/>
            </w:tcBorders>
            <w:shd w:val="clear" w:color="auto" w:fill="auto"/>
            <w:vAlign w:val="center"/>
            <w:hideMark/>
          </w:tcPr>
          <w:p w14:paraId="621202C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Eastview 1N </w:t>
            </w:r>
          </w:p>
        </w:tc>
        <w:tc>
          <w:tcPr>
            <w:tcW w:w="0" w:type="auto"/>
            <w:tcBorders>
              <w:top w:val="nil"/>
              <w:left w:val="nil"/>
              <w:bottom w:val="single" w:sz="8" w:space="0" w:color="auto"/>
              <w:right w:val="single" w:sz="8" w:space="0" w:color="auto"/>
            </w:tcBorders>
            <w:shd w:val="clear" w:color="auto" w:fill="auto"/>
            <w:vAlign w:val="center"/>
            <w:hideMark/>
          </w:tcPr>
          <w:p w14:paraId="68018D6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E9A344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Millwood </w:t>
            </w:r>
          </w:p>
        </w:tc>
        <w:tc>
          <w:tcPr>
            <w:tcW w:w="0" w:type="auto"/>
            <w:tcBorders>
              <w:top w:val="nil"/>
              <w:left w:val="nil"/>
              <w:bottom w:val="single" w:sz="8" w:space="0" w:color="auto"/>
              <w:right w:val="single" w:sz="8" w:space="0" w:color="auto"/>
            </w:tcBorders>
            <w:shd w:val="clear" w:color="auto" w:fill="auto"/>
            <w:vAlign w:val="center"/>
            <w:hideMark/>
          </w:tcPr>
          <w:p w14:paraId="1CD3964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37B978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00933D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W78 </w:t>
            </w:r>
          </w:p>
        </w:tc>
        <w:tc>
          <w:tcPr>
            <w:tcW w:w="0" w:type="auto"/>
            <w:tcBorders>
              <w:top w:val="nil"/>
              <w:left w:val="nil"/>
              <w:bottom w:val="single" w:sz="8" w:space="0" w:color="auto"/>
              <w:right w:val="single" w:sz="8" w:space="0" w:color="auto"/>
            </w:tcBorders>
            <w:shd w:val="clear" w:color="auto" w:fill="auto"/>
            <w:vAlign w:val="center"/>
            <w:hideMark/>
          </w:tcPr>
          <w:p w14:paraId="6C156D8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Eastview 1S </w:t>
            </w:r>
          </w:p>
        </w:tc>
        <w:tc>
          <w:tcPr>
            <w:tcW w:w="0" w:type="auto"/>
            <w:tcBorders>
              <w:top w:val="nil"/>
              <w:left w:val="nil"/>
              <w:bottom w:val="single" w:sz="8" w:space="0" w:color="auto"/>
              <w:right w:val="single" w:sz="8" w:space="0" w:color="auto"/>
            </w:tcBorders>
            <w:shd w:val="clear" w:color="auto" w:fill="auto"/>
            <w:vAlign w:val="center"/>
            <w:hideMark/>
          </w:tcPr>
          <w:p w14:paraId="0D17D26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5EE69F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Sprain Brook </w:t>
            </w:r>
          </w:p>
        </w:tc>
        <w:tc>
          <w:tcPr>
            <w:tcW w:w="0" w:type="auto"/>
            <w:tcBorders>
              <w:top w:val="nil"/>
              <w:left w:val="nil"/>
              <w:bottom w:val="single" w:sz="8" w:space="0" w:color="auto"/>
              <w:right w:val="single" w:sz="8" w:space="0" w:color="auto"/>
            </w:tcBorders>
            <w:shd w:val="clear" w:color="auto" w:fill="auto"/>
            <w:vAlign w:val="center"/>
            <w:hideMark/>
          </w:tcPr>
          <w:p w14:paraId="06631DD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DFE332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771875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W85 </w:t>
            </w:r>
          </w:p>
        </w:tc>
        <w:tc>
          <w:tcPr>
            <w:tcW w:w="0" w:type="auto"/>
            <w:tcBorders>
              <w:top w:val="nil"/>
              <w:left w:val="nil"/>
              <w:bottom w:val="single" w:sz="8" w:space="0" w:color="auto"/>
              <w:right w:val="single" w:sz="8" w:space="0" w:color="auto"/>
            </w:tcBorders>
            <w:shd w:val="clear" w:color="auto" w:fill="auto"/>
            <w:vAlign w:val="center"/>
            <w:hideMark/>
          </w:tcPr>
          <w:p w14:paraId="3960DD6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Eastview 1S </w:t>
            </w:r>
          </w:p>
        </w:tc>
        <w:tc>
          <w:tcPr>
            <w:tcW w:w="0" w:type="auto"/>
            <w:tcBorders>
              <w:top w:val="nil"/>
              <w:left w:val="nil"/>
              <w:bottom w:val="single" w:sz="8" w:space="0" w:color="auto"/>
              <w:right w:val="single" w:sz="8" w:space="0" w:color="auto"/>
            </w:tcBorders>
            <w:shd w:val="clear" w:color="auto" w:fill="auto"/>
            <w:vAlign w:val="center"/>
            <w:hideMark/>
          </w:tcPr>
          <w:p w14:paraId="541AB45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F85A4C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Millwood </w:t>
            </w:r>
          </w:p>
        </w:tc>
        <w:tc>
          <w:tcPr>
            <w:tcW w:w="0" w:type="auto"/>
            <w:tcBorders>
              <w:top w:val="nil"/>
              <w:left w:val="nil"/>
              <w:bottom w:val="single" w:sz="8" w:space="0" w:color="auto"/>
              <w:right w:val="single" w:sz="8" w:space="0" w:color="auto"/>
            </w:tcBorders>
            <w:shd w:val="clear" w:color="auto" w:fill="auto"/>
            <w:vAlign w:val="center"/>
            <w:hideMark/>
          </w:tcPr>
          <w:p w14:paraId="651050F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6DED5B3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BFD0D7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W79 </w:t>
            </w:r>
          </w:p>
        </w:tc>
        <w:tc>
          <w:tcPr>
            <w:tcW w:w="0" w:type="auto"/>
            <w:tcBorders>
              <w:top w:val="nil"/>
              <w:left w:val="nil"/>
              <w:bottom w:val="single" w:sz="8" w:space="0" w:color="auto"/>
              <w:right w:val="single" w:sz="8" w:space="0" w:color="auto"/>
            </w:tcBorders>
            <w:shd w:val="clear" w:color="auto" w:fill="auto"/>
            <w:vAlign w:val="center"/>
            <w:hideMark/>
          </w:tcPr>
          <w:p w14:paraId="15FABE8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Eastview 2N </w:t>
            </w:r>
          </w:p>
        </w:tc>
        <w:tc>
          <w:tcPr>
            <w:tcW w:w="0" w:type="auto"/>
            <w:tcBorders>
              <w:top w:val="nil"/>
              <w:left w:val="nil"/>
              <w:bottom w:val="single" w:sz="8" w:space="0" w:color="auto"/>
              <w:right w:val="single" w:sz="8" w:space="0" w:color="auto"/>
            </w:tcBorders>
            <w:shd w:val="clear" w:color="auto" w:fill="auto"/>
            <w:vAlign w:val="center"/>
            <w:hideMark/>
          </w:tcPr>
          <w:p w14:paraId="4F6C76F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F1CE2D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Sprain Brook </w:t>
            </w:r>
          </w:p>
        </w:tc>
        <w:tc>
          <w:tcPr>
            <w:tcW w:w="0" w:type="auto"/>
            <w:tcBorders>
              <w:top w:val="nil"/>
              <w:left w:val="nil"/>
              <w:bottom w:val="single" w:sz="8" w:space="0" w:color="auto"/>
              <w:right w:val="single" w:sz="8" w:space="0" w:color="auto"/>
            </w:tcBorders>
            <w:shd w:val="clear" w:color="auto" w:fill="auto"/>
            <w:vAlign w:val="center"/>
            <w:hideMark/>
          </w:tcPr>
          <w:p w14:paraId="6236DDF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2BAC19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5D11FB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W65 </w:t>
            </w:r>
          </w:p>
        </w:tc>
        <w:tc>
          <w:tcPr>
            <w:tcW w:w="0" w:type="auto"/>
            <w:tcBorders>
              <w:top w:val="nil"/>
              <w:left w:val="nil"/>
              <w:bottom w:val="single" w:sz="8" w:space="0" w:color="auto"/>
              <w:right w:val="single" w:sz="8" w:space="0" w:color="auto"/>
            </w:tcBorders>
            <w:shd w:val="clear" w:color="auto" w:fill="auto"/>
            <w:vAlign w:val="center"/>
            <w:hideMark/>
          </w:tcPr>
          <w:p w14:paraId="02BA044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Eastview 2S </w:t>
            </w:r>
          </w:p>
        </w:tc>
        <w:tc>
          <w:tcPr>
            <w:tcW w:w="0" w:type="auto"/>
            <w:tcBorders>
              <w:top w:val="nil"/>
              <w:left w:val="nil"/>
              <w:bottom w:val="single" w:sz="8" w:space="0" w:color="auto"/>
              <w:right w:val="single" w:sz="8" w:space="0" w:color="auto"/>
            </w:tcBorders>
            <w:shd w:val="clear" w:color="auto" w:fill="auto"/>
            <w:vAlign w:val="center"/>
            <w:hideMark/>
          </w:tcPr>
          <w:p w14:paraId="3541C62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75B4A7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Sprain Brook </w:t>
            </w:r>
          </w:p>
        </w:tc>
        <w:tc>
          <w:tcPr>
            <w:tcW w:w="0" w:type="auto"/>
            <w:tcBorders>
              <w:top w:val="nil"/>
              <w:left w:val="nil"/>
              <w:bottom w:val="single" w:sz="8" w:space="0" w:color="auto"/>
              <w:right w:val="single" w:sz="8" w:space="0" w:color="auto"/>
            </w:tcBorders>
            <w:shd w:val="clear" w:color="auto" w:fill="auto"/>
            <w:vAlign w:val="center"/>
            <w:hideMark/>
          </w:tcPr>
          <w:p w14:paraId="4443A91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07778A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1A2208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W82 </w:t>
            </w:r>
          </w:p>
        </w:tc>
        <w:tc>
          <w:tcPr>
            <w:tcW w:w="0" w:type="auto"/>
            <w:tcBorders>
              <w:top w:val="nil"/>
              <w:left w:val="nil"/>
              <w:bottom w:val="single" w:sz="8" w:space="0" w:color="auto"/>
              <w:right w:val="single" w:sz="8" w:space="0" w:color="auto"/>
            </w:tcBorders>
            <w:shd w:val="clear" w:color="auto" w:fill="auto"/>
            <w:vAlign w:val="center"/>
            <w:hideMark/>
          </w:tcPr>
          <w:p w14:paraId="43C62D4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Eastview 2S </w:t>
            </w:r>
          </w:p>
        </w:tc>
        <w:tc>
          <w:tcPr>
            <w:tcW w:w="0" w:type="auto"/>
            <w:tcBorders>
              <w:top w:val="nil"/>
              <w:left w:val="nil"/>
              <w:bottom w:val="single" w:sz="8" w:space="0" w:color="auto"/>
              <w:right w:val="single" w:sz="8" w:space="0" w:color="auto"/>
            </w:tcBorders>
            <w:shd w:val="clear" w:color="auto" w:fill="auto"/>
            <w:vAlign w:val="center"/>
            <w:hideMark/>
          </w:tcPr>
          <w:p w14:paraId="24C33DD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128C9A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Millwood </w:t>
            </w:r>
          </w:p>
        </w:tc>
        <w:tc>
          <w:tcPr>
            <w:tcW w:w="0" w:type="auto"/>
            <w:tcBorders>
              <w:top w:val="nil"/>
              <w:left w:val="nil"/>
              <w:bottom w:val="single" w:sz="8" w:space="0" w:color="auto"/>
              <w:right w:val="single" w:sz="8" w:space="0" w:color="auto"/>
            </w:tcBorders>
            <w:shd w:val="clear" w:color="auto" w:fill="auto"/>
            <w:vAlign w:val="center"/>
            <w:hideMark/>
          </w:tcPr>
          <w:p w14:paraId="44CE113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0E2A659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25D247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14</w:t>
            </w:r>
          </w:p>
        </w:tc>
        <w:tc>
          <w:tcPr>
            <w:tcW w:w="0" w:type="auto"/>
            <w:tcBorders>
              <w:top w:val="nil"/>
              <w:left w:val="nil"/>
              <w:bottom w:val="single" w:sz="8" w:space="0" w:color="auto"/>
              <w:right w:val="single" w:sz="8" w:space="0" w:color="auto"/>
            </w:tcBorders>
            <w:shd w:val="clear" w:color="auto" w:fill="auto"/>
            <w:vAlign w:val="center"/>
            <w:hideMark/>
          </w:tcPr>
          <w:p w14:paraId="7A4CDC18"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Edic</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71A4701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C6D076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 Scotland </w:t>
            </w:r>
          </w:p>
        </w:tc>
        <w:tc>
          <w:tcPr>
            <w:tcW w:w="0" w:type="auto"/>
            <w:tcBorders>
              <w:top w:val="nil"/>
              <w:left w:val="nil"/>
              <w:bottom w:val="single" w:sz="8" w:space="0" w:color="auto"/>
              <w:right w:val="single" w:sz="8" w:space="0" w:color="auto"/>
            </w:tcBorders>
            <w:shd w:val="clear" w:color="auto" w:fill="auto"/>
            <w:vAlign w:val="center"/>
            <w:hideMark/>
          </w:tcPr>
          <w:p w14:paraId="0DC3088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403FE28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B88A0E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17/BK 2 </w:t>
            </w:r>
          </w:p>
        </w:tc>
        <w:tc>
          <w:tcPr>
            <w:tcW w:w="0" w:type="auto"/>
            <w:tcBorders>
              <w:top w:val="nil"/>
              <w:left w:val="nil"/>
              <w:bottom w:val="single" w:sz="8" w:space="0" w:color="auto"/>
              <w:right w:val="single" w:sz="8" w:space="0" w:color="auto"/>
            </w:tcBorders>
            <w:shd w:val="clear" w:color="auto" w:fill="auto"/>
            <w:vAlign w:val="center"/>
            <w:hideMark/>
          </w:tcPr>
          <w:p w14:paraId="1390D313"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Edic</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35FE32A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3E9233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Porter </w:t>
            </w:r>
          </w:p>
        </w:tc>
        <w:tc>
          <w:tcPr>
            <w:tcW w:w="0" w:type="auto"/>
            <w:tcBorders>
              <w:top w:val="nil"/>
              <w:left w:val="nil"/>
              <w:bottom w:val="single" w:sz="8" w:space="0" w:color="auto"/>
              <w:right w:val="single" w:sz="8" w:space="0" w:color="auto"/>
            </w:tcBorders>
            <w:shd w:val="clear" w:color="auto" w:fill="auto"/>
            <w:vAlign w:val="center"/>
            <w:hideMark/>
          </w:tcPr>
          <w:p w14:paraId="51F85E2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687516A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DE2BE1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3 </w:t>
            </w:r>
          </w:p>
        </w:tc>
        <w:tc>
          <w:tcPr>
            <w:tcW w:w="0" w:type="auto"/>
            <w:tcBorders>
              <w:top w:val="nil"/>
              <w:left w:val="nil"/>
              <w:bottom w:val="single" w:sz="8" w:space="0" w:color="auto"/>
              <w:right w:val="single" w:sz="8" w:space="0" w:color="auto"/>
            </w:tcBorders>
            <w:shd w:val="clear" w:color="auto" w:fill="auto"/>
            <w:vAlign w:val="center"/>
            <w:hideMark/>
          </w:tcPr>
          <w:p w14:paraId="2EA28EA2"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Edic</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2D46AB7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B2C496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Porter </w:t>
            </w:r>
          </w:p>
        </w:tc>
        <w:tc>
          <w:tcPr>
            <w:tcW w:w="0" w:type="auto"/>
            <w:tcBorders>
              <w:top w:val="nil"/>
              <w:left w:val="nil"/>
              <w:bottom w:val="single" w:sz="8" w:space="0" w:color="auto"/>
              <w:right w:val="single" w:sz="8" w:space="0" w:color="auto"/>
            </w:tcBorders>
            <w:shd w:val="clear" w:color="auto" w:fill="auto"/>
            <w:vAlign w:val="center"/>
            <w:hideMark/>
          </w:tcPr>
          <w:p w14:paraId="3D079F3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0AAFD1C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EF27AD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lastRenderedPageBreak/>
              <w:t xml:space="preserve">BK 4 </w:t>
            </w:r>
          </w:p>
        </w:tc>
        <w:tc>
          <w:tcPr>
            <w:tcW w:w="0" w:type="auto"/>
            <w:tcBorders>
              <w:top w:val="nil"/>
              <w:left w:val="nil"/>
              <w:bottom w:val="single" w:sz="8" w:space="0" w:color="auto"/>
              <w:right w:val="single" w:sz="8" w:space="0" w:color="auto"/>
            </w:tcBorders>
            <w:shd w:val="clear" w:color="auto" w:fill="auto"/>
            <w:vAlign w:val="center"/>
            <w:hideMark/>
          </w:tcPr>
          <w:p w14:paraId="675FDEE6"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Edic</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63F7185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96E767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Porter </w:t>
            </w:r>
          </w:p>
        </w:tc>
        <w:tc>
          <w:tcPr>
            <w:tcW w:w="0" w:type="auto"/>
            <w:tcBorders>
              <w:top w:val="nil"/>
              <w:left w:val="nil"/>
              <w:bottom w:val="single" w:sz="8" w:space="0" w:color="auto"/>
              <w:right w:val="single" w:sz="8" w:space="0" w:color="auto"/>
            </w:tcBorders>
            <w:shd w:val="clear" w:color="auto" w:fill="auto"/>
            <w:vAlign w:val="center"/>
            <w:hideMark/>
          </w:tcPr>
          <w:p w14:paraId="3DC35C1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6FEA027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610158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5 </w:t>
            </w:r>
          </w:p>
        </w:tc>
        <w:tc>
          <w:tcPr>
            <w:tcW w:w="0" w:type="auto"/>
            <w:tcBorders>
              <w:top w:val="nil"/>
              <w:left w:val="nil"/>
              <w:bottom w:val="single" w:sz="8" w:space="0" w:color="auto"/>
              <w:right w:val="single" w:sz="8" w:space="0" w:color="auto"/>
            </w:tcBorders>
            <w:shd w:val="clear" w:color="auto" w:fill="auto"/>
            <w:vAlign w:val="center"/>
            <w:hideMark/>
          </w:tcPr>
          <w:p w14:paraId="02162859"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Edic</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2716851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5FBD9DC"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Edic</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49E1A0F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17FE558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F6D996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6 </w:t>
            </w:r>
          </w:p>
        </w:tc>
        <w:tc>
          <w:tcPr>
            <w:tcW w:w="0" w:type="auto"/>
            <w:tcBorders>
              <w:top w:val="nil"/>
              <w:left w:val="nil"/>
              <w:bottom w:val="single" w:sz="8" w:space="0" w:color="auto"/>
              <w:right w:val="single" w:sz="8" w:space="0" w:color="auto"/>
            </w:tcBorders>
            <w:shd w:val="clear" w:color="auto" w:fill="auto"/>
            <w:vAlign w:val="center"/>
            <w:hideMark/>
          </w:tcPr>
          <w:p w14:paraId="2AA2B5CC"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Edic</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3F25218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E854B9C"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Edic</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2AB25F4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0B25271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323E60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EF24-40 </w:t>
            </w:r>
          </w:p>
        </w:tc>
        <w:tc>
          <w:tcPr>
            <w:tcW w:w="0" w:type="auto"/>
            <w:tcBorders>
              <w:top w:val="nil"/>
              <w:left w:val="nil"/>
              <w:bottom w:val="single" w:sz="8" w:space="0" w:color="auto"/>
              <w:right w:val="single" w:sz="8" w:space="0" w:color="auto"/>
            </w:tcBorders>
            <w:shd w:val="clear" w:color="auto" w:fill="auto"/>
            <w:vAlign w:val="center"/>
            <w:hideMark/>
          </w:tcPr>
          <w:p w14:paraId="633B4C30"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Edic</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74E6C47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40D2E0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Fraser </w:t>
            </w:r>
          </w:p>
        </w:tc>
        <w:tc>
          <w:tcPr>
            <w:tcW w:w="0" w:type="auto"/>
            <w:tcBorders>
              <w:top w:val="nil"/>
              <w:left w:val="nil"/>
              <w:bottom w:val="single" w:sz="8" w:space="0" w:color="auto"/>
              <w:right w:val="single" w:sz="8" w:space="0" w:color="auto"/>
            </w:tcBorders>
            <w:shd w:val="clear" w:color="auto" w:fill="auto"/>
            <w:vAlign w:val="center"/>
            <w:hideMark/>
          </w:tcPr>
          <w:p w14:paraId="18AB9FF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97FF59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B588A9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FE-1 </w:t>
            </w:r>
          </w:p>
        </w:tc>
        <w:tc>
          <w:tcPr>
            <w:tcW w:w="0" w:type="auto"/>
            <w:tcBorders>
              <w:top w:val="nil"/>
              <w:left w:val="nil"/>
              <w:bottom w:val="single" w:sz="8" w:space="0" w:color="auto"/>
              <w:right w:val="single" w:sz="8" w:space="0" w:color="auto"/>
            </w:tcBorders>
            <w:shd w:val="clear" w:color="auto" w:fill="auto"/>
            <w:vAlign w:val="center"/>
            <w:hideMark/>
          </w:tcPr>
          <w:p w14:paraId="7EC8E33E"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Edic</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7BC2CA6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ADC3F5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Fitzpatrick </w:t>
            </w:r>
          </w:p>
        </w:tc>
        <w:tc>
          <w:tcPr>
            <w:tcW w:w="0" w:type="auto"/>
            <w:tcBorders>
              <w:top w:val="nil"/>
              <w:left w:val="nil"/>
              <w:bottom w:val="single" w:sz="8" w:space="0" w:color="auto"/>
              <w:right w:val="single" w:sz="8" w:space="0" w:color="auto"/>
            </w:tcBorders>
            <w:shd w:val="clear" w:color="auto" w:fill="auto"/>
            <w:vAlign w:val="center"/>
            <w:hideMark/>
          </w:tcPr>
          <w:p w14:paraId="6E75D52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4D439D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CFD7E6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UE1-7 </w:t>
            </w:r>
          </w:p>
        </w:tc>
        <w:tc>
          <w:tcPr>
            <w:tcW w:w="0" w:type="auto"/>
            <w:tcBorders>
              <w:top w:val="nil"/>
              <w:left w:val="nil"/>
              <w:bottom w:val="single" w:sz="8" w:space="0" w:color="auto"/>
              <w:right w:val="single" w:sz="8" w:space="0" w:color="auto"/>
            </w:tcBorders>
            <w:shd w:val="clear" w:color="auto" w:fill="auto"/>
            <w:vAlign w:val="center"/>
            <w:hideMark/>
          </w:tcPr>
          <w:p w14:paraId="23E6A8AF"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Edic</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62E1F9D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23ABD1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Marcy </w:t>
            </w:r>
          </w:p>
        </w:tc>
        <w:tc>
          <w:tcPr>
            <w:tcW w:w="0" w:type="auto"/>
            <w:tcBorders>
              <w:top w:val="nil"/>
              <w:left w:val="nil"/>
              <w:bottom w:val="single" w:sz="8" w:space="0" w:color="auto"/>
              <w:right w:val="single" w:sz="8" w:space="0" w:color="auto"/>
            </w:tcBorders>
            <w:shd w:val="clear" w:color="auto" w:fill="auto"/>
            <w:vAlign w:val="center"/>
            <w:hideMark/>
          </w:tcPr>
          <w:p w14:paraId="7276061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4D34D27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CBB70E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17-EO </w:t>
            </w:r>
          </w:p>
        </w:tc>
        <w:tc>
          <w:tcPr>
            <w:tcW w:w="0" w:type="auto"/>
            <w:tcBorders>
              <w:top w:val="nil"/>
              <w:left w:val="nil"/>
              <w:bottom w:val="single" w:sz="8" w:space="0" w:color="auto"/>
              <w:right w:val="single" w:sz="8" w:space="0" w:color="auto"/>
            </w:tcBorders>
            <w:shd w:val="clear" w:color="auto" w:fill="auto"/>
            <w:vAlign w:val="center"/>
            <w:hideMark/>
          </w:tcPr>
          <w:p w14:paraId="4DE8180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Elbridge </w:t>
            </w:r>
          </w:p>
        </w:tc>
        <w:tc>
          <w:tcPr>
            <w:tcW w:w="0" w:type="auto"/>
            <w:tcBorders>
              <w:top w:val="nil"/>
              <w:left w:val="nil"/>
              <w:bottom w:val="single" w:sz="8" w:space="0" w:color="auto"/>
              <w:right w:val="single" w:sz="8" w:space="0" w:color="auto"/>
            </w:tcBorders>
            <w:shd w:val="clear" w:color="auto" w:fill="auto"/>
            <w:vAlign w:val="center"/>
            <w:hideMark/>
          </w:tcPr>
          <w:p w14:paraId="5BEF906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083858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Oswego </w:t>
            </w:r>
          </w:p>
        </w:tc>
        <w:tc>
          <w:tcPr>
            <w:tcW w:w="0" w:type="auto"/>
            <w:tcBorders>
              <w:top w:val="nil"/>
              <w:left w:val="nil"/>
              <w:bottom w:val="single" w:sz="8" w:space="0" w:color="auto"/>
              <w:right w:val="single" w:sz="8" w:space="0" w:color="auto"/>
            </w:tcBorders>
            <w:shd w:val="clear" w:color="auto" w:fill="auto"/>
            <w:vAlign w:val="center"/>
            <w:hideMark/>
          </w:tcPr>
          <w:p w14:paraId="20A74CA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189FC22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E7A648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17-LE </w:t>
            </w:r>
          </w:p>
        </w:tc>
        <w:tc>
          <w:tcPr>
            <w:tcW w:w="0" w:type="auto"/>
            <w:tcBorders>
              <w:top w:val="nil"/>
              <w:left w:val="nil"/>
              <w:bottom w:val="single" w:sz="8" w:space="0" w:color="auto"/>
              <w:right w:val="single" w:sz="8" w:space="0" w:color="auto"/>
            </w:tcBorders>
            <w:shd w:val="clear" w:color="auto" w:fill="auto"/>
            <w:vAlign w:val="center"/>
            <w:hideMark/>
          </w:tcPr>
          <w:p w14:paraId="3870B98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Elbridge </w:t>
            </w:r>
          </w:p>
        </w:tc>
        <w:tc>
          <w:tcPr>
            <w:tcW w:w="0" w:type="auto"/>
            <w:tcBorders>
              <w:top w:val="nil"/>
              <w:left w:val="nil"/>
              <w:bottom w:val="single" w:sz="8" w:space="0" w:color="auto"/>
              <w:right w:val="single" w:sz="8" w:space="0" w:color="auto"/>
            </w:tcBorders>
            <w:shd w:val="clear" w:color="auto" w:fill="auto"/>
            <w:vAlign w:val="center"/>
            <w:hideMark/>
          </w:tcPr>
          <w:p w14:paraId="578A92B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A2B371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Lafayette </w:t>
            </w:r>
          </w:p>
        </w:tc>
        <w:tc>
          <w:tcPr>
            <w:tcW w:w="0" w:type="auto"/>
            <w:tcBorders>
              <w:top w:val="nil"/>
              <w:left w:val="nil"/>
              <w:bottom w:val="single" w:sz="8" w:space="0" w:color="auto"/>
              <w:right w:val="single" w:sz="8" w:space="0" w:color="auto"/>
            </w:tcBorders>
            <w:shd w:val="clear" w:color="auto" w:fill="auto"/>
            <w:vAlign w:val="center"/>
            <w:hideMark/>
          </w:tcPr>
          <w:p w14:paraId="66EC770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1259B649"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3E928B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62CCC62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Elbridge </w:t>
            </w:r>
          </w:p>
        </w:tc>
        <w:tc>
          <w:tcPr>
            <w:tcW w:w="0" w:type="auto"/>
            <w:tcBorders>
              <w:top w:val="nil"/>
              <w:left w:val="nil"/>
              <w:bottom w:val="single" w:sz="8" w:space="0" w:color="auto"/>
              <w:right w:val="single" w:sz="8" w:space="0" w:color="auto"/>
            </w:tcBorders>
            <w:shd w:val="clear" w:color="auto" w:fill="auto"/>
            <w:vAlign w:val="center"/>
            <w:hideMark/>
          </w:tcPr>
          <w:p w14:paraId="64DBC5A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E3A639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Elbridge </w:t>
            </w:r>
          </w:p>
        </w:tc>
        <w:tc>
          <w:tcPr>
            <w:tcW w:w="0" w:type="auto"/>
            <w:tcBorders>
              <w:top w:val="nil"/>
              <w:left w:val="nil"/>
              <w:bottom w:val="single" w:sz="8" w:space="0" w:color="auto"/>
              <w:right w:val="single" w:sz="8" w:space="0" w:color="auto"/>
            </w:tcBorders>
            <w:shd w:val="clear" w:color="auto" w:fill="auto"/>
            <w:vAlign w:val="center"/>
            <w:hideMark/>
          </w:tcPr>
          <w:p w14:paraId="010AB1F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4392CEF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6B2BD6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41</w:t>
            </w:r>
          </w:p>
        </w:tc>
        <w:tc>
          <w:tcPr>
            <w:tcW w:w="0" w:type="auto"/>
            <w:tcBorders>
              <w:top w:val="nil"/>
              <w:left w:val="nil"/>
              <w:bottom w:val="single" w:sz="8" w:space="0" w:color="auto"/>
              <w:right w:val="single" w:sz="8" w:space="0" w:color="auto"/>
            </w:tcBorders>
            <w:shd w:val="clear" w:color="auto" w:fill="auto"/>
            <w:vAlign w:val="center"/>
            <w:hideMark/>
          </w:tcPr>
          <w:p w14:paraId="6219D8B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149B21E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E709F6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Gowanus  </w:t>
            </w:r>
          </w:p>
        </w:tc>
        <w:tc>
          <w:tcPr>
            <w:tcW w:w="0" w:type="auto"/>
            <w:tcBorders>
              <w:top w:val="nil"/>
              <w:left w:val="nil"/>
              <w:bottom w:val="single" w:sz="8" w:space="0" w:color="auto"/>
              <w:right w:val="single" w:sz="8" w:space="0" w:color="auto"/>
            </w:tcBorders>
            <w:shd w:val="clear" w:color="auto" w:fill="auto"/>
            <w:vAlign w:val="center"/>
            <w:hideMark/>
          </w:tcPr>
          <w:p w14:paraId="619F9E8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134A56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21B56C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42</w:t>
            </w:r>
          </w:p>
        </w:tc>
        <w:tc>
          <w:tcPr>
            <w:tcW w:w="0" w:type="auto"/>
            <w:tcBorders>
              <w:top w:val="nil"/>
              <w:left w:val="nil"/>
              <w:bottom w:val="single" w:sz="8" w:space="0" w:color="auto"/>
              <w:right w:val="single" w:sz="8" w:space="0" w:color="auto"/>
            </w:tcBorders>
            <w:shd w:val="clear" w:color="auto" w:fill="auto"/>
            <w:vAlign w:val="center"/>
            <w:hideMark/>
          </w:tcPr>
          <w:p w14:paraId="1DDC600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2A5D3A5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595271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Gowanus  </w:t>
            </w:r>
          </w:p>
        </w:tc>
        <w:tc>
          <w:tcPr>
            <w:tcW w:w="0" w:type="auto"/>
            <w:tcBorders>
              <w:top w:val="nil"/>
              <w:left w:val="nil"/>
              <w:bottom w:val="single" w:sz="8" w:space="0" w:color="auto"/>
              <w:right w:val="single" w:sz="8" w:space="0" w:color="auto"/>
            </w:tcBorders>
            <w:shd w:val="clear" w:color="auto" w:fill="auto"/>
            <w:vAlign w:val="center"/>
            <w:hideMark/>
          </w:tcPr>
          <w:p w14:paraId="5608F89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6A03D27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BBA01E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61</w:t>
            </w:r>
          </w:p>
        </w:tc>
        <w:tc>
          <w:tcPr>
            <w:tcW w:w="0" w:type="auto"/>
            <w:tcBorders>
              <w:top w:val="nil"/>
              <w:left w:val="nil"/>
              <w:bottom w:val="single" w:sz="8" w:space="0" w:color="auto"/>
              <w:right w:val="single" w:sz="8" w:space="0" w:color="auto"/>
            </w:tcBorders>
            <w:shd w:val="clear" w:color="auto" w:fill="auto"/>
            <w:vAlign w:val="center"/>
            <w:hideMark/>
          </w:tcPr>
          <w:p w14:paraId="39E828E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1A75F6E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A8E566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0195C71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193DDDC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FADE48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62</w:t>
            </w:r>
          </w:p>
        </w:tc>
        <w:tc>
          <w:tcPr>
            <w:tcW w:w="0" w:type="auto"/>
            <w:tcBorders>
              <w:top w:val="nil"/>
              <w:left w:val="nil"/>
              <w:bottom w:val="single" w:sz="8" w:space="0" w:color="auto"/>
              <w:right w:val="single" w:sz="8" w:space="0" w:color="auto"/>
            </w:tcBorders>
            <w:shd w:val="clear" w:color="auto" w:fill="auto"/>
            <w:vAlign w:val="center"/>
            <w:hideMark/>
          </w:tcPr>
          <w:p w14:paraId="3D25681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5F17DC2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1669AA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4848505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53E6023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5714D5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63</w:t>
            </w:r>
          </w:p>
        </w:tc>
        <w:tc>
          <w:tcPr>
            <w:tcW w:w="0" w:type="auto"/>
            <w:tcBorders>
              <w:top w:val="nil"/>
              <w:left w:val="nil"/>
              <w:bottom w:val="single" w:sz="8" w:space="0" w:color="auto"/>
              <w:right w:val="single" w:sz="8" w:space="0" w:color="auto"/>
            </w:tcBorders>
            <w:shd w:val="clear" w:color="auto" w:fill="auto"/>
            <w:vAlign w:val="center"/>
            <w:hideMark/>
          </w:tcPr>
          <w:p w14:paraId="16B1EC9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42CDFD7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380FF2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36C8E42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58D3E8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9F0B5F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B3402 </w:t>
            </w:r>
          </w:p>
        </w:tc>
        <w:tc>
          <w:tcPr>
            <w:tcW w:w="0" w:type="auto"/>
            <w:tcBorders>
              <w:top w:val="nil"/>
              <w:left w:val="nil"/>
              <w:bottom w:val="single" w:sz="8" w:space="0" w:color="auto"/>
              <w:right w:val="single" w:sz="8" w:space="0" w:color="auto"/>
            </w:tcBorders>
            <w:shd w:val="clear" w:color="auto" w:fill="auto"/>
            <w:vAlign w:val="center"/>
            <w:hideMark/>
          </w:tcPr>
          <w:p w14:paraId="62820D2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323FD9D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6945E2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Hudson A </w:t>
            </w:r>
          </w:p>
        </w:tc>
        <w:tc>
          <w:tcPr>
            <w:tcW w:w="0" w:type="auto"/>
            <w:tcBorders>
              <w:top w:val="nil"/>
              <w:left w:val="nil"/>
              <w:bottom w:val="single" w:sz="8" w:space="0" w:color="auto"/>
              <w:right w:val="single" w:sz="8" w:space="0" w:color="auto"/>
            </w:tcBorders>
            <w:shd w:val="clear" w:color="auto" w:fill="auto"/>
            <w:vAlign w:val="center"/>
            <w:hideMark/>
          </w:tcPr>
          <w:p w14:paraId="14EBCFB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560F17C9"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6A4BC1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78D0087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5FE23FE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5B99BD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3C9C5FA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3A4539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C104CB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10 </w:t>
            </w:r>
          </w:p>
        </w:tc>
        <w:tc>
          <w:tcPr>
            <w:tcW w:w="0" w:type="auto"/>
            <w:tcBorders>
              <w:top w:val="nil"/>
              <w:left w:val="nil"/>
              <w:bottom w:val="single" w:sz="8" w:space="0" w:color="auto"/>
              <w:right w:val="single" w:sz="8" w:space="0" w:color="auto"/>
            </w:tcBorders>
            <w:shd w:val="clear" w:color="auto" w:fill="auto"/>
            <w:vAlign w:val="center"/>
            <w:hideMark/>
          </w:tcPr>
          <w:p w14:paraId="385CDCE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5D9284F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904FBA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2F365D4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41B9802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226AA0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0056C6C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1C13DAF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0C505E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61818AD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6326E7B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4771F2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3* </w:t>
            </w:r>
          </w:p>
        </w:tc>
        <w:tc>
          <w:tcPr>
            <w:tcW w:w="0" w:type="auto"/>
            <w:tcBorders>
              <w:top w:val="nil"/>
              <w:left w:val="nil"/>
              <w:bottom w:val="single" w:sz="8" w:space="0" w:color="auto"/>
              <w:right w:val="single" w:sz="8" w:space="0" w:color="auto"/>
            </w:tcBorders>
            <w:shd w:val="clear" w:color="auto" w:fill="auto"/>
            <w:vAlign w:val="center"/>
            <w:hideMark/>
          </w:tcPr>
          <w:p w14:paraId="68F30F1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4F96726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9AF576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36B89B3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37D7ACF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695334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4* </w:t>
            </w:r>
          </w:p>
        </w:tc>
        <w:tc>
          <w:tcPr>
            <w:tcW w:w="0" w:type="auto"/>
            <w:tcBorders>
              <w:top w:val="nil"/>
              <w:left w:val="nil"/>
              <w:bottom w:val="single" w:sz="8" w:space="0" w:color="auto"/>
              <w:right w:val="single" w:sz="8" w:space="0" w:color="auto"/>
            </w:tcBorders>
            <w:shd w:val="clear" w:color="auto" w:fill="auto"/>
            <w:vAlign w:val="center"/>
            <w:hideMark/>
          </w:tcPr>
          <w:p w14:paraId="04DDCB3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4BC8F5C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78AEC5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27991C1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7490D20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8128CC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5* </w:t>
            </w:r>
          </w:p>
        </w:tc>
        <w:tc>
          <w:tcPr>
            <w:tcW w:w="0" w:type="auto"/>
            <w:tcBorders>
              <w:top w:val="nil"/>
              <w:left w:val="nil"/>
              <w:bottom w:val="single" w:sz="8" w:space="0" w:color="auto"/>
              <w:right w:val="single" w:sz="8" w:space="0" w:color="auto"/>
            </w:tcBorders>
            <w:shd w:val="clear" w:color="auto" w:fill="auto"/>
            <w:vAlign w:val="center"/>
            <w:hideMark/>
          </w:tcPr>
          <w:p w14:paraId="2AB0092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3E5C335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229D14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494EF16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52C5A59"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2D5C11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6* </w:t>
            </w:r>
          </w:p>
        </w:tc>
        <w:tc>
          <w:tcPr>
            <w:tcW w:w="0" w:type="auto"/>
            <w:tcBorders>
              <w:top w:val="nil"/>
              <w:left w:val="nil"/>
              <w:bottom w:val="single" w:sz="8" w:space="0" w:color="auto"/>
              <w:right w:val="single" w:sz="8" w:space="0" w:color="auto"/>
            </w:tcBorders>
            <w:shd w:val="clear" w:color="auto" w:fill="auto"/>
            <w:vAlign w:val="center"/>
            <w:hideMark/>
          </w:tcPr>
          <w:p w14:paraId="0D5E517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766863F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DD1340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7DC6F83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330F618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192ED9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7* </w:t>
            </w:r>
          </w:p>
        </w:tc>
        <w:tc>
          <w:tcPr>
            <w:tcW w:w="0" w:type="auto"/>
            <w:tcBorders>
              <w:top w:val="nil"/>
              <w:left w:val="nil"/>
              <w:bottom w:val="single" w:sz="8" w:space="0" w:color="auto"/>
              <w:right w:val="single" w:sz="8" w:space="0" w:color="auto"/>
            </w:tcBorders>
            <w:shd w:val="clear" w:color="auto" w:fill="auto"/>
            <w:vAlign w:val="center"/>
            <w:hideMark/>
          </w:tcPr>
          <w:p w14:paraId="1CB0700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37C57CC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E51A54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0D3E88B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0824FF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01CF60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8 </w:t>
            </w:r>
          </w:p>
        </w:tc>
        <w:tc>
          <w:tcPr>
            <w:tcW w:w="0" w:type="auto"/>
            <w:tcBorders>
              <w:top w:val="nil"/>
              <w:left w:val="nil"/>
              <w:bottom w:val="single" w:sz="8" w:space="0" w:color="auto"/>
              <w:right w:val="single" w:sz="8" w:space="0" w:color="auto"/>
            </w:tcBorders>
            <w:shd w:val="clear" w:color="auto" w:fill="auto"/>
            <w:vAlign w:val="center"/>
            <w:hideMark/>
          </w:tcPr>
          <w:p w14:paraId="2216FB5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66B4935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8864C6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132EABD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3B1CAC1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24169F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9 </w:t>
            </w:r>
          </w:p>
        </w:tc>
        <w:tc>
          <w:tcPr>
            <w:tcW w:w="0" w:type="auto"/>
            <w:tcBorders>
              <w:top w:val="nil"/>
              <w:left w:val="nil"/>
              <w:bottom w:val="single" w:sz="8" w:space="0" w:color="auto"/>
              <w:right w:val="single" w:sz="8" w:space="0" w:color="auto"/>
            </w:tcBorders>
            <w:shd w:val="clear" w:color="auto" w:fill="auto"/>
            <w:vAlign w:val="center"/>
            <w:hideMark/>
          </w:tcPr>
          <w:p w14:paraId="428A7F3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563F7AE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C5B7D5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3CE5132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DA500D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603B26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C3403 </w:t>
            </w:r>
          </w:p>
        </w:tc>
        <w:tc>
          <w:tcPr>
            <w:tcW w:w="0" w:type="auto"/>
            <w:tcBorders>
              <w:top w:val="nil"/>
              <w:left w:val="nil"/>
              <w:bottom w:val="single" w:sz="8" w:space="0" w:color="auto"/>
              <w:right w:val="single" w:sz="8" w:space="0" w:color="auto"/>
            </w:tcBorders>
            <w:shd w:val="clear" w:color="auto" w:fill="auto"/>
            <w:vAlign w:val="center"/>
            <w:hideMark/>
          </w:tcPr>
          <w:p w14:paraId="66E0A39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52EFAC5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FB38E6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Hudson B </w:t>
            </w:r>
          </w:p>
        </w:tc>
        <w:tc>
          <w:tcPr>
            <w:tcW w:w="0" w:type="auto"/>
            <w:tcBorders>
              <w:top w:val="nil"/>
              <w:left w:val="nil"/>
              <w:bottom w:val="single" w:sz="8" w:space="0" w:color="auto"/>
              <w:right w:val="single" w:sz="8" w:space="0" w:color="auto"/>
            </w:tcBorders>
            <w:shd w:val="clear" w:color="auto" w:fill="auto"/>
            <w:vAlign w:val="center"/>
            <w:hideMark/>
          </w:tcPr>
          <w:p w14:paraId="366BB90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CD1383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E1D97F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TR11 </w:t>
            </w:r>
          </w:p>
        </w:tc>
        <w:tc>
          <w:tcPr>
            <w:tcW w:w="0" w:type="auto"/>
            <w:tcBorders>
              <w:top w:val="nil"/>
              <w:left w:val="nil"/>
              <w:bottom w:val="single" w:sz="8" w:space="0" w:color="auto"/>
              <w:right w:val="single" w:sz="8" w:space="0" w:color="auto"/>
            </w:tcBorders>
            <w:shd w:val="clear" w:color="auto" w:fill="auto"/>
            <w:vAlign w:val="center"/>
            <w:hideMark/>
          </w:tcPr>
          <w:p w14:paraId="705B952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0474E7E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3F09B4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PAR (B3402) </w:t>
            </w:r>
          </w:p>
        </w:tc>
        <w:tc>
          <w:tcPr>
            <w:tcW w:w="0" w:type="auto"/>
            <w:tcBorders>
              <w:top w:val="nil"/>
              <w:left w:val="nil"/>
              <w:bottom w:val="single" w:sz="8" w:space="0" w:color="auto"/>
              <w:right w:val="single" w:sz="8" w:space="0" w:color="auto"/>
            </w:tcBorders>
            <w:shd w:val="clear" w:color="auto" w:fill="auto"/>
            <w:vAlign w:val="center"/>
            <w:hideMark/>
          </w:tcPr>
          <w:p w14:paraId="1082966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473742F9"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167BDA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TR12 </w:t>
            </w:r>
          </w:p>
        </w:tc>
        <w:tc>
          <w:tcPr>
            <w:tcW w:w="0" w:type="auto"/>
            <w:tcBorders>
              <w:top w:val="nil"/>
              <w:left w:val="nil"/>
              <w:bottom w:val="single" w:sz="8" w:space="0" w:color="auto"/>
              <w:right w:val="single" w:sz="8" w:space="0" w:color="auto"/>
            </w:tcBorders>
            <w:shd w:val="clear" w:color="auto" w:fill="auto"/>
            <w:vAlign w:val="center"/>
            <w:hideMark/>
          </w:tcPr>
          <w:p w14:paraId="03E27CF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w:t>
            </w:r>
          </w:p>
        </w:tc>
        <w:tc>
          <w:tcPr>
            <w:tcW w:w="0" w:type="auto"/>
            <w:tcBorders>
              <w:top w:val="nil"/>
              <w:left w:val="nil"/>
              <w:bottom w:val="single" w:sz="8" w:space="0" w:color="auto"/>
              <w:right w:val="single" w:sz="8" w:space="0" w:color="auto"/>
            </w:tcBorders>
            <w:shd w:val="clear" w:color="auto" w:fill="auto"/>
            <w:vAlign w:val="center"/>
            <w:hideMark/>
          </w:tcPr>
          <w:p w14:paraId="22E0E16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834114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Farragut PAR (C3403) </w:t>
            </w:r>
          </w:p>
        </w:tc>
        <w:tc>
          <w:tcPr>
            <w:tcW w:w="0" w:type="auto"/>
            <w:tcBorders>
              <w:top w:val="nil"/>
              <w:left w:val="nil"/>
              <w:bottom w:val="single" w:sz="8" w:space="0" w:color="auto"/>
              <w:right w:val="single" w:sz="8" w:space="0" w:color="auto"/>
            </w:tcBorders>
            <w:shd w:val="clear" w:color="auto" w:fill="auto"/>
            <w:vAlign w:val="center"/>
            <w:hideMark/>
          </w:tcPr>
          <w:p w14:paraId="7088B29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58370B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E11280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w:t>
            </w:r>
          </w:p>
        </w:tc>
        <w:tc>
          <w:tcPr>
            <w:tcW w:w="0" w:type="auto"/>
            <w:tcBorders>
              <w:top w:val="nil"/>
              <w:left w:val="nil"/>
              <w:bottom w:val="single" w:sz="8" w:space="0" w:color="auto"/>
              <w:right w:val="single" w:sz="8" w:space="0" w:color="auto"/>
            </w:tcBorders>
            <w:shd w:val="clear" w:color="auto" w:fill="auto"/>
            <w:vAlign w:val="center"/>
            <w:hideMark/>
          </w:tcPr>
          <w:p w14:paraId="633A02D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Fitzpatrick </w:t>
            </w:r>
          </w:p>
        </w:tc>
        <w:tc>
          <w:tcPr>
            <w:tcW w:w="0" w:type="auto"/>
            <w:tcBorders>
              <w:top w:val="nil"/>
              <w:left w:val="nil"/>
              <w:bottom w:val="single" w:sz="8" w:space="0" w:color="auto"/>
              <w:right w:val="single" w:sz="8" w:space="0" w:color="auto"/>
            </w:tcBorders>
            <w:shd w:val="clear" w:color="auto" w:fill="auto"/>
            <w:vAlign w:val="center"/>
            <w:hideMark/>
          </w:tcPr>
          <w:p w14:paraId="438AD71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069FB3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Fitzpatrick </w:t>
            </w:r>
          </w:p>
        </w:tc>
        <w:tc>
          <w:tcPr>
            <w:tcW w:w="0" w:type="auto"/>
            <w:tcBorders>
              <w:top w:val="nil"/>
              <w:left w:val="nil"/>
              <w:bottom w:val="single" w:sz="8" w:space="0" w:color="auto"/>
              <w:right w:val="single" w:sz="8" w:space="0" w:color="auto"/>
            </w:tcBorders>
            <w:shd w:val="clear" w:color="auto" w:fill="auto"/>
            <w:vAlign w:val="center"/>
            <w:hideMark/>
          </w:tcPr>
          <w:p w14:paraId="3CD7953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24</w:t>
            </w:r>
          </w:p>
        </w:tc>
      </w:tr>
      <w:tr w:rsidR="00FF49F1" w:rsidRPr="00FF49F1" w14:paraId="0380583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E86DB6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FS-10 </w:t>
            </w:r>
          </w:p>
        </w:tc>
        <w:tc>
          <w:tcPr>
            <w:tcW w:w="0" w:type="auto"/>
            <w:tcBorders>
              <w:top w:val="nil"/>
              <w:left w:val="nil"/>
              <w:bottom w:val="single" w:sz="8" w:space="0" w:color="auto"/>
              <w:right w:val="single" w:sz="8" w:space="0" w:color="auto"/>
            </w:tcBorders>
            <w:shd w:val="clear" w:color="auto" w:fill="auto"/>
            <w:vAlign w:val="center"/>
            <w:hideMark/>
          </w:tcPr>
          <w:p w14:paraId="669B61C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Fitzpatrick </w:t>
            </w:r>
          </w:p>
        </w:tc>
        <w:tc>
          <w:tcPr>
            <w:tcW w:w="0" w:type="auto"/>
            <w:tcBorders>
              <w:top w:val="nil"/>
              <w:left w:val="nil"/>
              <w:bottom w:val="single" w:sz="8" w:space="0" w:color="auto"/>
              <w:right w:val="single" w:sz="8" w:space="0" w:color="auto"/>
            </w:tcBorders>
            <w:shd w:val="clear" w:color="auto" w:fill="auto"/>
            <w:vAlign w:val="center"/>
            <w:hideMark/>
          </w:tcPr>
          <w:p w14:paraId="72039A1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F3C1D8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Scriba </w:t>
            </w:r>
          </w:p>
        </w:tc>
        <w:tc>
          <w:tcPr>
            <w:tcW w:w="0" w:type="auto"/>
            <w:tcBorders>
              <w:top w:val="nil"/>
              <w:left w:val="nil"/>
              <w:bottom w:val="single" w:sz="8" w:space="0" w:color="auto"/>
              <w:right w:val="single" w:sz="8" w:space="0" w:color="auto"/>
            </w:tcBorders>
            <w:shd w:val="clear" w:color="auto" w:fill="auto"/>
            <w:vAlign w:val="center"/>
            <w:hideMark/>
          </w:tcPr>
          <w:p w14:paraId="1046B45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5DEEB4F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DC46F0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BK1 </w:t>
            </w:r>
          </w:p>
        </w:tc>
        <w:tc>
          <w:tcPr>
            <w:tcW w:w="0" w:type="auto"/>
            <w:tcBorders>
              <w:top w:val="nil"/>
              <w:left w:val="nil"/>
              <w:bottom w:val="single" w:sz="8" w:space="0" w:color="auto"/>
              <w:right w:val="single" w:sz="8" w:space="0" w:color="auto"/>
            </w:tcBorders>
            <w:shd w:val="clear" w:color="auto" w:fill="auto"/>
            <w:vAlign w:val="center"/>
            <w:hideMark/>
          </w:tcPr>
          <w:p w14:paraId="23E4127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Five Mile Rd </w:t>
            </w:r>
          </w:p>
        </w:tc>
        <w:tc>
          <w:tcPr>
            <w:tcW w:w="0" w:type="auto"/>
            <w:tcBorders>
              <w:top w:val="nil"/>
              <w:left w:val="nil"/>
              <w:bottom w:val="single" w:sz="8" w:space="0" w:color="auto"/>
              <w:right w:val="single" w:sz="8" w:space="0" w:color="auto"/>
            </w:tcBorders>
            <w:shd w:val="clear" w:color="auto" w:fill="auto"/>
            <w:vAlign w:val="center"/>
            <w:hideMark/>
          </w:tcPr>
          <w:p w14:paraId="7FA6596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BC0479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Five Mile Rd </w:t>
            </w:r>
          </w:p>
        </w:tc>
        <w:tc>
          <w:tcPr>
            <w:tcW w:w="0" w:type="auto"/>
            <w:tcBorders>
              <w:top w:val="nil"/>
              <w:left w:val="nil"/>
              <w:bottom w:val="single" w:sz="8" w:space="0" w:color="auto"/>
              <w:right w:val="single" w:sz="8" w:space="0" w:color="auto"/>
            </w:tcBorders>
            <w:shd w:val="clear" w:color="auto" w:fill="auto"/>
            <w:vAlign w:val="center"/>
            <w:hideMark/>
          </w:tcPr>
          <w:p w14:paraId="0A86516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786219D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9A03C1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29</w:t>
            </w:r>
          </w:p>
        </w:tc>
        <w:tc>
          <w:tcPr>
            <w:tcW w:w="0" w:type="auto"/>
            <w:tcBorders>
              <w:top w:val="nil"/>
              <w:left w:val="nil"/>
              <w:bottom w:val="single" w:sz="8" w:space="0" w:color="auto"/>
              <w:right w:val="single" w:sz="8" w:space="0" w:color="auto"/>
            </w:tcBorders>
            <w:shd w:val="clear" w:color="auto" w:fill="auto"/>
            <w:vAlign w:val="center"/>
            <w:hideMark/>
          </w:tcPr>
          <w:p w14:paraId="032D531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Five Mile Road </w:t>
            </w:r>
          </w:p>
        </w:tc>
        <w:tc>
          <w:tcPr>
            <w:tcW w:w="0" w:type="auto"/>
            <w:tcBorders>
              <w:top w:val="nil"/>
              <w:left w:val="nil"/>
              <w:bottom w:val="single" w:sz="8" w:space="0" w:color="auto"/>
              <w:right w:val="single" w:sz="8" w:space="0" w:color="auto"/>
            </w:tcBorders>
            <w:shd w:val="clear" w:color="auto" w:fill="auto"/>
            <w:vAlign w:val="center"/>
            <w:hideMark/>
          </w:tcPr>
          <w:p w14:paraId="7CD83C1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E862FC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Stolle Road </w:t>
            </w:r>
          </w:p>
        </w:tc>
        <w:tc>
          <w:tcPr>
            <w:tcW w:w="0" w:type="auto"/>
            <w:tcBorders>
              <w:top w:val="nil"/>
              <w:left w:val="nil"/>
              <w:bottom w:val="single" w:sz="8" w:space="0" w:color="auto"/>
              <w:right w:val="single" w:sz="8" w:space="0" w:color="auto"/>
            </w:tcBorders>
            <w:shd w:val="clear" w:color="auto" w:fill="auto"/>
            <w:vAlign w:val="center"/>
            <w:hideMark/>
          </w:tcPr>
          <w:p w14:paraId="4CE4962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BFAB1D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686DAC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37</w:t>
            </w:r>
          </w:p>
        </w:tc>
        <w:tc>
          <w:tcPr>
            <w:tcW w:w="0" w:type="auto"/>
            <w:tcBorders>
              <w:top w:val="nil"/>
              <w:left w:val="nil"/>
              <w:bottom w:val="single" w:sz="8" w:space="0" w:color="auto"/>
              <w:right w:val="single" w:sz="8" w:space="0" w:color="auto"/>
            </w:tcBorders>
            <w:shd w:val="clear" w:color="auto" w:fill="auto"/>
            <w:vAlign w:val="center"/>
            <w:hideMark/>
          </w:tcPr>
          <w:p w14:paraId="5E83AD4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Five Mile Road </w:t>
            </w:r>
          </w:p>
        </w:tc>
        <w:tc>
          <w:tcPr>
            <w:tcW w:w="0" w:type="auto"/>
            <w:tcBorders>
              <w:top w:val="nil"/>
              <w:left w:val="nil"/>
              <w:bottom w:val="single" w:sz="8" w:space="0" w:color="auto"/>
              <w:right w:val="single" w:sz="8" w:space="0" w:color="auto"/>
            </w:tcBorders>
            <w:shd w:val="clear" w:color="auto" w:fill="auto"/>
            <w:vAlign w:val="center"/>
            <w:hideMark/>
          </w:tcPr>
          <w:p w14:paraId="7C9B645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0655EDB"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Piercebrook</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7BF4DE2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D28842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B84755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32</w:t>
            </w:r>
          </w:p>
        </w:tc>
        <w:tc>
          <w:tcPr>
            <w:tcW w:w="0" w:type="auto"/>
            <w:tcBorders>
              <w:top w:val="nil"/>
              <w:left w:val="nil"/>
              <w:bottom w:val="single" w:sz="8" w:space="0" w:color="auto"/>
              <w:right w:val="single" w:sz="8" w:space="0" w:color="auto"/>
            </w:tcBorders>
            <w:shd w:val="clear" w:color="auto" w:fill="auto"/>
            <w:vAlign w:val="center"/>
            <w:hideMark/>
          </w:tcPr>
          <w:p w14:paraId="03958EE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Fraser </w:t>
            </w:r>
          </w:p>
        </w:tc>
        <w:tc>
          <w:tcPr>
            <w:tcW w:w="0" w:type="auto"/>
            <w:tcBorders>
              <w:top w:val="nil"/>
              <w:left w:val="nil"/>
              <w:bottom w:val="single" w:sz="8" w:space="0" w:color="auto"/>
              <w:right w:val="single" w:sz="8" w:space="0" w:color="auto"/>
            </w:tcBorders>
            <w:shd w:val="clear" w:color="auto" w:fill="auto"/>
            <w:vAlign w:val="center"/>
            <w:hideMark/>
          </w:tcPr>
          <w:p w14:paraId="1B97EBA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E38B7F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Oakdale </w:t>
            </w:r>
          </w:p>
        </w:tc>
        <w:tc>
          <w:tcPr>
            <w:tcW w:w="0" w:type="auto"/>
            <w:tcBorders>
              <w:top w:val="nil"/>
              <w:left w:val="nil"/>
              <w:bottom w:val="single" w:sz="8" w:space="0" w:color="auto"/>
              <w:right w:val="single" w:sz="8" w:space="0" w:color="auto"/>
            </w:tcBorders>
            <w:shd w:val="clear" w:color="auto" w:fill="auto"/>
            <w:vAlign w:val="center"/>
            <w:hideMark/>
          </w:tcPr>
          <w:p w14:paraId="50F75FF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506D9C4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661CF3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01563F2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Fraser </w:t>
            </w:r>
          </w:p>
        </w:tc>
        <w:tc>
          <w:tcPr>
            <w:tcW w:w="0" w:type="auto"/>
            <w:tcBorders>
              <w:top w:val="nil"/>
              <w:left w:val="nil"/>
              <w:bottom w:val="single" w:sz="8" w:space="0" w:color="auto"/>
              <w:right w:val="single" w:sz="8" w:space="0" w:color="auto"/>
            </w:tcBorders>
            <w:shd w:val="clear" w:color="auto" w:fill="auto"/>
            <w:vAlign w:val="center"/>
            <w:hideMark/>
          </w:tcPr>
          <w:p w14:paraId="64C279E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3CBD45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Fraser </w:t>
            </w:r>
          </w:p>
        </w:tc>
        <w:tc>
          <w:tcPr>
            <w:tcW w:w="0" w:type="auto"/>
            <w:tcBorders>
              <w:top w:val="nil"/>
              <w:left w:val="nil"/>
              <w:bottom w:val="single" w:sz="8" w:space="0" w:color="auto"/>
              <w:right w:val="single" w:sz="8" w:space="0" w:color="auto"/>
            </w:tcBorders>
            <w:shd w:val="clear" w:color="auto" w:fill="auto"/>
            <w:vAlign w:val="center"/>
            <w:hideMark/>
          </w:tcPr>
          <w:p w14:paraId="0D9CB8E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340EC04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8122CE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GF5-35 </w:t>
            </w:r>
          </w:p>
        </w:tc>
        <w:tc>
          <w:tcPr>
            <w:tcW w:w="0" w:type="auto"/>
            <w:tcBorders>
              <w:top w:val="nil"/>
              <w:left w:val="nil"/>
              <w:bottom w:val="single" w:sz="8" w:space="0" w:color="auto"/>
              <w:right w:val="single" w:sz="8" w:space="0" w:color="auto"/>
            </w:tcBorders>
            <w:shd w:val="clear" w:color="auto" w:fill="auto"/>
            <w:vAlign w:val="center"/>
            <w:hideMark/>
          </w:tcPr>
          <w:p w14:paraId="0C50BE0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Fraser </w:t>
            </w:r>
          </w:p>
        </w:tc>
        <w:tc>
          <w:tcPr>
            <w:tcW w:w="0" w:type="auto"/>
            <w:tcBorders>
              <w:top w:val="nil"/>
              <w:left w:val="nil"/>
              <w:bottom w:val="single" w:sz="8" w:space="0" w:color="auto"/>
              <w:right w:val="single" w:sz="8" w:space="0" w:color="auto"/>
            </w:tcBorders>
            <w:shd w:val="clear" w:color="auto" w:fill="auto"/>
            <w:vAlign w:val="center"/>
            <w:hideMark/>
          </w:tcPr>
          <w:p w14:paraId="109804C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2FB995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Gilboa </w:t>
            </w:r>
          </w:p>
        </w:tc>
        <w:tc>
          <w:tcPr>
            <w:tcW w:w="0" w:type="auto"/>
            <w:tcBorders>
              <w:top w:val="nil"/>
              <w:left w:val="nil"/>
              <w:bottom w:val="single" w:sz="8" w:space="0" w:color="auto"/>
              <w:right w:val="single" w:sz="8" w:space="0" w:color="auto"/>
            </w:tcBorders>
            <w:shd w:val="clear" w:color="auto" w:fill="auto"/>
            <w:vAlign w:val="center"/>
            <w:hideMark/>
          </w:tcPr>
          <w:p w14:paraId="793652A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5F83515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4F2CFA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20</w:t>
            </w:r>
          </w:p>
        </w:tc>
        <w:tc>
          <w:tcPr>
            <w:tcW w:w="0" w:type="auto"/>
            <w:tcBorders>
              <w:top w:val="nil"/>
              <w:left w:val="nil"/>
              <w:bottom w:val="single" w:sz="8" w:space="0" w:color="auto"/>
              <w:right w:val="single" w:sz="8" w:space="0" w:color="auto"/>
            </w:tcBorders>
            <w:shd w:val="clear" w:color="auto" w:fill="auto"/>
            <w:vAlign w:val="center"/>
            <w:hideMark/>
          </w:tcPr>
          <w:p w14:paraId="62147F5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Arthur Kill #3 </w:t>
            </w:r>
          </w:p>
        </w:tc>
        <w:tc>
          <w:tcPr>
            <w:tcW w:w="0" w:type="auto"/>
            <w:tcBorders>
              <w:top w:val="nil"/>
              <w:left w:val="nil"/>
              <w:bottom w:val="single" w:sz="8" w:space="0" w:color="auto"/>
              <w:right w:val="single" w:sz="8" w:space="0" w:color="auto"/>
            </w:tcBorders>
            <w:shd w:val="clear" w:color="auto" w:fill="auto"/>
            <w:vAlign w:val="center"/>
            <w:hideMark/>
          </w:tcPr>
          <w:p w14:paraId="4767539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1FE161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Fresh Kills </w:t>
            </w:r>
          </w:p>
        </w:tc>
        <w:tc>
          <w:tcPr>
            <w:tcW w:w="0" w:type="auto"/>
            <w:tcBorders>
              <w:top w:val="nil"/>
              <w:left w:val="nil"/>
              <w:bottom w:val="single" w:sz="8" w:space="0" w:color="auto"/>
              <w:right w:val="single" w:sz="8" w:space="0" w:color="auto"/>
            </w:tcBorders>
            <w:shd w:val="clear" w:color="auto" w:fill="auto"/>
            <w:vAlign w:val="center"/>
            <w:hideMark/>
          </w:tcPr>
          <w:p w14:paraId="6BA2CC4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13ED9D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BD3CA7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20/TR3</w:t>
            </w:r>
          </w:p>
        </w:tc>
        <w:tc>
          <w:tcPr>
            <w:tcW w:w="0" w:type="auto"/>
            <w:tcBorders>
              <w:top w:val="nil"/>
              <w:left w:val="nil"/>
              <w:bottom w:val="single" w:sz="8" w:space="0" w:color="auto"/>
              <w:right w:val="single" w:sz="8" w:space="0" w:color="auto"/>
            </w:tcBorders>
            <w:shd w:val="clear" w:color="auto" w:fill="auto"/>
            <w:vAlign w:val="center"/>
            <w:hideMark/>
          </w:tcPr>
          <w:p w14:paraId="170B5E5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Fresh Kills </w:t>
            </w:r>
          </w:p>
        </w:tc>
        <w:tc>
          <w:tcPr>
            <w:tcW w:w="0" w:type="auto"/>
            <w:tcBorders>
              <w:top w:val="nil"/>
              <w:left w:val="nil"/>
              <w:bottom w:val="single" w:sz="8" w:space="0" w:color="auto"/>
              <w:right w:val="single" w:sz="8" w:space="0" w:color="auto"/>
            </w:tcBorders>
            <w:shd w:val="clear" w:color="auto" w:fill="auto"/>
            <w:vAlign w:val="center"/>
            <w:hideMark/>
          </w:tcPr>
          <w:p w14:paraId="2A2E4BE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D21B34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Arthur Kill #3 </w:t>
            </w:r>
          </w:p>
        </w:tc>
        <w:tc>
          <w:tcPr>
            <w:tcW w:w="0" w:type="auto"/>
            <w:tcBorders>
              <w:top w:val="nil"/>
              <w:left w:val="nil"/>
              <w:bottom w:val="single" w:sz="8" w:space="0" w:color="auto"/>
              <w:right w:val="single" w:sz="8" w:space="0" w:color="auto"/>
            </w:tcBorders>
            <w:shd w:val="clear" w:color="auto" w:fill="auto"/>
            <w:vAlign w:val="center"/>
            <w:hideMark/>
          </w:tcPr>
          <w:p w14:paraId="20E7A20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22</w:t>
            </w:r>
          </w:p>
        </w:tc>
      </w:tr>
      <w:tr w:rsidR="00FF49F1" w:rsidRPr="00FF49F1" w14:paraId="387DAE1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3376F3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21</w:t>
            </w:r>
          </w:p>
        </w:tc>
        <w:tc>
          <w:tcPr>
            <w:tcW w:w="0" w:type="auto"/>
            <w:tcBorders>
              <w:top w:val="nil"/>
              <w:left w:val="nil"/>
              <w:bottom w:val="single" w:sz="8" w:space="0" w:color="auto"/>
              <w:right w:val="single" w:sz="8" w:space="0" w:color="auto"/>
            </w:tcBorders>
            <w:shd w:val="clear" w:color="auto" w:fill="auto"/>
            <w:vAlign w:val="center"/>
            <w:hideMark/>
          </w:tcPr>
          <w:p w14:paraId="50B2325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Fresh Kills </w:t>
            </w:r>
          </w:p>
        </w:tc>
        <w:tc>
          <w:tcPr>
            <w:tcW w:w="0" w:type="auto"/>
            <w:tcBorders>
              <w:top w:val="nil"/>
              <w:left w:val="nil"/>
              <w:bottom w:val="single" w:sz="8" w:space="0" w:color="auto"/>
              <w:right w:val="single" w:sz="8" w:space="0" w:color="auto"/>
            </w:tcBorders>
            <w:shd w:val="clear" w:color="auto" w:fill="auto"/>
            <w:vAlign w:val="center"/>
            <w:hideMark/>
          </w:tcPr>
          <w:p w14:paraId="5F416D7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C11943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Goethals </w:t>
            </w:r>
          </w:p>
        </w:tc>
        <w:tc>
          <w:tcPr>
            <w:tcW w:w="0" w:type="auto"/>
            <w:tcBorders>
              <w:top w:val="nil"/>
              <w:left w:val="nil"/>
              <w:bottom w:val="single" w:sz="8" w:space="0" w:color="auto"/>
              <w:right w:val="single" w:sz="8" w:space="0" w:color="auto"/>
            </w:tcBorders>
            <w:shd w:val="clear" w:color="auto" w:fill="auto"/>
            <w:vAlign w:val="center"/>
            <w:hideMark/>
          </w:tcPr>
          <w:p w14:paraId="796F28D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53A0D8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88BC1C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22</w:t>
            </w:r>
          </w:p>
        </w:tc>
        <w:tc>
          <w:tcPr>
            <w:tcW w:w="0" w:type="auto"/>
            <w:tcBorders>
              <w:top w:val="nil"/>
              <w:left w:val="nil"/>
              <w:bottom w:val="single" w:sz="8" w:space="0" w:color="auto"/>
              <w:right w:val="single" w:sz="8" w:space="0" w:color="auto"/>
            </w:tcBorders>
            <w:shd w:val="clear" w:color="auto" w:fill="auto"/>
            <w:vAlign w:val="center"/>
            <w:hideMark/>
          </w:tcPr>
          <w:p w14:paraId="3495D5F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Fresh Kills </w:t>
            </w:r>
          </w:p>
        </w:tc>
        <w:tc>
          <w:tcPr>
            <w:tcW w:w="0" w:type="auto"/>
            <w:tcBorders>
              <w:top w:val="nil"/>
              <w:left w:val="nil"/>
              <w:bottom w:val="single" w:sz="8" w:space="0" w:color="auto"/>
              <w:right w:val="single" w:sz="8" w:space="0" w:color="auto"/>
            </w:tcBorders>
            <w:shd w:val="clear" w:color="auto" w:fill="auto"/>
            <w:vAlign w:val="center"/>
            <w:hideMark/>
          </w:tcPr>
          <w:p w14:paraId="733D78E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8544DE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Goethals </w:t>
            </w:r>
          </w:p>
        </w:tc>
        <w:tc>
          <w:tcPr>
            <w:tcW w:w="0" w:type="auto"/>
            <w:tcBorders>
              <w:top w:val="nil"/>
              <w:left w:val="nil"/>
              <w:bottom w:val="single" w:sz="8" w:space="0" w:color="auto"/>
              <w:right w:val="single" w:sz="8" w:space="0" w:color="auto"/>
            </w:tcBorders>
            <w:shd w:val="clear" w:color="auto" w:fill="auto"/>
            <w:vAlign w:val="center"/>
            <w:hideMark/>
          </w:tcPr>
          <w:p w14:paraId="753C4BE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164709A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F26D2A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lastRenderedPageBreak/>
              <w:t xml:space="preserve">TA 1 </w:t>
            </w:r>
          </w:p>
        </w:tc>
        <w:tc>
          <w:tcPr>
            <w:tcW w:w="0" w:type="auto"/>
            <w:tcBorders>
              <w:top w:val="nil"/>
              <w:left w:val="nil"/>
              <w:bottom w:val="single" w:sz="8" w:space="0" w:color="auto"/>
              <w:right w:val="single" w:sz="8" w:space="0" w:color="auto"/>
            </w:tcBorders>
            <w:shd w:val="clear" w:color="auto" w:fill="auto"/>
            <w:vAlign w:val="center"/>
            <w:hideMark/>
          </w:tcPr>
          <w:p w14:paraId="4F6B66B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Fresh Kills </w:t>
            </w:r>
          </w:p>
        </w:tc>
        <w:tc>
          <w:tcPr>
            <w:tcW w:w="0" w:type="auto"/>
            <w:tcBorders>
              <w:top w:val="nil"/>
              <w:left w:val="nil"/>
              <w:bottom w:val="single" w:sz="8" w:space="0" w:color="auto"/>
              <w:right w:val="single" w:sz="8" w:space="0" w:color="auto"/>
            </w:tcBorders>
            <w:shd w:val="clear" w:color="auto" w:fill="auto"/>
            <w:vAlign w:val="center"/>
            <w:hideMark/>
          </w:tcPr>
          <w:p w14:paraId="665080D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96B12A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Fresh Kills R </w:t>
            </w:r>
          </w:p>
        </w:tc>
        <w:tc>
          <w:tcPr>
            <w:tcW w:w="0" w:type="auto"/>
            <w:tcBorders>
              <w:top w:val="nil"/>
              <w:left w:val="nil"/>
              <w:bottom w:val="single" w:sz="8" w:space="0" w:color="auto"/>
              <w:right w:val="single" w:sz="8" w:space="0" w:color="auto"/>
            </w:tcBorders>
            <w:shd w:val="clear" w:color="auto" w:fill="auto"/>
            <w:vAlign w:val="center"/>
            <w:hideMark/>
          </w:tcPr>
          <w:p w14:paraId="5BB6FE4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286EA32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E49DCD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TB 1 </w:t>
            </w:r>
          </w:p>
        </w:tc>
        <w:tc>
          <w:tcPr>
            <w:tcW w:w="0" w:type="auto"/>
            <w:tcBorders>
              <w:top w:val="nil"/>
              <w:left w:val="nil"/>
              <w:bottom w:val="single" w:sz="8" w:space="0" w:color="auto"/>
              <w:right w:val="single" w:sz="8" w:space="0" w:color="auto"/>
            </w:tcBorders>
            <w:shd w:val="clear" w:color="auto" w:fill="auto"/>
            <w:vAlign w:val="center"/>
            <w:hideMark/>
          </w:tcPr>
          <w:p w14:paraId="32A97B5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Fresh Kills </w:t>
            </w:r>
          </w:p>
        </w:tc>
        <w:tc>
          <w:tcPr>
            <w:tcW w:w="0" w:type="auto"/>
            <w:tcBorders>
              <w:top w:val="nil"/>
              <w:left w:val="nil"/>
              <w:bottom w:val="single" w:sz="8" w:space="0" w:color="auto"/>
              <w:right w:val="single" w:sz="8" w:space="0" w:color="auto"/>
            </w:tcBorders>
            <w:shd w:val="clear" w:color="auto" w:fill="auto"/>
            <w:vAlign w:val="center"/>
            <w:hideMark/>
          </w:tcPr>
          <w:p w14:paraId="2AEDC00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DEBA27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Fresh Kills R </w:t>
            </w:r>
          </w:p>
        </w:tc>
        <w:tc>
          <w:tcPr>
            <w:tcW w:w="0" w:type="auto"/>
            <w:tcBorders>
              <w:top w:val="nil"/>
              <w:left w:val="nil"/>
              <w:bottom w:val="single" w:sz="8" w:space="0" w:color="auto"/>
              <w:right w:val="single" w:sz="8" w:space="0" w:color="auto"/>
            </w:tcBorders>
            <w:shd w:val="clear" w:color="auto" w:fill="auto"/>
            <w:vAlign w:val="center"/>
            <w:hideMark/>
          </w:tcPr>
          <w:p w14:paraId="53C42FE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371FBB7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7771BF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w:t>
            </w:r>
          </w:p>
        </w:tc>
        <w:tc>
          <w:tcPr>
            <w:tcW w:w="0" w:type="auto"/>
            <w:tcBorders>
              <w:top w:val="nil"/>
              <w:left w:val="nil"/>
              <w:bottom w:val="single" w:sz="8" w:space="0" w:color="auto"/>
              <w:right w:val="single" w:sz="8" w:space="0" w:color="auto"/>
            </w:tcBorders>
            <w:shd w:val="clear" w:color="auto" w:fill="auto"/>
            <w:vAlign w:val="center"/>
            <w:hideMark/>
          </w:tcPr>
          <w:p w14:paraId="6F79918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Gilboa </w:t>
            </w:r>
          </w:p>
        </w:tc>
        <w:tc>
          <w:tcPr>
            <w:tcW w:w="0" w:type="auto"/>
            <w:tcBorders>
              <w:top w:val="nil"/>
              <w:left w:val="nil"/>
              <w:bottom w:val="single" w:sz="8" w:space="0" w:color="auto"/>
              <w:right w:val="single" w:sz="8" w:space="0" w:color="auto"/>
            </w:tcBorders>
            <w:shd w:val="clear" w:color="auto" w:fill="auto"/>
            <w:vAlign w:val="center"/>
            <w:hideMark/>
          </w:tcPr>
          <w:p w14:paraId="25D1A37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679E78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Gilboa #1 </w:t>
            </w:r>
          </w:p>
        </w:tc>
        <w:tc>
          <w:tcPr>
            <w:tcW w:w="0" w:type="auto"/>
            <w:tcBorders>
              <w:top w:val="nil"/>
              <w:left w:val="nil"/>
              <w:bottom w:val="single" w:sz="8" w:space="0" w:color="auto"/>
              <w:right w:val="single" w:sz="8" w:space="0" w:color="auto"/>
            </w:tcBorders>
            <w:shd w:val="clear" w:color="auto" w:fill="auto"/>
            <w:vAlign w:val="center"/>
            <w:hideMark/>
          </w:tcPr>
          <w:p w14:paraId="3DB3D5D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17</w:t>
            </w:r>
          </w:p>
        </w:tc>
      </w:tr>
      <w:tr w:rsidR="00FF49F1" w:rsidRPr="00FF49F1" w14:paraId="117A776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768026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w:t>
            </w:r>
          </w:p>
        </w:tc>
        <w:tc>
          <w:tcPr>
            <w:tcW w:w="0" w:type="auto"/>
            <w:tcBorders>
              <w:top w:val="nil"/>
              <w:left w:val="nil"/>
              <w:bottom w:val="single" w:sz="8" w:space="0" w:color="auto"/>
              <w:right w:val="single" w:sz="8" w:space="0" w:color="auto"/>
            </w:tcBorders>
            <w:shd w:val="clear" w:color="auto" w:fill="auto"/>
            <w:vAlign w:val="center"/>
            <w:hideMark/>
          </w:tcPr>
          <w:p w14:paraId="4C30DD0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Gilboa </w:t>
            </w:r>
          </w:p>
        </w:tc>
        <w:tc>
          <w:tcPr>
            <w:tcW w:w="0" w:type="auto"/>
            <w:tcBorders>
              <w:top w:val="nil"/>
              <w:left w:val="nil"/>
              <w:bottom w:val="single" w:sz="8" w:space="0" w:color="auto"/>
              <w:right w:val="single" w:sz="8" w:space="0" w:color="auto"/>
            </w:tcBorders>
            <w:shd w:val="clear" w:color="auto" w:fill="auto"/>
            <w:vAlign w:val="center"/>
            <w:hideMark/>
          </w:tcPr>
          <w:p w14:paraId="099CCE9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FAEE17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Gilboa #2 </w:t>
            </w:r>
          </w:p>
        </w:tc>
        <w:tc>
          <w:tcPr>
            <w:tcW w:w="0" w:type="auto"/>
            <w:tcBorders>
              <w:top w:val="nil"/>
              <w:left w:val="nil"/>
              <w:bottom w:val="single" w:sz="8" w:space="0" w:color="auto"/>
              <w:right w:val="single" w:sz="8" w:space="0" w:color="auto"/>
            </w:tcBorders>
            <w:shd w:val="clear" w:color="auto" w:fill="auto"/>
            <w:vAlign w:val="center"/>
            <w:hideMark/>
          </w:tcPr>
          <w:p w14:paraId="530C147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17</w:t>
            </w:r>
          </w:p>
        </w:tc>
      </w:tr>
      <w:tr w:rsidR="00FF49F1" w:rsidRPr="00FF49F1" w14:paraId="27B9F5C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24326D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w:t>
            </w:r>
          </w:p>
        </w:tc>
        <w:tc>
          <w:tcPr>
            <w:tcW w:w="0" w:type="auto"/>
            <w:tcBorders>
              <w:top w:val="nil"/>
              <w:left w:val="nil"/>
              <w:bottom w:val="single" w:sz="8" w:space="0" w:color="auto"/>
              <w:right w:val="single" w:sz="8" w:space="0" w:color="auto"/>
            </w:tcBorders>
            <w:shd w:val="clear" w:color="auto" w:fill="auto"/>
            <w:vAlign w:val="center"/>
            <w:hideMark/>
          </w:tcPr>
          <w:p w14:paraId="05352AE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Gilboa </w:t>
            </w:r>
          </w:p>
        </w:tc>
        <w:tc>
          <w:tcPr>
            <w:tcW w:w="0" w:type="auto"/>
            <w:tcBorders>
              <w:top w:val="nil"/>
              <w:left w:val="nil"/>
              <w:bottom w:val="single" w:sz="8" w:space="0" w:color="auto"/>
              <w:right w:val="single" w:sz="8" w:space="0" w:color="auto"/>
            </w:tcBorders>
            <w:shd w:val="clear" w:color="auto" w:fill="auto"/>
            <w:vAlign w:val="center"/>
            <w:hideMark/>
          </w:tcPr>
          <w:p w14:paraId="63BC510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A7DB40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Gilboa #3 </w:t>
            </w:r>
          </w:p>
        </w:tc>
        <w:tc>
          <w:tcPr>
            <w:tcW w:w="0" w:type="auto"/>
            <w:tcBorders>
              <w:top w:val="nil"/>
              <w:left w:val="nil"/>
              <w:bottom w:val="single" w:sz="8" w:space="0" w:color="auto"/>
              <w:right w:val="single" w:sz="8" w:space="0" w:color="auto"/>
            </w:tcBorders>
            <w:shd w:val="clear" w:color="auto" w:fill="auto"/>
            <w:vAlign w:val="center"/>
            <w:hideMark/>
          </w:tcPr>
          <w:p w14:paraId="5370C17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17</w:t>
            </w:r>
          </w:p>
        </w:tc>
      </w:tr>
      <w:tr w:rsidR="00FF49F1" w:rsidRPr="00FF49F1" w14:paraId="2466DC4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416921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4</w:t>
            </w:r>
          </w:p>
        </w:tc>
        <w:tc>
          <w:tcPr>
            <w:tcW w:w="0" w:type="auto"/>
            <w:tcBorders>
              <w:top w:val="nil"/>
              <w:left w:val="nil"/>
              <w:bottom w:val="single" w:sz="8" w:space="0" w:color="auto"/>
              <w:right w:val="single" w:sz="8" w:space="0" w:color="auto"/>
            </w:tcBorders>
            <w:shd w:val="clear" w:color="auto" w:fill="auto"/>
            <w:vAlign w:val="center"/>
            <w:hideMark/>
          </w:tcPr>
          <w:p w14:paraId="10EF11B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Gilboa </w:t>
            </w:r>
          </w:p>
        </w:tc>
        <w:tc>
          <w:tcPr>
            <w:tcW w:w="0" w:type="auto"/>
            <w:tcBorders>
              <w:top w:val="nil"/>
              <w:left w:val="nil"/>
              <w:bottom w:val="single" w:sz="8" w:space="0" w:color="auto"/>
              <w:right w:val="single" w:sz="8" w:space="0" w:color="auto"/>
            </w:tcBorders>
            <w:shd w:val="clear" w:color="auto" w:fill="auto"/>
            <w:vAlign w:val="center"/>
            <w:hideMark/>
          </w:tcPr>
          <w:p w14:paraId="3E87440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64A141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Gilboa #4 </w:t>
            </w:r>
          </w:p>
        </w:tc>
        <w:tc>
          <w:tcPr>
            <w:tcW w:w="0" w:type="auto"/>
            <w:tcBorders>
              <w:top w:val="nil"/>
              <w:left w:val="nil"/>
              <w:bottom w:val="single" w:sz="8" w:space="0" w:color="auto"/>
              <w:right w:val="single" w:sz="8" w:space="0" w:color="auto"/>
            </w:tcBorders>
            <w:shd w:val="clear" w:color="auto" w:fill="auto"/>
            <w:vAlign w:val="center"/>
            <w:hideMark/>
          </w:tcPr>
          <w:p w14:paraId="42F0A14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17</w:t>
            </w:r>
          </w:p>
        </w:tc>
      </w:tr>
      <w:tr w:rsidR="00FF49F1" w:rsidRPr="00FF49F1" w14:paraId="5088278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91C98C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GL3 </w:t>
            </w:r>
          </w:p>
        </w:tc>
        <w:tc>
          <w:tcPr>
            <w:tcW w:w="0" w:type="auto"/>
            <w:tcBorders>
              <w:top w:val="nil"/>
              <w:left w:val="nil"/>
              <w:bottom w:val="single" w:sz="8" w:space="0" w:color="auto"/>
              <w:right w:val="single" w:sz="8" w:space="0" w:color="auto"/>
            </w:tcBorders>
            <w:shd w:val="clear" w:color="auto" w:fill="auto"/>
            <w:vAlign w:val="center"/>
            <w:hideMark/>
          </w:tcPr>
          <w:p w14:paraId="791F05F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Gilboa </w:t>
            </w:r>
          </w:p>
        </w:tc>
        <w:tc>
          <w:tcPr>
            <w:tcW w:w="0" w:type="auto"/>
            <w:tcBorders>
              <w:top w:val="nil"/>
              <w:left w:val="nil"/>
              <w:bottom w:val="single" w:sz="8" w:space="0" w:color="auto"/>
              <w:right w:val="single" w:sz="8" w:space="0" w:color="auto"/>
            </w:tcBorders>
            <w:shd w:val="clear" w:color="auto" w:fill="auto"/>
            <w:vAlign w:val="center"/>
            <w:hideMark/>
          </w:tcPr>
          <w:p w14:paraId="363449C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EFFB6C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Leeds </w:t>
            </w:r>
          </w:p>
        </w:tc>
        <w:tc>
          <w:tcPr>
            <w:tcW w:w="0" w:type="auto"/>
            <w:tcBorders>
              <w:top w:val="nil"/>
              <w:left w:val="nil"/>
              <w:bottom w:val="single" w:sz="8" w:space="0" w:color="auto"/>
              <w:right w:val="single" w:sz="8" w:space="0" w:color="auto"/>
            </w:tcBorders>
            <w:shd w:val="clear" w:color="auto" w:fill="auto"/>
            <w:vAlign w:val="center"/>
            <w:hideMark/>
          </w:tcPr>
          <w:p w14:paraId="0314D04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1B13086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260AB0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GNS-1 </w:t>
            </w:r>
          </w:p>
        </w:tc>
        <w:tc>
          <w:tcPr>
            <w:tcW w:w="0" w:type="auto"/>
            <w:tcBorders>
              <w:top w:val="nil"/>
              <w:left w:val="nil"/>
              <w:bottom w:val="single" w:sz="8" w:space="0" w:color="auto"/>
              <w:right w:val="single" w:sz="8" w:space="0" w:color="auto"/>
            </w:tcBorders>
            <w:shd w:val="clear" w:color="auto" w:fill="auto"/>
            <w:vAlign w:val="center"/>
            <w:hideMark/>
          </w:tcPr>
          <w:p w14:paraId="218D0AC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Gilboa </w:t>
            </w:r>
          </w:p>
        </w:tc>
        <w:tc>
          <w:tcPr>
            <w:tcW w:w="0" w:type="auto"/>
            <w:tcBorders>
              <w:top w:val="nil"/>
              <w:left w:val="nil"/>
              <w:bottom w:val="single" w:sz="8" w:space="0" w:color="auto"/>
              <w:right w:val="single" w:sz="8" w:space="0" w:color="auto"/>
            </w:tcBorders>
            <w:shd w:val="clear" w:color="auto" w:fill="auto"/>
            <w:vAlign w:val="center"/>
            <w:hideMark/>
          </w:tcPr>
          <w:p w14:paraId="3AE222D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060848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 Scotland </w:t>
            </w:r>
          </w:p>
        </w:tc>
        <w:tc>
          <w:tcPr>
            <w:tcW w:w="0" w:type="auto"/>
            <w:tcBorders>
              <w:top w:val="nil"/>
              <w:left w:val="nil"/>
              <w:bottom w:val="single" w:sz="8" w:space="0" w:color="auto"/>
              <w:right w:val="single" w:sz="8" w:space="0" w:color="auto"/>
            </w:tcBorders>
            <w:shd w:val="clear" w:color="auto" w:fill="auto"/>
            <w:vAlign w:val="center"/>
            <w:hideMark/>
          </w:tcPr>
          <w:p w14:paraId="61C9F04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AFAC4A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436AEB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00D86A2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Goethals </w:t>
            </w:r>
          </w:p>
        </w:tc>
        <w:tc>
          <w:tcPr>
            <w:tcW w:w="0" w:type="auto"/>
            <w:tcBorders>
              <w:top w:val="nil"/>
              <w:left w:val="nil"/>
              <w:bottom w:val="single" w:sz="8" w:space="0" w:color="auto"/>
              <w:right w:val="single" w:sz="8" w:space="0" w:color="auto"/>
            </w:tcBorders>
            <w:shd w:val="clear" w:color="auto" w:fill="auto"/>
            <w:vAlign w:val="center"/>
            <w:hideMark/>
          </w:tcPr>
          <w:p w14:paraId="096D60A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422355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Goethals  </w:t>
            </w:r>
          </w:p>
        </w:tc>
        <w:tc>
          <w:tcPr>
            <w:tcW w:w="0" w:type="auto"/>
            <w:tcBorders>
              <w:top w:val="nil"/>
              <w:left w:val="nil"/>
              <w:bottom w:val="single" w:sz="8" w:space="0" w:color="auto"/>
              <w:right w:val="single" w:sz="8" w:space="0" w:color="auto"/>
            </w:tcBorders>
            <w:shd w:val="clear" w:color="auto" w:fill="auto"/>
            <w:vAlign w:val="center"/>
            <w:hideMark/>
          </w:tcPr>
          <w:p w14:paraId="6F646EC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230/13 </w:t>
            </w:r>
          </w:p>
        </w:tc>
      </w:tr>
      <w:tr w:rsidR="00FF49F1" w:rsidRPr="00FF49F1" w14:paraId="6FEB4A4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157E86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1N </w:t>
            </w:r>
          </w:p>
        </w:tc>
        <w:tc>
          <w:tcPr>
            <w:tcW w:w="0" w:type="auto"/>
            <w:tcBorders>
              <w:top w:val="nil"/>
              <w:left w:val="nil"/>
              <w:bottom w:val="single" w:sz="8" w:space="0" w:color="auto"/>
              <w:right w:val="single" w:sz="8" w:space="0" w:color="auto"/>
            </w:tcBorders>
            <w:shd w:val="clear" w:color="auto" w:fill="auto"/>
            <w:vAlign w:val="center"/>
            <w:hideMark/>
          </w:tcPr>
          <w:p w14:paraId="247BA33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Goethals </w:t>
            </w:r>
          </w:p>
        </w:tc>
        <w:tc>
          <w:tcPr>
            <w:tcW w:w="0" w:type="auto"/>
            <w:tcBorders>
              <w:top w:val="nil"/>
              <w:left w:val="nil"/>
              <w:bottom w:val="single" w:sz="8" w:space="0" w:color="auto"/>
              <w:right w:val="single" w:sz="8" w:space="0" w:color="auto"/>
            </w:tcBorders>
            <w:shd w:val="clear" w:color="auto" w:fill="auto"/>
            <w:vAlign w:val="center"/>
            <w:hideMark/>
          </w:tcPr>
          <w:p w14:paraId="3632439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158A4F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Goethals </w:t>
            </w:r>
          </w:p>
        </w:tc>
        <w:tc>
          <w:tcPr>
            <w:tcW w:w="0" w:type="auto"/>
            <w:tcBorders>
              <w:top w:val="nil"/>
              <w:left w:val="nil"/>
              <w:bottom w:val="single" w:sz="8" w:space="0" w:color="auto"/>
              <w:right w:val="single" w:sz="8" w:space="0" w:color="auto"/>
            </w:tcBorders>
            <w:shd w:val="clear" w:color="auto" w:fill="auto"/>
            <w:vAlign w:val="center"/>
            <w:hideMark/>
          </w:tcPr>
          <w:p w14:paraId="00BD0EB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4987058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08DECB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G23L </w:t>
            </w:r>
          </w:p>
        </w:tc>
        <w:tc>
          <w:tcPr>
            <w:tcW w:w="0" w:type="auto"/>
            <w:tcBorders>
              <w:top w:val="nil"/>
              <w:left w:val="nil"/>
              <w:bottom w:val="single" w:sz="8" w:space="0" w:color="auto"/>
              <w:right w:val="single" w:sz="8" w:space="0" w:color="auto"/>
            </w:tcBorders>
            <w:shd w:val="clear" w:color="auto" w:fill="auto"/>
            <w:vAlign w:val="center"/>
            <w:hideMark/>
          </w:tcPr>
          <w:p w14:paraId="4FBF538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Goethals </w:t>
            </w:r>
          </w:p>
        </w:tc>
        <w:tc>
          <w:tcPr>
            <w:tcW w:w="0" w:type="auto"/>
            <w:tcBorders>
              <w:top w:val="nil"/>
              <w:left w:val="nil"/>
              <w:bottom w:val="single" w:sz="8" w:space="0" w:color="auto"/>
              <w:right w:val="single" w:sz="8" w:space="0" w:color="auto"/>
            </w:tcBorders>
            <w:shd w:val="clear" w:color="auto" w:fill="auto"/>
            <w:vAlign w:val="center"/>
            <w:hideMark/>
          </w:tcPr>
          <w:p w14:paraId="79F4C94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EDA4AB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Linden Cogen </w:t>
            </w:r>
          </w:p>
        </w:tc>
        <w:tc>
          <w:tcPr>
            <w:tcW w:w="0" w:type="auto"/>
            <w:tcBorders>
              <w:top w:val="nil"/>
              <w:left w:val="nil"/>
              <w:bottom w:val="single" w:sz="8" w:space="0" w:color="auto"/>
              <w:right w:val="single" w:sz="8" w:space="0" w:color="auto"/>
            </w:tcBorders>
            <w:shd w:val="clear" w:color="auto" w:fill="auto"/>
            <w:vAlign w:val="center"/>
            <w:hideMark/>
          </w:tcPr>
          <w:p w14:paraId="5771F31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85BA42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BEB0B6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G23M </w:t>
            </w:r>
          </w:p>
        </w:tc>
        <w:tc>
          <w:tcPr>
            <w:tcW w:w="0" w:type="auto"/>
            <w:tcBorders>
              <w:top w:val="nil"/>
              <w:left w:val="nil"/>
              <w:bottom w:val="single" w:sz="8" w:space="0" w:color="auto"/>
              <w:right w:val="single" w:sz="8" w:space="0" w:color="auto"/>
            </w:tcBorders>
            <w:shd w:val="clear" w:color="auto" w:fill="auto"/>
            <w:vAlign w:val="center"/>
            <w:hideMark/>
          </w:tcPr>
          <w:p w14:paraId="6320D9E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Goethals </w:t>
            </w:r>
          </w:p>
        </w:tc>
        <w:tc>
          <w:tcPr>
            <w:tcW w:w="0" w:type="auto"/>
            <w:tcBorders>
              <w:top w:val="nil"/>
              <w:left w:val="nil"/>
              <w:bottom w:val="single" w:sz="8" w:space="0" w:color="auto"/>
              <w:right w:val="single" w:sz="8" w:space="0" w:color="auto"/>
            </w:tcBorders>
            <w:shd w:val="clear" w:color="auto" w:fill="auto"/>
            <w:vAlign w:val="center"/>
            <w:hideMark/>
          </w:tcPr>
          <w:p w14:paraId="7E53BC2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D65B9B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Linden Cogen </w:t>
            </w:r>
          </w:p>
        </w:tc>
        <w:tc>
          <w:tcPr>
            <w:tcW w:w="0" w:type="auto"/>
            <w:tcBorders>
              <w:top w:val="nil"/>
              <w:left w:val="nil"/>
              <w:bottom w:val="single" w:sz="8" w:space="0" w:color="auto"/>
              <w:right w:val="single" w:sz="8" w:space="0" w:color="auto"/>
            </w:tcBorders>
            <w:shd w:val="clear" w:color="auto" w:fill="auto"/>
            <w:vAlign w:val="center"/>
            <w:hideMark/>
          </w:tcPr>
          <w:p w14:paraId="7293BA3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6718834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EB438D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25</w:t>
            </w:r>
          </w:p>
        </w:tc>
        <w:tc>
          <w:tcPr>
            <w:tcW w:w="0" w:type="auto"/>
            <w:tcBorders>
              <w:top w:val="nil"/>
              <w:left w:val="nil"/>
              <w:bottom w:val="single" w:sz="8" w:space="0" w:color="auto"/>
              <w:right w:val="single" w:sz="8" w:space="0" w:color="auto"/>
            </w:tcBorders>
            <w:shd w:val="clear" w:color="auto" w:fill="auto"/>
            <w:vAlign w:val="center"/>
            <w:hideMark/>
          </w:tcPr>
          <w:p w14:paraId="42F65CF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Goethals  </w:t>
            </w:r>
          </w:p>
        </w:tc>
        <w:tc>
          <w:tcPr>
            <w:tcW w:w="0" w:type="auto"/>
            <w:tcBorders>
              <w:top w:val="nil"/>
              <w:left w:val="nil"/>
              <w:bottom w:val="single" w:sz="8" w:space="0" w:color="auto"/>
              <w:right w:val="single" w:sz="8" w:space="0" w:color="auto"/>
            </w:tcBorders>
            <w:shd w:val="clear" w:color="auto" w:fill="auto"/>
            <w:vAlign w:val="center"/>
            <w:hideMark/>
          </w:tcPr>
          <w:p w14:paraId="0058373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349D14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Gowanus </w:t>
            </w:r>
          </w:p>
        </w:tc>
        <w:tc>
          <w:tcPr>
            <w:tcW w:w="0" w:type="auto"/>
            <w:tcBorders>
              <w:top w:val="nil"/>
              <w:left w:val="nil"/>
              <w:bottom w:val="single" w:sz="8" w:space="0" w:color="auto"/>
              <w:right w:val="single" w:sz="8" w:space="0" w:color="auto"/>
            </w:tcBorders>
            <w:shd w:val="clear" w:color="auto" w:fill="auto"/>
            <w:vAlign w:val="center"/>
            <w:hideMark/>
          </w:tcPr>
          <w:p w14:paraId="51EF5EE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139519A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2723AC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6346A0C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Gowanus </w:t>
            </w:r>
          </w:p>
        </w:tc>
        <w:tc>
          <w:tcPr>
            <w:tcW w:w="0" w:type="auto"/>
            <w:tcBorders>
              <w:top w:val="nil"/>
              <w:left w:val="nil"/>
              <w:bottom w:val="single" w:sz="8" w:space="0" w:color="auto"/>
              <w:right w:val="single" w:sz="8" w:space="0" w:color="auto"/>
            </w:tcBorders>
            <w:shd w:val="clear" w:color="auto" w:fill="auto"/>
            <w:vAlign w:val="center"/>
            <w:hideMark/>
          </w:tcPr>
          <w:p w14:paraId="279348D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85D2ED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Gowanus </w:t>
            </w:r>
          </w:p>
        </w:tc>
        <w:tc>
          <w:tcPr>
            <w:tcW w:w="0" w:type="auto"/>
            <w:tcBorders>
              <w:top w:val="nil"/>
              <w:left w:val="nil"/>
              <w:bottom w:val="single" w:sz="8" w:space="0" w:color="auto"/>
              <w:right w:val="single" w:sz="8" w:space="0" w:color="auto"/>
            </w:tcBorders>
            <w:shd w:val="clear" w:color="auto" w:fill="auto"/>
            <w:vAlign w:val="center"/>
            <w:hideMark/>
          </w:tcPr>
          <w:p w14:paraId="09DA37A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2FA7485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A068A7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26</w:t>
            </w:r>
          </w:p>
        </w:tc>
        <w:tc>
          <w:tcPr>
            <w:tcW w:w="0" w:type="auto"/>
            <w:tcBorders>
              <w:top w:val="nil"/>
              <w:left w:val="nil"/>
              <w:bottom w:val="single" w:sz="8" w:space="0" w:color="auto"/>
              <w:right w:val="single" w:sz="8" w:space="0" w:color="auto"/>
            </w:tcBorders>
            <w:shd w:val="clear" w:color="auto" w:fill="auto"/>
            <w:vAlign w:val="center"/>
            <w:hideMark/>
          </w:tcPr>
          <w:p w14:paraId="47FACCC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Goethals </w:t>
            </w:r>
          </w:p>
        </w:tc>
        <w:tc>
          <w:tcPr>
            <w:tcW w:w="0" w:type="auto"/>
            <w:tcBorders>
              <w:top w:val="nil"/>
              <w:left w:val="nil"/>
              <w:bottom w:val="single" w:sz="8" w:space="0" w:color="auto"/>
              <w:right w:val="single" w:sz="8" w:space="0" w:color="auto"/>
            </w:tcBorders>
            <w:shd w:val="clear" w:color="auto" w:fill="auto"/>
            <w:vAlign w:val="center"/>
            <w:hideMark/>
          </w:tcPr>
          <w:p w14:paraId="7B8F989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EDD6A3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Gowanus </w:t>
            </w:r>
          </w:p>
        </w:tc>
        <w:tc>
          <w:tcPr>
            <w:tcW w:w="0" w:type="auto"/>
            <w:tcBorders>
              <w:top w:val="nil"/>
              <w:left w:val="nil"/>
              <w:bottom w:val="single" w:sz="8" w:space="0" w:color="auto"/>
              <w:right w:val="single" w:sz="8" w:space="0" w:color="auto"/>
            </w:tcBorders>
            <w:shd w:val="clear" w:color="auto" w:fill="auto"/>
            <w:vAlign w:val="center"/>
            <w:hideMark/>
          </w:tcPr>
          <w:p w14:paraId="1F41856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D384FD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F8FD50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14 </w:t>
            </w:r>
          </w:p>
        </w:tc>
        <w:tc>
          <w:tcPr>
            <w:tcW w:w="0" w:type="auto"/>
            <w:tcBorders>
              <w:top w:val="nil"/>
              <w:left w:val="nil"/>
              <w:bottom w:val="single" w:sz="8" w:space="0" w:color="auto"/>
              <w:right w:val="single" w:sz="8" w:space="0" w:color="auto"/>
            </w:tcBorders>
            <w:shd w:val="clear" w:color="auto" w:fill="auto"/>
            <w:vAlign w:val="center"/>
            <w:hideMark/>
          </w:tcPr>
          <w:p w14:paraId="0BEB4A3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Gowanus </w:t>
            </w:r>
          </w:p>
        </w:tc>
        <w:tc>
          <w:tcPr>
            <w:tcW w:w="0" w:type="auto"/>
            <w:tcBorders>
              <w:top w:val="nil"/>
              <w:left w:val="nil"/>
              <w:bottom w:val="single" w:sz="8" w:space="0" w:color="auto"/>
              <w:right w:val="single" w:sz="8" w:space="0" w:color="auto"/>
            </w:tcBorders>
            <w:shd w:val="clear" w:color="auto" w:fill="auto"/>
            <w:vAlign w:val="center"/>
            <w:hideMark/>
          </w:tcPr>
          <w:p w14:paraId="5C8A614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3C2464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Gowanus </w:t>
            </w:r>
          </w:p>
        </w:tc>
        <w:tc>
          <w:tcPr>
            <w:tcW w:w="0" w:type="auto"/>
            <w:tcBorders>
              <w:top w:val="nil"/>
              <w:left w:val="nil"/>
              <w:bottom w:val="single" w:sz="8" w:space="0" w:color="auto"/>
              <w:right w:val="single" w:sz="8" w:space="0" w:color="auto"/>
            </w:tcBorders>
            <w:shd w:val="clear" w:color="auto" w:fill="auto"/>
            <w:vAlign w:val="center"/>
            <w:hideMark/>
          </w:tcPr>
          <w:p w14:paraId="0F0E935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7C05322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45CE5D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37</w:t>
            </w:r>
          </w:p>
        </w:tc>
        <w:tc>
          <w:tcPr>
            <w:tcW w:w="0" w:type="auto"/>
            <w:tcBorders>
              <w:top w:val="nil"/>
              <w:left w:val="nil"/>
              <w:bottom w:val="single" w:sz="8" w:space="0" w:color="auto"/>
              <w:right w:val="single" w:sz="8" w:space="0" w:color="auto"/>
            </w:tcBorders>
            <w:shd w:val="clear" w:color="auto" w:fill="auto"/>
            <w:vAlign w:val="center"/>
            <w:hideMark/>
          </w:tcPr>
          <w:p w14:paraId="6AEB56E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Homer City </w:t>
            </w:r>
          </w:p>
        </w:tc>
        <w:tc>
          <w:tcPr>
            <w:tcW w:w="0" w:type="auto"/>
            <w:tcBorders>
              <w:top w:val="nil"/>
              <w:left w:val="nil"/>
              <w:bottom w:val="single" w:sz="8" w:space="0" w:color="auto"/>
              <w:right w:val="single" w:sz="8" w:space="0" w:color="auto"/>
            </w:tcBorders>
            <w:shd w:val="clear" w:color="auto" w:fill="auto"/>
            <w:vAlign w:val="center"/>
            <w:hideMark/>
          </w:tcPr>
          <w:p w14:paraId="6171D34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6C3324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Stolle Rd </w:t>
            </w:r>
          </w:p>
        </w:tc>
        <w:tc>
          <w:tcPr>
            <w:tcW w:w="0" w:type="auto"/>
            <w:tcBorders>
              <w:top w:val="nil"/>
              <w:left w:val="nil"/>
              <w:bottom w:val="single" w:sz="8" w:space="0" w:color="auto"/>
              <w:right w:val="single" w:sz="8" w:space="0" w:color="auto"/>
            </w:tcBorders>
            <w:shd w:val="clear" w:color="auto" w:fill="auto"/>
            <w:vAlign w:val="center"/>
            <w:hideMark/>
          </w:tcPr>
          <w:p w14:paraId="696C54F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298DC7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E6287A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47</w:t>
            </w:r>
          </w:p>
        </w:tc>
        <w:tc>
          <w:tcPr>
            <w:tcW w:w="0" w:type="auto"/>
            <w:tcBorders>
              <w:top w:val="nil"/>
              <w:left w:val="nil"/>
              <w:bottom w:val="single" w:sz="8" w:space="0" w:color="auto"/>
              <w:right w:val="single" w:sz="8" w:space="0" w:color="auto"/>
            </w:tcBorders>
            <w:shd w:val="clear" w:color="auto" w:fill="auto"/>
            <w:vAlign w:val="center"/>
            <w:hideMark/>
          </w:tcPr>
          <w:p w14:paraId="54FB824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Homer City </w:t>
            </w:r>
          </w:p>
        </w:tc>
        <w:tc>
          <w:tcPr>
            <w:tcW w:w="0" w:type="auto"/>
            <w:tcBorders>
              <w:top w:val="nil"/>
              <w:left w:val="nil"/>
              <w:bottom w:val="single" w:sz="8" w:space="0" w:color="auto"/>
              <w:right w:val="single" w:sz="8" w:space="0" w:color="auto"/>
            </w:tcBorders>
            <w:shd w:val="clear" w:color="auto" w:fill="auto"/>
            <w:vAlign w:val="center"/>
            <w:hideMark/>
          </w:tcPr>
          <w:p w14:paraId="4FC127C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01F8BD4"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Mainesburg</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1544270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6DA2C58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D4E237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48</w:t>
            </w:r>
          </w:p>
        </w:tc>
        <w:tc>
          <w:tcPr>
            <w:tcW w:w="0" w:type="auto"/>
            <w:tcBorders>
              <w:top w:val="nil"/>
              <w:left w:val="nil"/>
              <w:bottom w:val="single" w:sz="8" w:space="0" w:color="auto"/>
              <w:right w:val="single" w:sz="8" w:space="0" w:color="auto"/>
            </w:tcBorders>
            <w:shd w:val="clear" w:color="auto" w:fill="auto"/>
            <w:vAlign w:val="center"/>
            <w:hideMark/>
          </w:tcPr>
          <w:p w14:paraId="69B421B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Homer City </w:t>
            </w:r>
          </w:p>
        </w:tc>
        <w:tc>
          <w:tcPr>
            <w:tcW w:w="0" w:type="auto"/>
            <w:tcBorders>
              <w:top w:val="nil"/>
              <w:left w:val="nil"/>
              <w:bottom w:val="single" w:sz="8" w:space="0" w:color="auto"/>
              <w:right w:val="single" w:sz="8" w:space="0" w:color="auto"/>
            </w:tcBorders>
            <w:shd w:val="clear" w:color="auto" w:fill="auto"/>
            <w:vAlign w:val="center"/>
            <w:hideMark/>
          </w:tcPr>
          <w:p w14:paraId="3E7D4E7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8379919"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Piercebrook</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37F92F9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1289596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881F0C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Y56 </w:t>
            </w:r>
          </w:p>
        </w:tc>
        <w:tc>
          <w:tcPr>
            <w:tcW w:w="0" w:type="auto"/>
            <w:tcBorders>
              <w:top w:val="nil"/>
              <w:left w:val="nil"/>
              <w:bottom w:val="single" w:sz="8" w:space="0" w:color="auto"/>
              <w:right w:val="single" w:sz="8" w:space="0" w:color="auto"/>
            </w:tcBorders>
            <w:shd w:val="clear" w:color="auto" w:fill="auto"/>
            <w:vAlign w:val="center"/>
            <w:hideMark/>
          </w:tcPr>
          <w:p w14:paraId="4BFE65B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Hudson </w:t>
            </w:r>
            <w:proofErr w:type="spellStart"/>
            <w:r w:rsidRPr="00FF49F1">
              <w:rPr>
                <w:rFonts w:ascii="Calibri" w:hAnsi="Calibri" w:cs="Calibri"/>
                <w:color w:val="000000"/>
                <w:sz w:val="16"/>
                <w:szCs w:val="16"/>
                <w:lang w:bidi="ar-SA"/>
              </w:rPr>
              <w:t>HVdc</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7992225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63CF25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 49th St </w:t>
            </w:r>
          </w:p>
        </w:tc>
        <w:tc>
          <w:tcPr>
            <w:tcW w:w="0" w:type="auto"/>
            <w:tcBorders>
              <w:top w:val="nil"/>
              <w:left w:val="nil"/>
              <w:bottom w:val="single" w:sz="8" w:space="0" w:color="auto"/>
              <w:right w:val="single" w:sz="8" w:space="0" w:color="auto"/>
            </w:tcBorders>
            <w:shd w:val="clear" w:color="auto" w:fill="auto"/>
            <w:vAlign w:val="center"/>
            <w:hideMark/>
          </w:tcPr>
          <w:p w14:paraId="1B2917F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717C5F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A37121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HR1</w:t>
            </w:r>
          </w:p>
        </w:tc>
        <w:tc>
          <w:tcPr>
            <w:tcW w:w="0" w:type="auto"/>
            <w:tcBorders>
              <w:top w:val="nil"/>
              <w:left w:val="nil"/>
              <w:bottom w:val="single" w:sz="8" w:space="0" w:color="auto"/>
              <w:right w:val="single" w:sz="8" w:space="0" w:color="auto"/>
            </w:tcBorders>
            <w:shd w:val="clear" w:color="auto" w:fill="auto"/>
            <w:noWrap/>
            <w:vAlign w:val="center"/>
            <w:hideMark/>
          </w:tcPr>
          <w:p w14:paraId="6DBCED9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Henrietta (S. 255)</w:t>
            </w:r>
          </w:p>
        </w:tc>
        <w:tc>
          <w:tcPr>
            <w:tcW w:w="0" w:type="auto"/>
            <w:tcBorders>
              <w:top w:val="nil"/>
              <w:left w:val="nil"/>
              <w:bottom w:val="single" w:sz="8" w:space="0" w:color="auto"/>
              <w:right w:val="single" w:sz="8" w:space="0" w:color="auto"/>
            </w:tcBorders>
            <w:shd w:val="clear" w:color="auto" w:fill="auto"/>
            <w:noWrap/>
            <w:vAlign w:val="center"/>
            <w:hideMark/>
          </w:tcPr>
          <w:p w14:paraId="03F49F4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A8EB7A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Rochester Station #80 </w:t>
            </w:r>
          </w:p>
        </w:tc>
        <w:tc>
          <w:tcPr>
            <w:tcW w:w="0" w:type="auto"/>
            <w:tcBorders>
              <w:top w:val="nil"/>
              <w:left w:val="nil"/>
              <w:bottom w:val="single" w:sz="8" w:space="0" w:color="auto"/>
              <w:right w:val="single" w:sz="8" w:space="0" w:color="auto"/>
            </w:tcBorders>
            <w:shd w:val="clear" w:color="auto" w:fill="auto"/>
            <w:noWrap/>
            <w:vAlign w:val="center"/>
            <w:hideMark/>
          </w:tcPr>
          <w:p w14:paraId="3028C4E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C33E78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6115C1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HR2</w:t>
            </w:r>
          </w:p>
        </w:tc>
        <w:tc>
          <w:tcPr>
            <w:tcW w:w="0" w:type="auto"/>
            <w:tcBorders>
              <w:top w:val="nil"/>
              <w:left w:val="nil"/>
              <w:bottom w:val="single" w:sz="8" w:space="0" w:color="auto"/>
              <w:right w:val="single" w:sz="8" w:space="0" w:color="auto"/>
            </w:tcBorders>
            <w:shd w:val="clear" w:color="auto" w:fill="auto"/>
            <w:noWrap/>
            <w:vAlign w:val="center"/>
            <w:hideMark/>
          </w:tcPr>
          <w:p w14:paraId="7307626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Henrietta (S. 255)</w:t>
            </w:r>
          </w:p>
        </w:tc>
        <w:tc>
          <w:tcPr>
            <w:tcW w:w="0" w:type="auto"/>
            <w:tcBorders>
              <w:top w:val="nil"/>
              <w:left w:val="nil"/>
              <w:bottom w:val="single" w:sz="8" w:space="0" w:color="auto"/>
              <w:right w:val="single" w:sz="8" w:space="0" w:color="auto"/>
            </w:tcBorders>
            <w:shd w:val="clear" w:color="auto" w:fill="auto"/>
            <w:noWrap/>
            <w:vAlign w:val="center"/>
            <w:hideMark/>
          </w:tcPr>
          <w:p w14:paraId="7D58020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451DDD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Rochester Station #80 </w:t>
            </w:r>
          </w:p>
        </w:tc>
        <w:tc>
          <w:tcPr>
            <w:tcW w:w="0" w:type="auto"/>
            <w:tcBorders>
              <w:top w:val="nil"/>
              <w:left w:val="nil"/>
              <w:bottom w:val="single" w:sz="8" w:space="0" w:color="auto"/>
              <w:right w:val="single" w:sz="8" w:space="0" w:color="auto"/>
            </w:tcBorders>
            <w:shd w:val="clear" w:color="auto" w:fill="auto"/>
            <w:noWrap/>
            <w:vAlign w:val="center"/>
            <w:hideMark/>
          </w:tcPr>
          <w:p w14:paraId="43B9711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6A6BB3E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E46090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40</w:t>
            </w:r>
          </w:p>
        </w:tc>
        <w:tc>
          <w:tcPr>
            <w:tcW w:w="0" w:type="auto"/>
            <w:tcBorders>
              <w:top w:val="nil"/>
              <w:left w:val="nil"/>
              <w:bottom w:val="single" w:sz="8" w:space="0" w:color="auto"/>
              <w:right w:val="single" w:sz="8" w:space="0" w:color="auto"/>
            </w:tcBorders>
            <w:shd w:val="clear" w:color="auto" w:fill="auto"/>
            <w:noWrap/>
            <w:vAlign w:val="center"/>
            <w:hideMark/>
          </w:tcPr>
          <w:p w14:paraId="4FD502F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Henrietta (S. 255)</w:t>
            </w:r>
          </w:p>
        </w:tc>
        <w:tc>
          <w:tcPr>
            <w:tcW w:w="0" w:type="auto"/>
            <w:tcBorders>
              <w:top w:val="nil"/>
              <w:left w:val="nil"/>
              <w:bottom w:val="single" w:sz="8" w:space="0" w:color="auto"/>
              <w:right w:val="single" w:sz="8" w:space="0" w:color="auto"/>
            </w:tcBorders>
            <w:shd w:val="clear" w:color="auto" w:fill="auto"/>
            <w:noWrap/>
            <w:vAlign w:val="center"/>
            <w:hideMark/>
          </w:tcPr>
          <w:p w14:paraId="39E0C5F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F1803C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Rochester Station #80 </w:t>
            </w:r>
          </w:p>
        </w:tc>
        <w:tc>
          <w:tcPr>
            <w:tcW w:w="0" w:type="auto"/>
            <w:tcBorders>
              <w:top w:val="nil"/>
              <w:left w:val="nil"/>
              <w:bottom w:val="single" w:sz="8" w:space="0" w:color="auto"/>
              <w:right w:val="single" w:sz="8" w:space="0" w:color="auto"/>
            </w:tcBorders>
            <w:shd w:val="clear" w:color="auto" w:fill="auto"/>
            <w:noWrap/>
            <w:vAlign w:val="center"/>
            <w:hideMark/>
          </w:tcPr>
          <w:p w14:paraId="5754C73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56875E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0E1180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BK1</w:t>
            </w:r>
          </w:p>
        </w:tc>
        <w:tc>
          <w:tcPr>
            <w:tcW w:w="0" w:type="auto"/>
            <w:tcBorders>
              <w:top w:val="nil"/>
              <w:left w:val="nil"/>
              <w:bottom w:val="single" w:sz="8" w:space="0" w:color="auto"/>
              <w:right w:val="single" w:sz="8" w:space="0" w:color="auto"/>
            </w:tcBorders>
            <w:shd w:val="clear" w:color="auto" w:fill="auto"/>
            <w:noWrap/>
            <w:vAlign w:val="center"/>
            <w:hideMark/>
          </w:tcPr>
          <w:p w14:paraId="1663BB7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Henrietta (S. 255)</w:t>
            </w:r>
          </w:p>
        </w:tc>
        <w:tc>
          <w:tcPr>
            <w:tcW w:w="0" w:type="auto"/>
            <w:tcBorders>
              <w:top w:val="nil"/>
              <w:left w:val="nil"/>
              <w:bottom w:val="single" w:sz="8" w:space="0" w:color="auto"/>
              <w:right w:val="single" w:sz="8" w:space="0" w:color="auto"/>
            </w:tcBorders>
            <w:shd w:val="clear" w:color="auto" w:fill="auto"/>
            <w:noWrap/>
            <w:vAlign w:val="center"/>
            <w:hideMark/>
          </w:tcPr>
          <w:p w14:paraId="0B1B351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noWrap/>
            <w:vAlign w:val="center"/>
            <w:hideMark/>
          </w:tcPr>
          <w:p w14:paraId="2DD0BF6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Henrietta (S. 255)</w:t>
            </w:r>
          </w:p>
        </w:tc>
        <w:tc>
          <w:tcPr>
            <w:tcW w:w="0" w:type="auto"/>
            <w:tcBorders>
              <w:top w:val="nil"/>
              <w:left w:val="nil"/>
              <w:bottom w:val="single" w:sz="8" w:space="0" w:color="auto"/>
              <w:right w:val="single" w:sz="8" w:space="0" w:color="auto"/>
            </w:tcBorders>
            <w:shd w:val="clear" w:color="auto" w:fill="auto"/>
            <w:noWrap/>
            <w:vAlign w:val="center"/>
            <w:hideMark/>
          </w:tcPr>
          <w:p w14:paraId="3C4B723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1CD92D9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37EF56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BK2</w:t>
            </w:r>
          </w:p>
        </w:tc>
        <w:tc>
          <w:tcPr>
            <w:tcW w:w="0" w:type="auto"/>
            <w:tcBorders>
              <w:top w:val="nil"/>
              <w:left w:val="nil"/>
              <w:bottom w:val="single" w:sz="8" w:space="0" w:color="auto"/>
              <w:right w:val="single" w:sz="8" w:space="0" w:color="auto"/>
            </w:tcBorders>
            <w:shd w:val="clear" w:color="auto" w:fill="auto"/>
            <w:noWrap/>
            <w:vAlign w:val="center"/>
            <w:hideMark/>
          </w:tcPr>
          <w:p w14:paraId="389A5BB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Henrietta (S. 255)</w:t>
            </w:r>
          </w:p>
        </w:tc>
        <w:tc>
          <w:tcPr>
            <w:tcW w:w="0" w:type="auto"/>
            <w:tcBorders>
              <w:top w:val="nil"/>
              <w:left w:val="nil"/>
              <w:bottom w:val="single" w:sz="8" w:space="0" w:color="auto"/>
              <w:right w:val="single" w:sz="8" w:space="0" w:color="auto"/>
            </w:tcBorders>
            <w:shd w:val="clear" w:color="auto" w:fill="auto"/>
            <w:noWrap/>
            <w:vAlign w:val="center"/>
            <w:hideMark/>
          </w:tcPr>
          <w:p w14:paraId="14BE7F9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noWrap/>
            <w:vAlign w:val="center"/>
            <w:hideMark/>
          </w:tcPr>
          <w:p w14:paraId="6B32599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Henrietta (S. 255)</w:t>
            </w:r>
          </w:p>
        </w:tc>
        <w:tc>
          <w:tcPr>
            <w:tcW w:w="0" w:type="auto"/>
            <w:tcBorders>
              <w:top w:val="nil"/>
              <w:left w:val="nil"/>
              <w:bottom w:val="single" w:sz="8" w:space="0" w:color="auto"/>
              <w:right w:val="single" w:sz="8" w:space="0" w:color="auto"/>
            </w:tcBorders>
            <w:shd w:val="clear" w:color="auto" w:fill="auto"/>
            <w:noWrap/>
            <w:vAlign w:val="center"/>
            <w:hideMark/>
          </w:tcPr>
          <w:p w14:paraId="05A4C2F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3A73EEA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2B5DC5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SHI-39</w:t>
            </w:r>
          </w:p>
        </w:tc>
        <w:tc>
          <w:tcPr>
            <w:tcW w:w="0" w:type="auto"/>
            <w:tcBorders>
              <w:top w:val="nil"/>
              <w:left w:val="nil"/>
              <w:bottom w:val="single" w:sz="8" w:space="0" w:color="auto"/>
              <w:right w:val="single" w:sz="8" w:space="0" w:color="auto"/>
            </w:tcBorders>
            <w:shd w:val="clear" w:color="auto" w:fill="auto"/>
            <w:noWrap/>
            <w:vAlign w:val="center"/>
            <w:hideMark/>
          </w:tcPr>
          <w:p w14:paraId="25D3703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Henrietta (S. 255)</w:t>
            </w:r>
          </w:p>
        </w:tc>
        <w:tc>
          <w:tcPr>
            <w:tcW w:w="0" w:type="auto"/>
            <w:tcBorders>
              <w:top w:val="nil"/>
              <w:left w:val="nil"/>
              <w:bottom w:val="single" w:sz="8" w:space="0" w:color="auto"/>
              <w:right w:val="single" w:sz="8" w:space="0" w:color="auto"/>
            </w:tcBorders>
            <w:shd w:val="clear" w:color="auto" w:fill="auto"/>
            <w:noWrap/>
            <w:vAlign w:val="center"/>
            <w:hideMark/>
          </w:tcPr>
          <w:p w14:paraId="3B85C48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5D240BF"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Kintigh</w:t>
            </w:r>
            <w:proofErr w:type="spellEnd"/>
            <w:r w:rsidRPr="00FF49F1">
              <w:rPr>
                <w:rFonts w:ascii="Calibri" w:hAnsi="Calibri" w:cs="Calibri"/>
                <w:color w:val="000000"/>
                <w:sz w:val="16"/>
                <w:szCs w:val="16"/>
                <w:lang w:bidi="ar-SA"/>
              </w:rPr>
              <w:t xml:space="preserve"> (Somerset) </w:t>
            </w:r>
          </w:p>
        </w:tc>
        <w:tc>
          <w:tcPr>
            <w:tcW w:w="0" w:type="auto"/>
            <w:tcBorders>
              <w:top w:val="nil"/>
              <w:left w:val="nil"/>
              <w:bottom w:val="single" w:sz="8" w:space="0" w:color="auto"/>
              <w:right w:val="single" w:sz="8" w:space="0" w:color="auto"/>
            </w:tcBorders>
            <w:shd w:val="clear" w:color="auto" w:fill="auto"/>
            <w:vAlign w:val="center"/>
            <w:hideMark/>
          </w:tcPr>
          <w:p w14:paraId="3E0AABF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4123B5C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C9696C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301</w:t>
            </w:r>
          </w:p>
        </w:tc>
        <w:tc>
          <w:tcPr>
            <w:tcW w:w="0" w:type="auto"/>
            <w:tcBorders>
              <w:top w:val="nil"/>
              <w:left w:val="nil"/>
              <w:bottom w:val="single" w:sz="8" w:space="0" w:color="auto"/>
              <w:right w:val="single" w:sz="8" w:space="0" w:color="auto"/>
            </w:tcBorders>
            <w:shd w:val="clear" w:color="auto" w:fill="auto"/>
            <w:vAlign w:val="center"/>
            <w:hideMark/>
          </w:tcPr>
          <w:p w14:paraId="0822B5D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Hurley Ave </w:t>
            </w:r>
          </w:p>
        </w:tc>
        <w:tc>
          <w:tcPr>
            <w:tcW w:w="0" w:type="auto"/>
            <w:tcBorders>
              <w:top w:val="nil"/>
              <w:left w:val="nil"/>
              <w:bottom w:val="single" w:sz="8" w:space="0" w:color="auto"/>
              <w:right w:val="single" w:sz="8" w:space="0" w:color="auto"/>
            </w:tcBorders>
            <w:shd w:val="clear" w:color="auto" w:fill="auto"/>
            <w:vAlign w:val="center"/>
            <w:hideMark/>
          </w:tcPr>
          <w:p w14:paraId="36A6F4B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E07C54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Leeds </w:t>
            </w:r>
          </w:p>
        </w:tc>
        <w:tc>
          <w:tcPr>
            <w:tcW w:w="0" w:type="auto"/>
            <w:tcBorders>
              <w:top w:val="nil"/>
              <w:left w:val="nil"/>
              <w:bottom w:val="single" w:sz="8" w:space="0" w:color="auto"/>
              <w:right w:val="single" w:sz="8" w:space="0" w:color="auto"/>
            </w:tcBorders>
            <w:shd w:val="clear" w:color="auto" w:fill="auto"/>
            <w:vAlign w:val="center"/>
            <w:hideMark/>
          </w:tcPr>
          <w:p w14:paraId="4B27639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EF23F4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2014FB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303</w:t>
            </w:r>
          </w:p>
        </w:tc>
        <w:tc>
          <w:tcPr>
            <w:tcW w:w="0" w:type="auto"/>
            <w:tcBorders>
              <w:top w:val="nil"/>
              <w:left w:val="nil"/>
              <w:bottom w:val="single" w:sz="8" w:space="0" w:color="auto"/>
              <w:right w:val="single" w:sz="8" w:space="0" w:color="auto"/>
            </w:tcBorders>
            <w:shd w:val="clear" w:color="auto" w:fill="auto"/>
            <w:vAlign w:val="center"/>
            <w:hideMark/>
          </w:tcPr>
          <w:p w14:paraId="575AD5D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Hurley Ave </w:t>
            </w:r>
          </w:p>
        </w:tc>
        <w:tc>
          <w:tcPr>
            <w:tcW w:w="0" w:type="auto"/>
            <w:tcBorders>
              <w:top w:val="nil"/>
              <w:left w:val="nil"/>
              <w:bottom w:val="single" w:sz="8" w:space="0" w:color="auto"/>
              <w:right w:val="single" w:sz="8" w:space="0" w:color="auto"/>
            </w:tcBorders>
            <w:shd w:val="clear" w:color="auto" w:fill="auto"/>
            <w:vAlign w:val="center"/>
            <w:hideMark/>
          </w:tcPr>
          <w:p w14:paraId="52CAC78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855CD94"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Roseton</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1EBC757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EC339C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E7153D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0CAB286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Hurley Ave </w:t>
            </w:r>
          </w:p>
        </w:tc>
        <w:tc>
          <w:tcPr>
            <w:tcW w:w="0" w:type="auto"/>
            <w:tcBorders>
              <w:top w:val="nil"/>
              <w:left w:val="nil"/>
              <w:bottom w:val="single" w:sz="8" w:space="0" w:color="auto"/>
              <w:right w:val="single" w:sz="8" w:space="0" w:color="auto"/>
            </w:tcBorders>
            <w:shd w:val="clear" w:color="auto" w:fill="auto"/>
            <w:vAlign w:val="center"/>
            <w:hideMark/>
          </w:tcPr>
          <w:p w14:paraId="1D3A505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128C74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Hurley Ave </w:t>
            </w:r>
          </w:p>
        </w:tc>
        <w:tc>
          <w:tcPr>
            <w:tcW w:w="0" w:type="auto"/>
            <w:tcBorders>
              <w:top w:val="nil"/>
              <w:left w:val="nil"/>
              <w:bottom w:val="single" w:sz="8" w:space="0" w:color="auto"/>
              <w:right w:val="single" w:sz="8" w:space="0" w:color="auto"/>
            </w:tcBorders>
            <w:shd w:val="clear" w:color="auto" w:fill="auto"/>
            <w:vAlign w:val="center"/>
            <w:hideMark/>
          </w:tcPr>
          <w:p w14:paraId="74731A4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7FBA2F9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28C856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25</w:t>
            </w:r>
          </w:p>
        </w:tc>
        <w:tc>
          <w:tcPr>
            <w:tcW w:w="0" w:type="auto"/>
            <w:tcBorders>
              <w:top w:val="nil"/>
              <w:left w:val="nil"/>
              <w:bottom w:val="single" w:sz="8" w:space="0" w:color="auto"/>
              <w:right w:val="single" w:sz="8" w:space="0" w:color="auto"/>
            </w:tcBorders>
            <w:shd w:val="clear" w:color="auto" w:fill="auto"/>
            <w:vAlign w:val="center"/>
            <w:hideMark/>
          </w:tcPr>
          <w:p w14:paraId="03E6688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Independence </w:t>
            </w:r>
          </w:p>
        </w:tc>
        <w:tc>
          <w:tcPr>
            <w:tcW w:w="0" w:type="auto"/>
            <w:tcBorders>
              <w:top w:val="nil"/>
              <w:left w:val="nil"/>
              <w:bottom w:val="single" w:sz="8" w:space="0" w:color="auto"/>
              <w:right w:val="single" w:sz="8" w:space="0" w:color="auto"/>
            </w:tcBorders>
            <w:shd w:val="clear" w:color="auto" w:fill="auto"/>
            <w:vAlign w:val="center"/>
            <w:hideMark/>
          </w:tcPr>
          <w:p w14:paraId="3943FD8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061BD4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Scriba </w:t>
            </w:r>
          </w:p>
        </w:tc>
        <w:tc>
          <w:tcPr>
            <w:tcW w:w="0" w:type="auto"/>
            <w:tcBorders>
              <w:top w:val="nil"/>
              <w:left w:val="nil"/>
              <w:bottom w:val="single" w:sz="8" w:space="0" w:color="auto"/>
              <w:right w:val="single" w:sz="8" w:space="0" w:color="auto"/>
            </w:tcBorders>
            <w:shd w:val="clear" w:color="auto" w:fill="auto"/>
            <w:vAlign w:val="center"/>
            <w:hideMark/>
          </w:tcPr>
          <w:p w14:paraId="40A7C84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9270A6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4BFC09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27</w:t>
            </w:r>
          </w:p>
        </w:tc>
        <w:tc>
          <w:tcPr>
            <w:tcW w:w="0" w:type="auto"/>
            <w:tcBorders>
              <w:top w:val="nil"/>
              <w:left w:val="nil"/>
              <w:bottom w:val="single" w:sz="8" w:space="0" w:color="auto"/>
              <w:right w:val="single" w:sz="8" w:space="0" w:color="auto"/>
            </w:tcBorders>
            <w:shd w:val="clear" w:color="auto" w:fill="auto"/>
            <w:vAlign w:val="center"/>
            <w:hideMark/>
          </w:tcPr>
          <w:p w14:paraId="6B4D397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Independence </w:t>
            </w:r>
          </w:p>
        </w:tc>
        <w:tc>
          <w:tcPr>
            <w:tcW w:w="0" w:type="auto"/>
            <w:tcBorders>
              <w:top w:val="nil"/>
              <w:left w:val="nil"/>
              <w:bottom w:val="single" w:sz="8" w:space="0" w:color="auto"/>
              <w:right w:val="single" w:sz="8" w:space="0" w:color="auto"/>
            </w:tcBorders>
            <w:shd w:val="clear" w:color="auto" w:fill="auto"/>
            <w:vAlign w:val="center"/>
            <w:hideMark/>
          </w:tcPr>
          <w:p w14:paraId="0CA1D8A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8006909"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Sithe</w:t>
            </w:r>
            <w:proofErr w:type="spellEnd"/>
            <w:r w:rsidRPr="00FF49F1">
              <w:rPr>
                <w:rFonts w:ascii="Calibri" w:hAnsi="Calibri" w:cs="Calibri"/>
                <w:color w:val="000000"/>
                <w:sz w:val="16"/>
                <w:szCs w:val="16"/>
                <w:lang w:bidi="ar-SA"/>
              </w:rPr>
              <w:t xml:space="preserve"> Independence #1 </w:t>
            </w:r>
          </w:p>
        </w:tc>
        <w:tc>
          <w:tcPr>
            <w:tcW w:w="0" w:type="auto"/>
            <w:tcBorders>
              <w:top w:val="nil"/>
              <w:left w:val="nil"/>
              <w:bottom w:val="single" w:sz="8" w:space="0" w:color="auto"/>
              <w:right w:val="single" w:sz="8" w:space="0" w:color="auto"/>
            </w:tcBorders>
            <w:shd w:val="clear" w:color="auto" w:fill="auto"/>
            <w:vAlign w:val="center"/>
            <w:hideMark/>
          </w:tcPr>
          <w:p w14:paraId="02CA623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18</w:t>
            </w:r>
          </w:p>
        </w:tc>
      </w:tr>
      <w:tr w:rsidR="00FF49F1" w:rsidRPr="00FF49F1" w14:paraId="17E082A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9C63E1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28</w:t>
            </w:r>
          </w:p>
        </w:tc>
        <w:tc>
          <w:tcPr>
            <w:tcW w:w="0" w:type="auto"/>
            <w:tcBorders>
              <w:top w:val="nil"/>
              <w:left w:val="nil"/>
              <w:bottom w:val="single" w:sz="8" w:space="0" w:color="auto"/>
              <w:right w:val="single" w:sz="8" w:space="0" w:color="auto"/>
            </w:tcBorders>
            <w:shd w:val="clear" w:color="auto" w:fill="auto"/>
            <w:vAlign w:val="center"/>
            <w:hideMark/>
          </w:tcPr>
          <w:p w14:paraId="2549368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Independence </w:t>
            </w:r>
          </w:p>
        </w:tc>
        <w:tc>
          <w:tcPr>
            <w:tcW w:w="0" w:type="auto"/>
            <w:tcBorders>
              <w:top w:val="nil"/>
              <w:left w:val="nil"/>
              <w:bottom w:val="single" w:sz="8" w:space="0" w:color="auto"/>
              <w:right w:val="single" w:sz="8" w:space="0" w:color="auto"/>
            </w:tcBorders>
            <w:shd w:val="clear" w:color="auto" w:fill="auto"/>
            <w:vAlign w:val="center"/>
            <w:hideMark/>
          </w:tcPr>
          <w:p w14:paraId="04BD8CA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6CA5BBA"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Sithe</w:t>
            </w:r>
            <w:proofErr w:type="spellEnd"/>
            <w:r w:rsidRPr="00FF49F1">
              <w:rPr>
                <w:rFonts w:ascii="Calibri" w:hAnsi="Calibri" w:cs="Calibri"/>
                <w:color w:val="000000"/>
                <w:sz w:val="16"/>
                <w:szCs w:val="16"/>
                <w:lang w:bidi="ar-SA"/>
              </w:rPr>
              <w:t xml:space="preserve"> Independence #2 </w:t>
            </w:r>
          </w:p>
        </w:tc>
        <w:tc>
          <w:tcPr>
            <w:tcW w:w="0" w:type="auto"/>
            <w:tcBorders>
              <w:top w:val="nil"/>
              <w:left w:val="nil"/>
              <w:bottom w:val="single" w:sz="8" w:space="0" w:color="auto"/>
              <w:right w:val="single" w:sz="8" w:space="0" w:color="auto"/>
            </w:tcBorders>
            <w:shd w:val="clear" w:color="auto" w:fill="auto"/>
            <w:vAlign w:val="center"/>
            <w:hideMark/>
          </w:tcPr>
          <w:p w14:paraId="4C2DE61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18</w:t>
            </w:r>
          </w:p>
        </w:tc>
      </w:tr>
      <w:tr w:rsidR="00FF49F1" w:rsidRPr="00FF49F1" w14:paraId="575E42B9"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B0218E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NS1-38 </w:t>
            </w:r>
          </w:p>
        </w:tc>
        <w:tc>
          <w:tcPr>
            <w:tcW w:w="0" w:type="auto"/>
            <w:tcBorders>
              <w:top w:val="nil"/>
              <w:left w:val="nil"/>
              <w:bottom w:val="single" w:sz="8" w:space="0" w:color="auto"/>
              <w:right w:val="single" w:sz="8" w:space="0" w:color="auto"/>
            </w:tcBorders>
            <w:shd w:val="clear" w:color="auto" w:fill="auto"/>
            <w:vAlign w:val="center"/>
            <w:hideMark/>
          </w:tcPr>
          <w:p w14:paraId="3A81A7D6"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Kintigh</w:t>
            </w:r>
            <w:proofErr w:type="spellEnd"/>
            <w:r w:rsidRPr="00FF49F1">
              <w:rPr>
                <w:rFonts w:ascii="Calibri" w:hAnsi="Calibri" w:cs="Calibri"/>
                <w:color w:val="000000"/>
                <w:sz w:val="16"/>
                <w:szCs w:val="16"/>
                <w:lang w:bidi="ar-SA"/>
              </w:rPr>
              <w:t xml:space="preserve"> (Somerset) </w:t>
            </w:r>
          </w:p>
        </w:tc>
        <w:tc>
          <w:tcPr>
            <w:tcW w:w="0" w:type="auto"/>
            <w:tcBorders>
              <w:top w:val="nil"/>
              <w:left w:val="nil"/>
              <w:bottom w:val="single" w:sz="8" w:space="0" w:color="auto"/>
              <w:right w:val="single" w:sz="8" w:space="0" w:color="auto"/>
            </w:tcBorders>
            <w:shd w:val="clear" w:color="auto" w:fill="auto"/>
            <w:vAlign w:val="center"/>
            <w:hideMark/>
          </w:tcPr>
          <w:p w14:paraId="1B10A1C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819F08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462D6A9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0F422A0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6328B5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67</w:t>
            </w:r>
          </w:p>
        </w:tc>
        <w:tc>
          <w:tcPr>
            <w:tcW w:w="0" w:type="auto"/>
            <w:tcBorders>
              <w:top w:val="nil"/>
              <w:left w:val="nil"/>
              <w:bottom w:val="single" w:sz="8" w:space="0" w:color="auto"/>
              <w:right w:val="single" w:sz="8" w:space="0" w:color="auto"/>
            </w:tcBorders>
            <w:shd w:val="clear" w:color="auto" w:fill="auto"/>
            <w:vAlign w:val="center"/>
            <w:hideMark/>
          </w:tcPr>
          <w:p w14:paraId="6C17BA01"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Ladentown</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6547A3C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864285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 Haverstraw </w:t>
            </w:r>
          </w:p>
        </w:tc>
        <w:tc>
          <w:tcPr>
            <w:tcW w:w="0" w:type="auto"/>
            <w:tcBorders>
              <w:top w:val="nil"/>
              <w:left w:val="nil"/>
              <w:bottom w:val="single" w:sz="8" w:space="0" w:color="auto"/>
              <w:right w:val="single" w:sz="8" w:space="0" w:color="auto"/>
            </w:tcBorders>
            <w:shd w:val="clear" w:color="auto" w:fill="auto"/>
            <w:vAlign w:val="center"/>
            <w:hideMark/>
          </w:tcPr>
          <w:p w14:paraId="056BAFC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42E6679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853EB4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W72 </w:t>
            </w:r>
          </w:p>
        </w:tc>
        <w:tc>
          <w:tcPr>
            <w:tcW w:w="0" w:type="auto"/>
            <w:tcBorders>
              <w:top w:val="nil"/>
              <w:left w:val="nil"/>
              <w:bottom w:val="single" w:sz="8" w:space="0" w:color="auto"/>
              <w:right w:val="single" w:sz="8" w:space="0" w:color="auto"/>
            </w:tcBorders>
            <w:shd w:val="clear" w:color="auto" w:fill="auto"/>
            <w:vAlign w:val="center"/>
            <w:hideMark/>
          </w:tcPr>
          <w:p w14:paraId="467598E6"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Ladentown</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2877798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A7D54C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Ramapo </w:t>
            </w:r>
          </w:p>
        </w:tc>
        <w:tc>
          <w:tcPr>
            <w:tcW w:w="0" w:type="auto"/>
            <w:tcBorders>
              <w:top w:val="nil"/>
              <w:left w:val="nil"/>
              <w:bottom w:val="single" w:sz="8" w:space="0" w:color="auto"/>
              <w:right w:val="single" w:sz="8" w:space="0" w:color="auto"/>
            </w:tcBorders>
            <w:shd w:val="clear" w:color="auto" w:fill="auto"/>
            <w:vAlign w:val="center"/>
            <w:hideMark/>
          </w:tcPr>
          <w:p w14:paraId="052A4D5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8220E3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C20C2E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92</w:t>
            </w:r>
          </w:p>
        </w:tc>
        <w:tc>
          <w:tcPr>
            <w:tcW w:w="0" w:type="auto"/>
            <w:tcBorders>
              <w:top w:val="nil"/>
              <w:left w:val="nil"/>
              <w:bottom w:val="single" w:sz="8" w:space="0" w:color="auto"/>
              <w:right w:val="single" w:sz="8" w:space="0" w:color="auto"/>
            </w:tcBorders>
            <w:shd w:val="clear" w:color="auto" w:fill="auto"/>
            <w:vAlign w:val="center"/>
            <w:hideMark/>
          </w:tcPr>
          <w:p w14:paraId="2FE2EB5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Leeds </w:t>
            </w:r>
          </w:p>
        </w:tc>
        <w:tc>
          <w:tcPr>
            <w:tcW w:w="0" w:type="auto"/>
            <w:tcBorders>
              <w:top w:val="nil"/>
              <w:left w:val="nil"/>
              <w:bottom w:val="single" w:sz="8" w:space="0" w:color="auto"/>
              <w:right w:val="single" w:sz="8" w:space="0" w:color="auto"/>
            </w:tcBorders>
            <w:shd w:val="clear" w:color="auto" w:fill="auto"/>
            <w:vAlign w:val="center"/>
            <w:hideMark/>
          </w:tcPr>
          <w:p w14:paraId="2F6B625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5A969F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Pleasant Valley </w:t>
            </w:r>
          </w:p>
        </w:tc>
        <w:tc>
          <w:tcPr>
            <w:tcW w:w="0" w:type="auto"/>
            <w:tcBorders>
              <w:top w:val="nil"/>
              <w:left w:val="nil"/>
              <w:bottom w:val="single" w:sz="8" w:space="0" w:color="auto"/>
              <w:right w:val="single" w:sz="8" w:space="0" w:color="auto"/>
            </w:tcBorders>
            <w:shd w:val="clear" w:color="auto" w:fill="auto"/>
            <w:vAlign w:val="center"/>
            <w:hideMark/>
          </w:tcPr>
          <w:p w14:paraId="0F5417C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4319B8D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D87CEF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93</w:t>
            </w:r>
          </w:p>
        </w:tc>
        <w:tc>
          <w:tcPr>
            <w:tcW w:w="0" w:type="auto"/>
            <w:tcBorders>
              <w:top w:val="nil"/>
              <w:left w:val="nil"/>
              <w:bottom w:val="single" w:sz="8" w:space="0" w:color="auto"/>
              <w:right w:val="single" w:sz="8" w:space="0" w:color="auto"/>
            </w:tcBorders>
            <w:shd w:val="clear" w:color="auto" w:fill="auto"/>
            <w:vAlign w:val="center"/>
            <w:hideMark/>
          </w:tcPr>
          <w:p w14:paraId="1E1B86B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Leeds </w:t>
            </w:r>
          </w:p>
        </w:tc>
        <w:tc>
          <w:tcPr>
            <w:tcW w:w="0" w:type="auto"/>
            <w:tcBorders>
              <w:top w:val="nil"/>
              <w:left w:val="nil"/>
              <w:bottom w:val="single" w:sz="8" w:space="0" w:color="auto"/>
              <w:right w:val="single" w:sz="8" w:space="0" w:color="auto"/>
            </w:tcBorders>
            <w:shd w:val="clear" w:color="auto" w:fill="auto"/>
            <w:vAlign w:val="center"/>
            <w:hideMark/>
          </w:tcPr>
          <w:p w14:paraId="210AE72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A53900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 Scotland </w:t>
            </w:r>
          </w:p>
        </w:tc>
        <w:tc>
          <w:tcPr>
            <w:tcW w:w="0" w:type="auto"/>
            <w:tcBorders>
              <w:top w:val="nil"/>
              <w:left w:val="nil"/>
              <w:bottom w:val="single" w:sz="8" w:space="0" w:color="auto"/>
              <w:right w:val="single" w:sz="8" w:space="0" w:color="auto"/>
            </w:tcBorders>
            <w:shd w:val="clear" w:color="auto" w:fill="auto"/>
            <w:vAlign w:val="center"/>
            <w:hideMark/>
          </w:tcPr>
          <w:p w14:paraId="32C823F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44FE450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CD5DE3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94</w:t>
            </w:r>
          </w:p>
        </w:tc>
        <w:tc>
          <w:tcPr>
            <w:tcW w:w="0" w:type="auto"/>
            <w:tcBorders>
              <w:top w:val="nil"/>
              <w:left w:val="nil"/>
              <w:bottom w:val="single" w:sz="8" w:space="0" w:color="auto"/>
              <w:right w:val="single" w:sz="8" w:space="0" w:color="auto"/>
            </w:tcBorders>
            <w:shd w:val="clear" w:color="auto" w:fill="auto"/>
            <w:vAlign w:val="center"/>
            <w:hideMark/>
          </w:tcPr>
          <w:p w14:paraId="43BA94F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Leeds </w:t>
            </w:r>
          </w:p>
        </w:tc>
        <w:tc>
          <w:tcPr>
            <w:tcW w:w="0" w:type="auto"/>
            <w:tcBorders>
              <w:top w:val="nil"/>
              <w:left w:val="nil"/>
              <w:bottom w:val="single" w:sz="8" w:space="0" w:color="auto"/>
              <w:right w:val="single" w:sz="8" w:space="0" w:color="auto"/>
            </w:tcBorders>
            <w:shd w:val="clear" w:color="auto" w:fill="auto"/>
            <w:vAlign w:val="center"/>
            <w:hideMark/>
          </w:tcPr>
          <w:p w14:paraId="67F2597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75E325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 Scotland </w:t>
            </w:r>
          </w:p>
        </w:tc>
        <w:tc>
          <w:tcPr>
            <w:tcW w:w="0" w:type="auto"/>
            <w:tcBorders>
              <w:top w:val="nil"/>
              <w:left w:val="nil"/>
              <w:bottom w:val="single" w:sz="8" w:space="0" w:color="auto"/>
              <w:right w:val="single" w:sz="8" w:space="0" w:color="auto"/>
            </w:tcBorders>
            <w:shd w:val="clear" w:color="auto" w:fill="auto"/>
            <w:vAlign w:val="center"/>
            <w:hideMark/>
          </w:tcPr>
          <w:p w14:paraId="53BE423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30F698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9AB786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398</w:t>
            </w:r>
          </w:p>
        </w:tc>
        <w:tc>
          <w:tcPr>
            <w:tcW w:w="0" w:type="auto"/>
            <w:tcBorders>
              <w:top w:val="nil"/>
              <w:left w:val="nil"/>
              <w:bottom w:val="single" w:sz="8" w:space="0" w:color="auto"/>
              <w:right w:val="single" w:sz="8" w:space="0" w:color="auto"/>
            </w:tcBorders>
            <w:shd w:val="clear" w:color="auto" w:fill="auto"/>
            <w:vAlign w:val="center"/>
            <w:hideMark/>
          </w:tcPr>
          <w:p w14:paraId="72371D9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Long Mtn. (ISO-NE) </w:t>
            </w:r>
          </w:p>
        </w:tc>
        <w:tc>
          <w:tcPr>
            <w:tcW w:w="0" w:type="auto"/>
            <w:tcBorders>
              <w:top w:val="nil"/>
              <w:left w:val="nil"/>
              <w:bottom w:val="single" w:sz="8" w:space="0" w:color="auto"/>
              <w:right w:val="single" w:sz="8" w:space="0" w:color="auto"/>
            </w:tcBorders>
            <w:shd w:val="clear" w:color="auto" w:fill="auto"/>
            <w:vAlign w:val="center"/>
            <w:hideMark/>
          </w:tcPr>
          <w:p w14:paraId="47766A8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4E21DC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Pleasant Valley </w:t>
            </w:r>
          </w:p>
        </w:tc>
        <w:tc>
          <w:tcPr>
            <w:tcW w:w="0" w:type="auto"/>
            <w:tcBorders>
              <w:top w:val="nil"/>
              <w:left w:val="nil"/>
              <w:bottom w:val="single" w:sz="8" w:space="0" w:color="auto"/>
              <w:right w:val="single" w:sz="8" w:space="0" w:color="auto"/>
            </w:tcBorders>
            <w:shd w:val="clear" w:color="auto" w:fill="auto"/>
            <w:vAlign w:val="center"/>
            <w:hideMark/>
          </w:tcPr>
          <w:p w14:paraId="119C44F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1A476CE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14FAAF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30</w:t>
            </w:r>
          </w:p>
        </w:tc>
        <w:tc>
          <w:tcPr>
            <w:tcW w:w="0" w:type="auto"/>
            <w:tcBorders>
              <w:top w:val="nil"/>
              <w:left w:val="nil"/>
              <w:bottom w:val="single" w:sz="8" w:space="0" w:color="auto"/>
              <w:right w:val="single" w:sz="8" w:space="0" w:color="auto"/>
            </w:tcBorders>
            <w:shd w:val="clear" w:color="auto" w:fill="auto"/>
            <w:vAlign w:val="center"/>
            <w:hideMark/>
          </w:tcPr>
          <w:p w14:paraId="185FBB67"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Mainesburg</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2BA50BE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5C65A35"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Watercure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557F936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453E39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12AA00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lastRenderedPageBreak/>
              <w:t>18</w:t>
            </w:r>
          </w:p>
        </w:tc>
        <w:tc>
          <w:tcPr>
            <w:tcW w:w="0" w:type="auto"/>
            <w:tcBorders>
              <w:top w:val="nil"/>
              <w:left w:val="nil"/>
              <w:bottom w:val="single" w:sz="8" w:space="0" w:color="auto"/>
              <w:right w:val="single" w:sz="8" w:space="0" w:color="auto"/>
            </w:tcBorders>
            <w:shd w:val="clear" w:color="auto" w:fill="auto"/>
            <w:vAlign w:val="center"/>
            <w:hideMark/>
          </w:tcPr>
          <w:p w14:paraId="1B49336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Marcy </w:t>
            </w:r>
          </w:p>
        </w:tc>
        <w:tc>
          <w:tcPr>
            <w:tcW w:w="0" w:type="auto"/>
            <w:tcBorders>
              <w:top w:val="nil"/>
              <w:left w:val="nil"/>
              <w:bottom w:val="single" w:sz="8" w:space="0" w:color="auto"/>
              <w:right w:val="single" w:sz="8" w:space="0" w:color="auto"/>
            </w:tcBorders>
            <w:shd w:val="clear" w:color="auto" w:fill="auto"/>
            <w:vAlign w:val="center"/>
            <w:hideMark/>
          </w:tcPr>
          <w:p w14:paraId="62451B7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03B1DB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 Scotland </w:t>
            </w:r>
          </w:p>
        </w:tc>
        <w:tc>
          <w:tcPr>
            <w:tcW w:w="0" w:type="auto"/>
            <w:tcBorders>
              <w:top w:val="nil"/>
              <w:left w:val="nil"/>
              <w:bottom w:val="single" w:sz="8" w:space="0" w:color="auto"/>
              <w:right w:val="single" w:sz="8" w:space="0" w:color="auto"/>
            </w:tcBorders>
            <w:shd w:val="clear" w:color="auto" w:fill="auto"/>
            <w:vAlign w:val="center"/>
            <w:hideMark/>
          </w:tcPr>
          <w:p w14:paraId="46EFB08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5F3A604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14FDD3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19</w:t>
            </w:r>
          </w:p>
        </w:tc>
        <w:tc>
          <w:tcPr>
            <w:tcW w:w="0" w:type="auto"/>
            <w:tcBorders>
              <w:top w:val="nil"/>
              <w:left w:val="nil"/>
              <w:bottom w:val="single" w:sz="8" w:space="0" w:color="auto"/>
              <w:right w:val="single" w:sz="8" w:space="0" w:color="auto"/>
            </w:tcBorders>
            <w:shd w:val="clear" w:color="auto" w:fill="auto"/>
            <w:vAlign w:val="center"/>
            <w:hideMark/>
          </w:tcPr>
          <w:p w14:paraId="7FE5950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Marcy </w:t>
            </w:r>
          </w:p>
        </w:tc>
        <w:tc>
          <w:tcPr>
            <w:tcW w:w="0" w:type="auto"/>
            <w:tcBorders>
              <w:top w:val="nil"/>
              <w:left w:val="nil"/>
              <w:bottom w:val="single" w:sz="8" w:space="0" w:color="auto"/>
              <w:right w:val="single" w:sz="8" w:space="0" w:color="auto"/>
            </w:tcBorders>
            <w:shd w:val="clear" w:color="auto" w:fill="auto"/>
            <w:vAlign w:val="center"/>
            <w:hideMark/>
          </w:tcPr>
          <w:p w14:paraId="259289B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1BA854F"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Volney</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6B98C7E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1C82AE2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D8BA54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TA 1 </w:t>
            </w:r>
          </w:p>
        </w:tc>
        <w:tc>
          <w:tcPr>
            <w:tcW w:w="0" w:type="auto"/>
            <w:tcBorders>
              <w:top w:val="nil"/>
              <w:left w:val="nil"/>
              <w:bottom w:val="single" w:sz="8" w:space="0" w:color="auto"/>
              <w:right w:val="single" w:sz="8" w:space="0" w:color="auto"/>
            </w:tcBorders>
            <w:shd w:val="clear" w:color="auto" w:fill="auto"/>
            <w:vAlign w:val="center"/>
            <w:hideMark/>
          </w:tcPr>
          <w:p w14:paraId="51519FA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Millwood </w:t>
            </w:r>
          </w:p>
        </w:tc>
        <w:tc>
          <w:tcPr>
            <w:tcW w:w="0" w:type="auto"/>
            <w:tcBorders>
              <w:top w:val="nil"/>
              <w:left w:val="nil"/>
              <w:bottom w:val="single" w:sz="8" w:space="0" w:color="auto"/>
              <w:right w:val="single" w:sz="8" w:space="0" w:color="auto"/>
            </w:tcBorders>
            <w:shd w:val="clear" w:color="auto" w:fill="auto"/>
            <w:vAlign w:val="center"/>
            <w:hideMark/>
          </w:tcPr>
          <w:p w14:paraId="4367200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644ECF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Millwood </w:t>
            </w:r>
          </w:p>
        </w:tc>
        <w:tc>
          <w:tcPr>
            <w:tcW w:w="0" w:type="auto"/>
            <w:tcBorders>
              <w:top w:val="nil"/>
              <w:left w:val="nil"/>
              <w:bottom w:val="single" w:sz="8" w:space="0" w:color="auto"/>
              <w:right w:val="single" w:sz="8" w:space="0" w:color="auto"/>
            </w:tcBorders>
            <w:shd w:val="clear" w:color="auto" w:fill="auto"/>
            <w:vAlign w:val="center"/>
            <w:hideMark/>
          </w:tcPr>
          <w:p w14:paraId="7D435E3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02D5F2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C5F514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TA 2 </w:t>
            </w:r>
          </w:p>
        </w:tc>
        <w:tc>
          <w:tcPr>
            <w:tcW w:w="0" w:type="auto"/>
            <w:tcBorders>
              <w:top w:val="nil"/>
              <w:left w:val="nil"/>
              <w:bottom w:val="single" w:sz="8" w:space="0" w:color="auto"/>
              <w:right w:val="single" w:sz="8" w:space="0" w:color="auto"/>
            </w:tcBorders>
            <w:shd w:val="clear" w:color="auto" w:fill="auto"/>
            <w:vAlign w:val="center"/>
            <w:hideMark/>
          </w:tcPr>
          <w:p w14:paraId="4FBCEA9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Millwood </w:t>
            </w:r>
          </w:p>
        </w:tc>
        <w:tc>
          <w:tcPr>
            <w:tcW w:w="0" w:type="auto"/>
            <w:tcBorders>
              <w:top w:val="nil"/>
              <w:left w:val="nil"/>
              <w:bottom w:val="single" w:sz="8" w:space="0" w:color="auto"/>
              <w:right w:val="single" w:sz="8" w:space="0" w:color="auto"/>
            </w:tcBorders>
            <w:shd w:val="clear" w:color="auto" w:fill="auto"/>
            <w:vAlign w:val="center"/>
            <w:hideMark/>
          </w:tcPr>
          <w:p w14:paraId="1D80F46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72DFBA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Millwood </w:t>
            </w:r>
          </w:p>
        </w:tc>
        <w:tc>
          <w:tcPr>
            <w:tcW w:w="0" w:type="auto"/>
            <w:tcBorders>
              <w:top w:val="nil"/>
              <w:left w:val="nil"/>
              <w:bottom w:val="single" w:sz="8" w:space="0" w:color="auto"/>
              <w:right w:val="single" w:sz="8" w:space="0" w:color="auto"/>
            </w:tcBorders>
            <w:shd w:val="clear" w:color="auto" w:fill="auto"/>
            <w:vAlign w:val="center"/>
            <w:hideMark/>
          </w:tcPr>
          <w:p w14:paraId="3A1CDBE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2D622E6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7A8F98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F30/W80 </w:t>
            </w:r>
          </w:p>
        </w:tc>
        <w:tc>
          <w:tcPr>
            <w:tcW w:w="0" w:type="auto"/>
            <w:tcBorders>
              <w:top w:val="nil"/>
              <w:left w:val="nil"/>
              <w:bottom w:val="single" w:sz="8" w:space="0" w:color="auto"/>
              <w:right w:val="single" w:sz="8" w:space="0" w:color="auto"/>
            </w:tcBorders>
            <w:shd w:val="clear" w:color="auto" w:fill="auto"/>
            <w:vAlign w:val="center"/>
            <w:hideMark/>
          </w:tcPr>
          <w:p w14:paraId="587A2C2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Millwood </w:t>
            </w:r>
          </w:p>
        </w:tc>
        <w:tc>
          <w:tcPr>
            <w:tcW w:w="0" w:type="auto"/>
            <w:tcBorders>
              <w:top w:val="nil"/>
              <w:left w:val="nil"/>
              <w:bottom w:val="single" w:sz="8" w:space="0" w:color="auto"/>
              <w:right w:val="single" w:sz="8" w:space="0" w:color="auto"/>
            </w:tcBorders>
            <w:shd w:val="clear" w:color="auto" w:fill="auto"/>
            <w:vAlign w:val="center"/>
            <w:hideMark/>
          </w:tcPr>
          <w:p w14:paraId="61FDAB0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B977FA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Wood St/Pleasant Valley </w:t>
            </w:r>
          </w:p>
        </w:tc>
        <w:tc>
          <w:tcPr>
            <w:tcW w:w="0" w:type="auto"/>
            <w:tcBorders>
              <w:top w:val="nil"/>
              <w:left w:val="nil"/>
              <w:bottom w:val="single" w:sz="8" w:space="0" w:color="auto"/>
              <w:right w:val="single" w:sz="8" w:space="0" w:color="auto"/>
            </w:tcBorders>
            <w:shd w:val="clear" w:color="auto" w:fill="auto"/>
            <w:vAlign w:val="center"/>
            <w:hideMark/>
          </w:tcPr>
          <w:p w14:paraId="5E097F3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5E67A0E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A9A316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F31/W81 </w:t>
            </w:r>
          </w:p>
        </w:tc>
        <w:tc>
          <w:tcPr>
            <w:tcW w:w="0" w:type="auto"/>
            <w:tcBorders>
              <w:top w:val="nil"/>
              <w:left w:val="nil"/>
              <w:bottom w:val="single" w:sz="8" w:space="0" w:color="auto"/>
              <w:right w:val="single" w:sz="8" w:space="0" w:color="auto"/>
            </w:tcBorders>
            <w:shd w:val="clear" w:color="auto" w:fill="auto"/>
            <w:vAlign w:val="center"/>
            <w:hideMark/>
          </w:tcPr>
          <w:p w14:paraId="78671BE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Millwood </w:t>
            </w:r>
          </w:p>
        </w:tc>
        <w:tc>
          <w:tcPr>
            <w:tcW w:w="0" w:type="auto"/>
            <w:tcBorders>
              <w:top w:val="nil"/>
              <w:left w:val="nil"/>
              <w:bottom w:val="single" w:sz="8" w:space="0" w:color="auto"/>
              <w:right w:val="single" w:sz="8" w:space="0" w:color="auto"/>
            </w:tcBorders>
            <w:shd w:val="clear" w:color="auto" w:fill="auto"/>
            <w:vAlign w:val="center"/>
            <w:hideMark/>
          </w:tcPr>
          <w:p w14:paraId="26A6700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A252B0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Wood St/Pleasant Valley</w:t>
            </w:r>
          </w:p>
        </w:tc>
        <w:tc>
          <w:tcPr>
            <w:tcW w:w="0" w:type="auto"/>
            <w:tcBorders>
              <w:top w:val="nil"/>
              <w:left w:val="nil"/>
              <w:bottom w:val="single" w:sz="8" w:space="0" w:color="auto"/>
              <w:right w:val="single" w:sz="8" w:space="0" w:color="auto"/>
            </w:tcBorders>
            <w:shd w:val="clear" w:color="auto" w:fill="auto"/>
            <w:vAlign w:val="center"/>
            <w:hideMark/>
          </w:tcPr>
          <w:p w14:paraId="5EF0FEB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5083CAB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8944DC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6* </w:t>
            </w:r>
          </w:p>
        </w:tc>
        <w:tc>
          <w:tcPr>
            <w:tcW w:w="0" w:type="auto"/>
            <w:tcBorders>
              <w:top w:val="nil"/>
              <w:left w:val="nil"/>
              <w:bottom w:val="single" w:sz="8" w:space="0" w:color="auto"/>
              <w:right w:val="single" w:sz="8" w:space="0" w:color="auto"/>
            </w:tcBorders>
            <w:shd w:val="clear" w:color="auto" w:fill="auto"/>
            <w:vAlign w:val="center"/>
            <w:hideMark/>
          </w:tcPr>
          <w:p w14:paraId="7C799EC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Mott Haven </w:t>
            </w:r>
          </w:p>
        </w:tc>
        <w:tc>
          <w:tcPr>
            <w:tcW w:w="0" w:type="auto"/>
            <w:tcBorders>
              <w:top w:val="nil"/>
              <w:left w:val="nil"/>
              <w:bottom w:val="single" w:sz="8" w:space="0" w:color="auto"/>
              <w:right w:val="single" w:sz="8" w:space="0" w:color="auto"/>
            </w:tcBorders>
            <w:shd w:val="clear" w:color="auto" w:fill="auto"/>
            <w:vAlign w:val="center"/>
            <w:hideMark/>
          </w:tcPr>
          <w:p w14:paraId="60CDAC1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D508A6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Mott Haven </w:t>
            </w:r>
          </w:p>
        </w:tc>
        <w:tc>
          <w:tcPr>
            <w:tcW w:w="0" w:type="auto"/>
            <w:tcBorders>
              <w:top w:val="nil"/>
              <w:left w:val="nil"/>
              <w:bottom w:val="single" w:sz="8" w:space="0" w:color="auto"/>
              <w:right w:val="single" w:sz="8" w:space="0" w:color="auto"/>
            </w:tcBorders>
            <w:shd w:val="clear" w:color="auto" w:fill="auto"/>
            <w:vAlign w:val="center"/>
            <w:hideMark/>
          </w:tcPr>
          <w:p w14:paraId="25DAA8A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3566E00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B05422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BK 7*</w:t>
            </w:r>
          </w:p>
        </w:tc>
        <w:tc>
          <w:tcPr>
            <w:tcW w:w="0" w:type="auto"/>
            <w:tcBorders>
              <w:top w:val="nil"/>
              <w:left w:val="nil"/>
              <w:bottom w:val="single" w:sz="8" w:space="0" w:color="auto"/>
              <w:right w:val="single" w:sz="8" w:space="0" w:color="auto"/>
            </w:tcBorders>
            <w:shd w:val="clear" w:color="auto" w:fill="auto"/>
            <w:vAlign w:val="center"/>
            <w:hideMark/>
          </w:tcPr>
          <w:p w14:paraId="43C779F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Mott Haven </w:t>
            </w:r>
          </w:p>
        </w:tc>
        <w:tc>
          <w:tcPr>
            <w:tcW w:w="0" w:type="auto"/>
            <w:tcBorders>
              <w:top w:val="nil"/>
              <w:left w:val="nil"/>
              <w:bottom w:val="single" w:sz="8" w:space="0" w:color="auto"/>
              <w:right w:val="single" w:sz="8" w:space="0" w:color="auto"/>
            </w:tcBorders>
            <w:shd w:val="clear" w:color="auto" w:fill="auto"/>
            <w:vAlign w:val="center"/>
            <w:hideMark/>
          </w:tcPr>
          <w:p w14:paraId="569E70D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75CA55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Mott Haven </w:t>
            </w:r>
          </w:p>
        </w:tc>
        <w:tc>
          <w:tcPr>
            <w:tcW w:w="0" w:type="auto"/>
            <w:tcBorders>
              <w:top w:val="nil"/>
              <w:left w:val="nil"/>
              <w:bottom w:val="single" w:sz="8" w:space="0" w:color="auto"/>
              <w:right w:val="single" w:sz="8" w:space="0" w:color="auto"/>
            </w:tcBorders>
            <w:shd w:val="clear" w:color="auto" w:fill="auto"/>
            <w:vAlign w:val="center"/>
            <w:hideMark/>
          </w:tcPr>
          <w:p w14:paraId="58404A1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1ADE4A0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6ADECB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BK 8*</w:t>
            </w:r>
          </w:p>
        </w:tc>
        <w:tc>
          <w:tcPr>
            <w:tcW w:w="0" w:type="auto"/>
            <w:tcBorders>
              <w:top w:val="nil"/>
              <w:left w:val="nil"/>
              <w:bottom w:val="single" w:sz="8" w:space="0" w:color="auto"/>
              <w:right w:val="single" w:sz="8" w:space="0" w:color="auto"/>
            </w:tcBorders>
            <w:shd w:val="clear" w:color="auto" w:fill="auto"/>
            <w:vAlign w:val="center"/>
            <w:hideMark/>
          </w:tcPr>
          <w:p w14:paraId="195F502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Mott Haven </w:t>
            </w:r>
          </w:p>
        </w:tc>
        <w:tc>
          <w:tcPr>
            <w:tcW w:w="0" w:type="auto"/>
            <w:tcBorders>
              <w:top w:val="nil"/>
              <w:left w:val="nil"/>
              <w:bottom w:val="single" w:sz="8" w:space="0" w:color="auto"/>
              <w:right w:val="single" w:sz="8" w:space="0" w:color="auto"/>
            </w:tcBorders>
            <w:shd w:val="clear" w:color="auto" w:fill="auto"/>
            <w:vAlign w:val="center"/>
            <w:hideMark/>
          </w:tcPr>
          <w:p w14:paraId="78936F1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B19ADA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Mott Haven </w:t>
            </w:r>
          </w:p>
        </w:tc>
        <w:tc>
          <w:tcPr>
            <w:tcW w:w="0" w:type="auto"/>
            <w:tcBorders>
              <w:top w:val="nil"/>
              <w:left w:val="nil"/>
              <w:bottom w:val="single" w:sz="8" w:space="0" w:color="auto"/>
              <w:right w:val="single" w:sz="8" w:space="0" w:color="auto"/>
            </w:tcBorders>
            <w:shd w:val="clear" w:color="auto" w:fill="auto"/>
            <w:vAlign w:val="center"/>
            <w:hideMark/>
          </w:tcPr>
          <w:p w14:paraId="3327D9E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7A2BBBB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CCADEB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BK 9*</w:t>
            </w:r>
          </w:p>
        </w:tc>
        <w:tc>
          <w:tcPr>
            <w:tcW w:w="0" w:type="auto"/>
            <w:tcBorders>
              <w:top w:val="nil"/>
              <w:left w:val="nil"/>
              <w:bottom w:val="single" w:sz="8" w:space="0" w:color="auto"/>
              <w:right w:val="single" w:sz="8" w:space="0" w:color="auto"/>
            </w:tcBorders>
            <w:shd w:val="clear" w:color="auto" w:fill="auto"/>
            <w:vAlign w:val="center"/>
            <w:hideMark/>
          </w:tcPr>
          <w:p w14:paraId="6DCEC2B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Mott Haven </w:t>
            </w:r>
          </w:p>
        </w:tc>
        <w:tc>
          <w:tcPr>
            <w:tcW w:w="0" w:type="auto"/>
            <w:tcBorders>
              <w:top w:val="nil"/>
              <w:left w:val="nil"/>
              <w:bottom w:val="single" w:sz="8" w:space="0" w:color="auto"/>
              <w:right w:val="single" w:sz="8" w:space="0" w:color="auto"/>
            </w:tcBorders>
            <w:shd w:val="clear" w:color="auto" w:fill="auto"/>
            <w:vAlign w:val="center"/>
            <w:hideMark/>
          </w:tcPr>
          <w:p w14:paraId="30117F3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A4B120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Mott Haven </w:t>
            </w:r>
          </w:p>
        </w:tc>
        <w:tc>
          <w:tcPr>
            <w:tcW w:w="0" w:type="auto"/>
            <w:tcBorders>
              <w:top w:val="nil"/>
              <w:left w:val="nil"/>
              <w:bottom w:val="single" w:sz="8" w:space="0" w:color="auto"/>
              <w:right w:val="single" w:sz="8" w:space="0" w:color="auto"/>
            </w:tcBorders>
            <w:shd w:val="clear" w:color="auto" w:fill="auto"/>
            <w:vAlign w:val="center"/>
            <w:hideMark/>
          </w:tcPr>
          <w:p w14:paraId="1CFEE88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EDB4E0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ACE380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Q11 </w:t>
            </w:r>
          </w:p>
        </w:tc>
        <w:tc>
          <w:tcPr>
            <w:tcW w:w="0" w:type="auto"/>
            <w:tcBorders>
              <w:top w:val="nil"/>
              <w:left w:val="nil"/>
              <w:bottom w:val="single" w:sz="8" w:space="0" w:color="auto"/>
              <w:right w:val="single" w:sz="8" w:space="0" w:color="auto"/>
            </w:tcBorders>
            <w:shd w:val="clear" w:color="auto" w:fill="auto"/>
            <w:vAlign w:val="center"/>
            <w:hideMark/>
          </w:tcPr>
          <w:p w14:paraId="5448FDE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Mott Haven </w:t>
            </w:r>
          </w:p>
        </w:tc>
        <w:tc>
          <w:tcPr>
            <w:tcW w:w="0" w:type="auto"/>
            <w:tcBorders>
              <w:top w:val="nil"/>
              <w:left w:val="nil"/>
              <w:bottom w:val="single" w:sz="8" w:space="0" w:color="auto"/>
              <w:right w:val="single" w:sz="8" w:space="0" w:color="auto"/>
            </w:tcBorders>
            <w:shd w:val="clear" w:color="auto" w:fill="auto"/>
            <w:vAlign w:val="center"/>
            <w:hideMark/>
          </w:tcPr>
          <w:p w14:paraId="0F413CC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4C6023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4B5033A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2345F4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E4E89F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Q12 </w:t>
            </w:r>
          </w:p>
        </w:tc>
        <w:tc>
          <w:tcPr>
            <w:tcW w:w="0" w:type="auto"/>
            <w:tcBorders>
              <w:top w:val="nil"/>
              <w:left w:val="nil"/>
              <w:bottom w:val="single" w:sz="8" w:space="0" w:color="auto"/>
              <w:right w:val="single" w:sz="8" w:space="0" w:color="auto"/>
            </w:tcBorders>
            <w:shd w:val="clear" w:color="auto" w:fill="auto"/>
            <w:vAlign w:val="center"/>
            <w:hideMark/>
          </w:tcPr>
          <w:p w14:paraId="460F8D8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Mott Haven </w:t>
            </w:r>
          </w:p>
        </w:tc>
        <w:tc>
          <w:tcPr>
            <w:tcW w:w="0" w:type="auto"/>
            <w:tcBorders>
              <w:top w:val="nil"/>
              <w:left w:val="nil"/>
              <w:bottom w:val="single" w:sz="8" w:space="0" w:color="auto"/>
              <w:right w:val="single" w:sz="8" w:space="0" w:color="auto"/>
            </w:tcBorders>
            <w:shd w:val="clear" w:color="auto" w:fill="auto"/>
            <w:vAlign w:val="center"/>
            <w:hideMark/>
          </w:tcPr>
          <w:p w14:paraId="5DB4D10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CC4C03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230F6F7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48C59C2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E381D5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59CA06F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 Scotland </w:t>
            </w:r>
          </w:p>
        </w:tc>
        <w:tc>
          <w:tcPr>
            <w:tcW w:w="0" w:type="auto"/>
            <w:tcBorders>
              <w:top w:val="nil"/>
              <w:left w:val="nil"/>
              <w:bottom w:val="single" w:sz="8" w:space="0" w:color="auto"/>
              <w:right w:val="single" w:sz="8" w:space="0" w:color="auto"/>
            </w:tcBorders>
            <w:shd w:val="clear" w:color="auto" w:fill="auto"/>
            <w:vAlign w:val="center"/>
            <w:hideMark/>
          </w:tcPr>
          <w:p w14:paraId="367B123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A75CC6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 Scotland </w:t>
            </w:r>
          </w:p>
        </w:tc>
        <w:tc>
          <w:tcPr>
            <w:tcW w:w="0" w:type="auto"/>
            <w:tcBorders>
              <w:top w:val="nil"/>
              <w:left w:val="nil"/>
              <w:bottom w:val="single" w:sz="8" w:space="0" w:color="auto"/>
              <w:right w:val="single" w:sz="8" w:space="0" w:color="auto"/>
            </w:tcBorders>
            <w:shd w:val="clear" w:color="auto" w:fill="auto"/>
            <w:vAlign w:val="center"/>
            <w:hideMark/>
          </w:tcPr>
          <w:p w14:paraId="0430374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61B5394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004333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1C2DEE3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 Scotland </w:t>
            </w:r>
          </w:p>
        </w:tc>
        <w:tc>
          <w:tcPr>
            <w:tcW w:w="0" w:type="auto"/>
            <w:tcBorders>
              <w:top w:val="nil"/>
              <w:left w:val="nil"/>
              <w:bottom w:val="single" w:sz="8" w:space="0" w:color="auto"/>
              <w:right w:val="single" w:sz="8" w:space="0" w:color="auto"/>
            </w:tcBorders>
            <w:shd w:val="clear" w:color="auto" w:fill="auto"/>
            <w:vAlign w:val="center"/>
            <w:hideMark/>
          </w:tcPr>
          <w:p w14:paraId="2919A6E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823BDD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 Scotland </w:t>
            </w:r>
          </w:p>
        </w:tc>
        <w:tc>
          <w:tcPr>
            <w:tcW w:w="0" w:type="auto"/>
            <w:tcBorders>
              <w:top w:val="nil"/>
              <w:left w:val="nil"/>
              <w:bottom w:val="single" w:sz="8" w:space="0" w:color="auto"/>
              <w:right w:val="single" w:sz="8" w:space="0" w:color="auto"/>
            </w:tcBorders>
            <w:shd w:val="clear" w:color="auto" w:fill="auto"/>
            <w:vAlign w:val="center"/>
            <w:hideMark/>
          </w:tcPr>
          <w:p w14:paraId="6E377CA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5FE3674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0633E5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BUS TIE </w:t>
            </w:r>
          </w:p>
        </w:tc>
        <w:tc>
          <w:tcPr>
            <w:tcW w:w="0" w:type="auto"/>
            <w:tcBorders>
              <w:top w:val="nil"/>
              <w:left w:val="nil"/>
              <w:bottom w:val="single" w:sz="8" w:space="0" w:color="auto"/>
              <w:right w:val="single" w:sz="8" w:space="0" w:color="auto"/>
            </w:tcBorders>
            <w:shd w:val="clear" w:color="auto" w:fill="auto"/>
            <w:vAlign w:val="center"/>
            <w:hideMark/>
          </w:tcPr>
          <w:p w14:paraId="7A5AAE5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 Scotland </w:t>
            </w:r>
          </w:p>
        </w:tc>
        <w:tc>
          <w:tcPr>
            <w:tcW w:w="0" w:type="auto"/>
            <w:tcBorders>
              <w:top w:val="nil"/>
              <w:left w:val="nil"/>
              <w:bottom w:val="single" w:sz="8" w:space="0" w:color="auto"/>
              <w:right w:val="single" w:sz="8" w:space="0" w:color="auto"/>
            </w:tcBorders>
            <w:shd w:val="clear" w:color="auto" w:fill="auto"/>
            <w:vAlign w:val="center"/>
            <w:hideMark/>
          </w:tcPr>
          <w:p w14:paraId="03DF6F0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DB2B6D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 Scotland </w:t>
            </w:r>
          </w:p>
        </w:tc>
        <w:tc>
          <w:tcPr>
            <w:tcW w:w="0" w:type="auto"/>
            <w:tcBorders>
              <w:top w:val="nil"/>
              <w:left w:val="nil"/>
              <w:bottom w:val="single" w:sz="8" w:space="0" w:color="auto"/>
              <w:right w:val="single" w:sz="8" w:space="0" w:color="auto"/>
            </w:tcBorders>
            <w:shd w:val="clear" w:color="auto" w:fill="auto"/>
            <w:vAlign w:val="center"/>
            <w:hideMark/>
          </w:tcPr>
          <w:p w14:paraId="3C1DD78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6D1AD73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1FE294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3 </w:t>
            </w:r>
          </w:p>
        </w:tc>
        <w:tc>
          <w:tcPr>
            <w:tcW w:w="0" w:type="auto"/>
            <w:tcBorders>
              <w:top w:val="nil"/>
              <w:left w:val="nil"/>
              <w:bottom w:val="single" w:sz="8" w:space="0" w:color="auto"/>
              <w:right w:val="single" w:sz="8" w:space="0" w:color="auto"/>
            </w:tcBorders>
            <w:shd w:val="clear" w:color="auto" w:fill="auto"/>
            <w:vAlign w:val="center"/>
            <w:hideMark/>
          </w:tcPr>
          <w:p w14:paraId="7E8310E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052CC5B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1A9B5C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06AE706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0E78399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9C0255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4 </w:t>
            </w:r>
          </w:p>
        </w:tc>
        <w:tc>
          <w:tcPr>
            <w:tcW w:w="0" w:type="auto"/>
            <w:tcBorders>
              <w:top w:val="nil"/>
              <w:left w:val="nil"/>
              <w:bottom w:val="single" w:sz="8" w:space="0" w:color="auto"/>
              <w:right w:val="single" w:sz="8" w:space="0" w:color="auto"/>
            </w:tcBorders>
            <w:shd w:val="clear" w:color="auto" w:fill="auto"/>
            <w:vAlign w:val="center"/>
            <w:hideMark/>
          </w:tcPr>
          <w:p w14:paraId="1B66315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3A7F6DD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5A56A0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75E2879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1DBE5C9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54552C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5 </w:t>
            </w:r>
          </w:p>
        </w:tc>
        <w:tc>
          <w:tcPr>
            <w:tcW w:w="0" w:type="auto"/>
            <w:tcBorders>
              <w:top w:val="nil"/>
              <w:left w:val="nil"/>
              <w:bottom w:val="single" w:sz="8" w:space="0" w:color="auto"/>
              <w:right w:val="single" w:sz="8" w:space="0" w:color="auto"/>
            </w:tcBorders>
            <w:shd w:val="clear" w:color="auto" w:fill="auto"/>
            <w:vAlign w:val="center"/>
            <w:hideMark/>
          </w:tcPr>
          <w:p w14:paraId="3F868E9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281903F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2B9A45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06E1C13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337562C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AF3894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NH2</w:t>
            </w:r>
          </w:p>
        </w:tc>
        <w:tc>
          <w:tcPr>
            <w:tcW w:w="0" w:type="auto"/>
            <w:tcBorders>
              <w:top w:val="nil"/>
              <w:left w:val="nil"/>
              <w:bottom w:val="single" w:sz="8" w:space="0" w:color="auto"/>
              <w:right w:val="single" w:sz="8" w:space="0" w:color="auto"/>
            </w:tcBorders>
            <w:shd w:val="clear" w:color="auto" w:fill="auto"/>
            <w:vAlign w:val="center"/>
            <w:hideMark/>
          </w:tcPr>
          <w:p w14:paraId="5BE6B3B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noWrap/>
            <w:vAlign w:val="center"/>
            <w:hideMark/>
          </w:tcPr>
          <w:p w14:paraId="3C88AF5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noWrap/>
            <w:vAlign w:val="center"/>
            <w:hideMark/>
          </w:tcPr>
          <w:p w14:paraId="62BCA51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Henrietta (S. 255)</w:t>
            </w:r>
          </w:p>
        </w:tc>
        <w:tc>
          <w:tcPr>
            <w:tcW w:w="0" w:type="auto"/>
            <w:tcBorders>
              <w:top w:val="nil"/>
              <w:left w:val="nil"/>
              <w:bottom w:val="single" w:sz="8" w:space="0" w:color="auto"/>
              <w:right w:val="single" w:sz="8" w:space="0" w:color="auto"/>
            </w:tcBorders>
            <w:shd w:val="clear" w:color="auto" w:fill="auto"/>
            <w:noWrap/>
            <w:vAlign w:val="center"/>
            <w:hideMark/>
          </w:tcPr>
          <w:p w14:paraId="7A15DAB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D76757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95AFEC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w:t>
            </w:r>
          </w:p>
        </w:tc>
        <w:tc>
          <w:tcPr>
            <w:tcW w:w="0" w:type="auto"/>
            <w:tcBorders>
              <w:top w:val="nil"/>
              <w:left w:val="nil"/>
              <w:bottom w:val="single" w:sz="8" w:space="0" w:color="auto"/>
              <w:right w:val="single" w:sz="8" w:space="0" w:color="auto"/>
            </w:tcBorders>
            <w:shd w:val="clear" w:color="auto" w:fill="auto"/>
            <w:vAlign w:val="center"/>
            <w:hideMark/>
          </w:tcPr>
          <w:p w14:paraId="72EDD32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Nine Mile Point </w:t>
            </w:r>
          </w:p>
        </w:tc>
        <w:tc>
          <w:tcPr>
            <w:tcW w:w="0" w:type="auto"/>
            <w:tcBorders>
              <w:top w:val="nil"/>
              <w:left w:val="nil"/>
              <w:bottom w:val="single" w:sz="8" w:space="0" w:color="auto"/>
              <w:right w:val="single" w:sz="8" w:space="0" w:color="auto"/>
            </w:tcBorders>
            <w:shd w:val="clear" w:color="auto" w:fill="auto"/>
            <w:vAlign w:val="center"/>
            <w:hideMark/>
          </w:tcPr>
          <w:p w14:paraId="28C9EFA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5FBE94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Nine Mile Point #1 </w:t>
            </w:r>
          </w:p>
        </w:tc>
        <w:tc>
          <w:tcPr>
            <w:tcW w:w="0" w:type="auto"/>
            <w:tcBorders>
              <w:top w:val="nil"/>
              <w:left w:val="nil"/>
              <w:bottom w:val="single" w:sz="8" w:space="0" w:color="auto"/>
              <w:right w:val="single" w:sz="8" w:space="0" w:color="auto"/>
            </w:tcBorders>
            <w:shd w:val="clear" w:color="auto" w:fill="auto"/>
            <w:vAlign w:val="center"/>
            <w:hideMark/>
          </w:tcPr>
          <w:p w14:paraId="0C32370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w:t>
            </w:r>
          </w:p>
        </w:tc>
      </w:tr>
      <w:tr w:rsidR="00FF49F1" w:rsidRPr="00FF49F1" w14:paraId="78CC8AC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4843EB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9</w:t>
            </w:r>
          </w:p>
        </w:tc>
        <w:tc>
          <w:tcPr>
            <w:tcW w:w="0" w:type="auto"/>
            <w:tcBorders>
              <w:top w:val="nil"/>
              <w:left w:val="nil"/>
              <w:bottom w:val="single" w:sz="8" w:space="0" w:color="auto"/>
              <w:right w:val="single" w:sz="8" w:space="0" w:color="auto"/>
            </w:tcBorders>
            <w:shd w:val="clear" w:color="auto" w:fill="auto"/>
            <w:vAlign w:val="center"/>
            <w:hideMark/>
          </w:tcPr>
          <w:p w14:paraId="206734E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Nine Mile Point </w:t>
            </w:r>
          </w:p>
        </w:tc>
        <w:tc>
          <w:tcPr>
            <w:tcW w:w="0" w:type="auto"/>
            <w:tcBorders>
              <w:top w:val="nil"/>
              <w:left w:val="nil"/>
              <w:bottom w:val="single" w:sz="8" w:space="0" w:color="auto"/>
              <w:right w:val="single" w:sz="8" w:space="0" w:color="auto"/>
            </w:tcBorders>
            <w:shd w:val="clear" w:color="auto" w:fill="auto"/>
            <w:vAlign w:val="center"/>
            <w:hideMark/>
          </w:tcPr>
          <w:p w14:paraId="326602E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E8AF2A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Scriba </w:t>
            </w:r>
          </w:p>
        </w:tc>
        <w:tc>
          <w:tcPr>
            <w:tcW w:w="0" w:type="auto"/>
            <w:tcBorders>
              <w:top w:val="nil"/>
              <w:left w:val="nil"/>
              <w:bottom w:val="single" w:sz="8" w:space="0" w:color="auto"/>
              <w:right w:val="single" w:sz="8" w:space="0" w:color="auto"/>
            </w:tcBorders>
            <w:shd w:val="clear" w:color="auto" w:fill="auto"/>
            <w:vAlign w:val="center"/>
            <w:hideMark/>
          </w:tcPr>
          <w:p w14:paraId="038AA44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AB1F9C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9F42E4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w:t>
            </w:r>
          </w:p>
        </w:tc>
        <w:tc>
          <w:tcPr>
            <w:tcW w:w="0" w:type="auto"/>
            <w:tcBorders>
              <w:top w:val="nil"/>
              <w:left w:val="nil"/>
              <w:bottom w:val="single" w:sz="8" w:space="0" w:color="auto"/>
              <w:right w:val="single" w:sz="8" w:space="0" w:color="auto"/>
            </w:tcBorders>
            <w:shd w:val="clear" w:color="auto" w:fill="auto"/>
            <w:vAlign w:val="center"/>
            <w:hideMark/>
          </w:tcPr>
          <w:p w14:paraId="07A1740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Nine Mile Point #2 </w:t>
            </w:r>
          </w:p>
        </w:tc>
        <w:tc>
          <w:tcPr>
            <w:tcW w:w="0" w:type="auto"/>
            <w:tcBorders>
              <w:top w:val="nil"/>
              <w:left w:val="nil"/>
              <w:bottom w:val="single" w:sz="8" w:space="0" w:color="auto"/>
              <w:right w:val="single" w:sz="8" w:space="0" w:color="auto"/>
            </w:tcBorders>
            <w:shd w:val="clear" w:color="auto" w:fill="auto"/>
            <w:vAlign w:val="center"/>
            <w:hideMark/>
          </w:tcPr>
          <w:p w14:paraId="57ECF68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8BA658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Scriba </w:t>
            </w:r>
          </w:p>
        </w:tc>
        <w:tc>
          <w:tcPr>
            <w:tcW w:w="0" w:type="auto"/>
            <w:tcBorders>
              <w:top w:val="nil"/>
              <w:left w:val="nil"/>
              <w:bottom w:val="single" w:sz="8" w:space="0" w:color="auto"/>
              <w:right w:val="single" w:sz="8" w:space="0" w:color="auto"/>
            </w:tcBorders>
            <w:shd w:val="clear" w:color="auto" w:fill="auto"/>
            <w:vAlign w:val="center"/>
            <w:hideMark/>
          </w:tcPr>
          <w:p w14:paraId="61D670C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577A7B2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8C845E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31</w:t>
            </w:r>
          </w:p>
        </w:tc>
        <w:tc>
          <w:tcPr>
            <w:tcW w:w="0" w:type="auto"/>
            <w:tcBorders>
              <w:top w:val="nil"/>
              <w:left w:val="nil"/>
              <w:bottom w:val="single" w:sz="8" w:space="0" w:color="auto"/>
              <w:right w:val="single" w:sz="8" w:space="0" w:color="auto"/>
            </w:tcBorders>
            <w:shd w:val="clear" w:color="auto" w:fill="auto"/>
            <w:vAlign w:val="center"/>
            <w:hideMark/>
          </w:tcPr>
          <w:p w14:paraId="562F47A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Oakdale </w:t>
            </w:r>
          </w:p>
        </w:tc>
        <w:tc>
          <w:tcPr>
            <w:tcW w:w="0" w:type="auto"/>
            <w:tcBorders>
              <w:top w:val="nil"/>
              <w:left w:val="nil"/>
              <w:bottom w:val="single" w:sz="8" w:space="0" w:color="auto"/>
              <w:right w:val="single" w:sz="8" w:space="0" w:color="auto"/>
            </w:tcBorders>
            <w:shd w:val="clear" w:color="auto" w:fill="auto"/>
            <w:vAlign w:val="center"/>
            <w:hideMark/>
          </w:tcPr>
          <w:p w14:paraId="6EDD82A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2E9189B"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Watercure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0361BC1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8DB18F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0D3601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181ADCF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Oakdale </w:t>
            </w:r>
          </w:p>
        </w:tc>
        <w:tc>
          <w:tcPr>
            <w:tcW w:w="0" w:type="auto"/>
            <w:tcBorders>
              <w:top w:val="nil"/>
              <w:left w:val="nil"/>
              <w:bottom w:val="single" w:sz="8" w:space="0" w:color="auto"/>
              <w:right w:val="single" w:sz="8" w:space="0" w:color="auto"/>
            </w:tcBorders>
            <w:shd w:val="clear" w:color="auto" w:fill="auto"/>
            <w:vAlign w:val="center"/>
            <w:hideMark/>
          </w:tcPr>
          <w:p w14:paraId="599B3AC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329EE3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Oakdale </w:t>
            </w:r>
          </w:p>
        </w:tc>
        <w:tc>
          <w:tcPr>
            <w:tcW w:w="0" w:type="auto"/>
            <w:tcBorders>
              <w:top w:val="nil"/>
              <w:left w:val="nil"/>
              <w:bottom w:val="single" w:sz="8" w:space="0" w:color="auto"/>
              <w:right w:val="single" w:sz="8" w:space="0" w:color="auto"/>
            </w:tcBorders>
            <w:shd w:val="clear" w:color="auto" w:fill="auto"/>
            <w:vAlign w:val="center"/>
            <w:hideMark/>
          </w:tcPr>
          <w:p w14:paraId="6AA436E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115/34.5 </w:t>
            </w:r>
          </w:p>
        </w:tc>
      </w:tr>
      <w:tr w:rsidR="00FF49F1" w:rsidRPr="00FF49F1" w14:paraId="4D2C0ED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85A1F9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3 </w:t>
            </w:r>
          </w:p>
        </w:tc>
        <w:tc>
          <w:tcPr>
            <w:tcW w:w="0" w:type="auto"/>
            <w:tcBorders>
              <w:top w:val="nil"/>
              <w:left w:val="nil"/>
              <w:bottom w:val="single" w:sz="8" w:space="0" w:color="auto"/>
              <w:right w:val="single" w:sz="8" w:space="0" w:color="auto"/>
            </w:tcBorders>
            <w:shd w:val="clear" w:color="auto" w:fill="auto"/>
            <w:vAlign w:val="center"/>
            <w:hideMark/>
          </w:tcPr>
          <w:p w14:paraId="447AA57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Oakdale </w:t>
            </w:r>
          </w:p>
        </w:tc>
        <w:tc>
          <w:tcPr>
            <w:tcW w:w="0" w:type="auto"/>
            <w:tcBorders>
              <w:top w:val="nil"/>
              <w:left w:val="nil"/>
              <w:bottom w:val="single" w:sz="8" w:space="0" w:color="auto"/>
              <w:right w:val="single" w:sz="8" w:space="0" w:color="auto"/>
            </w:tcBorders>
            <w:shd w:val="clear" w:color="auto" w:fill="auto"/>
            <w:vAlign w:val="center"/>
            <w:hideMark/>
          </w:tcPr>
          <w:p w14:paraId="302BB11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7364CF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Oakdale </w:t>
            </w:r>
          </w:p>
        </w:tc>
        <w:tc>
          <w:tcPr>
            <w:tcW w:w="0" w:type="auto"/>
            <w:tcBorders>
              <w:top w:val="nil"/>
              <w:left w:val="nil"/>
              <w:bottom w:val="single" w:sz="8" w:space="0" w:color="auto"/>
              <w:right w:val="single" w:sz="8" w:space="0" w:color="auto"/>
            </w:tcBorders>
            <w:shd w:val="clear" w:color="auto" w:fill="auto"/>
            <w:vAlign w:val="center"/>
            <w:hideMark/>
          </w:tcPr>
          <w:p w14:paraId="1932CE9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5EF1C1D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E41E00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5</w:t>
            </w:r>
          </w:p>
        </w:tc>
        <w:tc>
          <w:tcPr>
            <w:tcW w:w="0" w:type="auto"/>
            <w:tcBorders>
              <w:top w:val="nil"/>
              <w:left w:val="nil"/>
              <w:bottom w:val="single" w:sz="8" w:space="0" w:color="auto"/>
              <w:right w:val="single" w:sz="8" w:space="0" w:color="auto"/>
            </w:tcBorders>
            <w:shd w:val="clear" w:color="auto" w:fill="auto"/>
            <w:vAlign w:val="center"/>
            <w:hideMark/>
          </w:tcPr>
          <w:p w14:paraId="303BBCB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Oswego </w:t>
            </w:r>
          </w:p>
        </w:tc>
        <w:tc>
          <w:tcPr>
            <w:tcW w:w="0" w:type="auto"/>
            <w:tcBorders>
              <w:top w:val="nil"/>
              <w:left w:val="nil"/>
              <w:bottom w:val="single" w:sz="8" w:space="0" w:color="auto"/>
              <w:right w:val="single" w:sz="8" w:space="0" w:color="auto"/>
            </w:tcBorders>
            <w:shd w:val="clear" w:color="auto" w:fill="auto"/>
            <w:vAlign w:val="center"/>
            <w:hideMark/>
          </w:tcPr>
          <w:p w14:paraId="7EC47CD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2F650A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Oswego #5 </w:t>
            </w:r>
          </w:p>
        </w:tc>
        <w:tc>
          <w:tcPr>
            <w:tcW w:w="0" w:type="auto"/>
            <w:tcBorders>
              <w:top w:val="nil"/>
              <w:left w:val="nil"/>
              <w:bottom w:val="single" w:sz="8" w:space="0" w:color="auto"/>
              <w:right w:val="single" w:sz="8" w:space="0" w:color="auto"/>
            </w:tcBorders>
            <w:shd w:val="clear" w:color="auto" w:fill="auto"/>
            <w:vAlign w:val="center"/>
            <w:hideMark/>
          </w:tcPr>
          <w:p w14:paraId="4E81A70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22</w:t>
            </w:r>
          </w:p>
        </w:tc>
      </w:tr>
      <w:tr w:rsidR="00FF49F1" w:rsidRPr="00FF49F1" w14:paraId="68E57EB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BA6FA9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w:t>
            </w:r>
          </w:p>
        </w:tc>
        <w:tc>
          <w:tcPr>
            <w:tcW w:w="0" w:type="auto"/>
            <w:tcBorders>
              <w:top w:val="nil"/>
              <w:left w:val="nil"/>
              <w:bottom w:val="single" w:sz="8" w:space="0" w:color="auto"/>
              <w:right w:val="single" w:sz="8" w:space="0" w:color="auto"/>
            </w:tcBorders>
            <w:shd w:val="clear" w:color="auto" w:fill="auto"/>
            <w:vAlign w:val="center"/>
            <w:hideMark/>
          </w:tcPr>
          <w:p w14:paraId="4FE8AC1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Oswego </w:t>
            </w:r>
          </w:p>
        </w:tc>
        <w:tc>
          <w:tcPr>
            <w:tcW w:w="0" w:type="auto"/>
            <w:tcBorders>
              <w:top w:val="nil"/>
              <w:left w:val="nil"/>
              <w:bottom w:val="single" w:sz="8" w:space="0" w:color="auto"/>
              <w:right w:val="single" w:sz="8" w:space="0" w:color="auto"/>
            </w:tcBorders>
            <w:shd w:val="clear" w:color="auto" w:fill="auto"/>
            <w:vAlign w:val="center"/>
            <w:hideMark/>
          </w:tcPr>
          <w:p w14:paraId="2C1E55B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2CABD7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Oswego #6 </w:t>
            </w:r>
          </w:p>
        </w:tc>
        <w:tc>
          <w:tcPr>
            <w:tcW w:w="0" w:type="auto"/>
            <w:tcBorders>
              <w:top w:val="nil"/>
              <w:left w:val="nil"/>
              <w:bottom w:val="single" w:sz="8" w:space="0" w:color="auto"/>
              <w:right w:val="single" w:sz="8" w:space="0" w:color="auto"/>
            </w:tcBorders>
            <w:shd w:val="clear" w:color="auto" w:fill="auto"/>
            <w:vAlign w:val="center"/>
            <w:hideMark/>
          </w:tcPr>
          <w:p w14:paraId="56D29D3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22</w:t>
            </w:r>
          </w:p>
        </w:tc>
      </w:tr>
      <w:tr w:rsidR="00FF49F1" w:rsidRPr="00FF49F1" w14:paraId="4803B88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73C61B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w:t>
            </w:r>
          </w:p>
        </w:tc>
        <w:tc>
          <w:tcPr>
            <w:tcW w:w="0" w:type="auto"/>
            <w:tcBorders>
              <w:top w:val="nil"/>
              <w:left w:val="nil"/>
              <w:bottom w:val="single" w:sz="8" w:space="0" w:color="auto"/>
              <w:right w:val="single" w:sz="8" w:space="0" w:color="auto"/>
            </w:tcBorders>
            <w:shd w:val="clear" w:color="auto" w:fill="auto"/>
            <w:vAlign w:val="center"/>
            <w:hideMark/>
          </w:tcPr>
          <w:p w14:paraId="727CAA4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Oswego </w:t>
            </w:r>
          </w:p>
        </w:tc>
        <w:tc>
          <w:tcPr>
            <w:tcW w:w="0" w:type="auto"/>
            <w:tcBorders>
              <w:top w:val="nil"/>
              <w:left w:val="nil"/>
              <w:bottom w:val="single" w:sz="8" w:space="0" w:color="auto"/>
              <w:right w:val="single" w:sz="8" w:space="0" w:color="auto"/>
            </w:tcBorders>
            <w:shd w:val="clear" w:color="auto" w:fill="auto"/>
            <w:vAlign w:val="center"/>
            <w:hideMark/>
          </w:tcPr>
          <w:p w14:paraId="339C491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DADE515"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Volney</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633A20A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08BFA87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1CBEC2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12</w:t>
            </w:r>
          </w:p>
        </w:tc>
        <w:tc>
          <w:tcPr>
            <w:tcW w:w="0" w:type="auto"/>
            <w:tcBorders>
              <w:top w:val="nil"/>
              <w:left w:val="nil"/>
              <w:bottom w:val="single" w:sz="8" w:space="0" w:color="auto"/>
              <w:right w:val="single" w:sz="8" w:space="0" w:color="auto"/>
            </w:tcBorders>
            <w:shd w:val="clear" w:color="auto" w:fill="auto"/>
            <w:vAlign w:val="center"/>
            <w:hideMark/>
          </w:tcPr>
          <w:p w14:paraId="172FD32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Oswego </w:t>
            </w:r>
          </w:p>
        </w:tc>
        <w:tc>
          <w:tcPr>
            <w:tcW w:w="0" w:type="auto"/>
            <w:tcBorders>
              <w:top w:val="nil"/>
              <w:left w:val="nil"/>
              <w:bottom w:val="single" w:sz="8" w:space="0" w:color="auto"/>
              <w:right w:val="single" w:sz="8" w:space="0" w:color="auto"/>
            </w:tcBorders>
            <w:shd w:val="clear" w:color="auto" w:fill="auto"/>
            <w:vAlign w:val="center"/>
            <w:hideMark/>
          </w:tcPr>
          <w:p w14:paraId="20C4A5D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319CED7"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Volney</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0020E36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030B7BC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BAF188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7 </w:t>
            </w:r>
          </w:p>
        </w:tc>
        <w:tc>
          <w:tcPr>
            <w:tcW w:w="0" w:type="auto"/>
            <w:tcBorders>
              <w:top w:val="nil"/>
              <w:left w:val="nil"/>
              <w:bottom w:val="single" w:sz="8" w:space="0" w:color="auto"/>
              <w:right w:val="single" w:sz="8" w:space="0" w:color="auto"/>
            </w:tcBorders>
            <w:shd w:val="clear" w:color="auto" w:fill="auto"/>
            <w:vAlign w:val="center"/>
            <w:hideMark/>
          </w:tcPr>
          <w:p w14:paraId="474DC55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Oswego </w:t>
            </w:r>
          </w:p>
        </w:tc>
        <w:tc>
          <w:tcPr>
            <w:tcW w:w="0" w:type="auto"/>
            <w:tcBorders>
              <w:top w:val="nil"/>
              <w:left w:val="nil"/>
              <w:bottom w:val="single" w:sz="8" w:space="0" w:color="auto"/>
              <w:right w:val="single" w:sz="8" w:space="0" w:color="auto"/>
            </w:tcBorders>
            <w:shd w:val="clear" w:color="auto" w:fill="auto"/>
            <w:vAlign w:val="center"/>
            <w:hideMark/>
          </w:tcPr>
          <w:p w14:paraId="0D9842E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54C009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Oswego </w:t>
            </w:r>
          </w:p>
        </w:tc>
        <w:tc>
          <w:tcPr>
            <w:tcW w:w="0" w:type="auto"/>
            <w:tcBorders>
              <w:top w:val="nil"/>
              <w:left w:val="nil"/>
              <w:bottom w:val="single" w:sz="8" w:space="0" w:color="auto"/>
              <w:right w:val="single" w:sz="8" w:space="0" w:color="auto"/>
            </w:tcBorders>
            <w:shd w:val="clear" w:color="auto" w:fill="auto"/>
            <w:vAlign w:val="center"/>
            <w:hideMark/>
          </w:tcPr>
          <w:p w14:paraId="6FBEBAA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357C5B4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A9926E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1077994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Pannell Road </w:t>
            </w:r>
          </w:p>
        </w:tc>
        <w:tc>
          <w:tcPr>
            <w:tcW w:w="0" w:type="auto"/>
            <w:tcBorders>
              <w:top w:val="nil"/>
              <w:left w:val="nil"/>
              <w:bottom w:val="single" w:sz="8" w:space="0" w:color="auto"/>
              <w:right w:val="single" w:sz="8" w:space="0" w:color="auto"/>
            </w:tcBorders>
            <w:shd w:val="clear" w:color="auto" w:fill="auto"/>
            <w:vAlign w:val="center"/>
            <w:hideMark/>
          </w:tcPr>
          <w:p w14:paraId="573F622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5A6331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Pannell Road </w:t>
            </w:r>
          </w:p>
        </w:tc>
        <w:tc>
          <w:tcPr>
            <w:tcW w:w="0" w:type="auto"/>
            <w:tcBorders>
              <w:top w:val="nil"/>
              <w:left w:val="nil"/>
              <w:bottom w:val="single" w:sz="8" w:space="0" w:color="auto"/>
              <w:right w:val="single" w:sz="8" w:space="0" w:color="auto"/>
            </w:tcBorders>
            <w:shd w:val="clear" w:color="auto" w:fill="auto"/>
            <w:vAlign w:val="center"/>
            <w:hideMark/>
          </w:tcPr>
          <w:p w14:paraId="4402AB8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3E86544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EC578F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BK 2</w:t>
            </w:r>
          </w:p>
        </w:tc>
        <w:tc>
          <w:tcPr>
            <w:tcW w:w="0" w:type="auto"/>
            <w:tcBorders>
              <w:top w:val="nil"/>
              <w:left w:val="nil"/>
              <w:bottom w:val="single" w:sz="8" w:space="0" w:color="auto"/>
              <w:right w:val="single" w:sz="8" w:space="0" w:color="auto"/>
            </w:tcBorders>
            <w:shd w:val="clear" w:color="auto" w:fill="auto"/>
            <w:vAlign w:val="center"/>
            <w:hideMark/>
          </w:tcPr>
          <w:p w14:paraId="78BEB04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Pannell Road </w:t>
            </w:r>
          </w:p>
        </w:tc>
        <w:tc>
          <w:tcPr>
            <w:tcW w:w="0" w:type="auto"/>
            <w:tcBorders>
              <w:top w:val="nil"/>
              <w:left w:val="nil"/>
              <w:bottom w:val="single" w:sz="8" w:space="0" w:color="auto"/>
              <w:right w:val="single" w:sz="8" w:space="0" w:color="auto"/>
            </w:tcBorders>
            <w:shd w:val="clear" w:color="auto" w:fill="auto"/>
            <w:vAlign w:val="center"/>
            <w:hideMark/>
          </w:tcPr>
          <w:p w14:paraId="467ECE6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9C0D0B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Pannell Road </w:t>
            </w:r>
          </w:p>
        </w:tc>
        <w:tc>
          <w:tcPr>
            <w:tcW w:w="0" w:type="auto"/>
            <w:tcBorders>
              <w:top w:val="nil"/>
              <w:left w:val="nil"/>
              <w:bottom w:val="single" w:sz="8" w:space="0" w:color="auto"/>
              <w:right w:val="single" w:sz="8" w:space="0" w:color="auto"/>
            </w:tcBorders>
            <w:shd w:val="clear" w:color="auto" w:fill="auto"/>
            <w:vAlign w:val="center"/>
            <w:hideMark/>
          </w:tcPr>
          <w:p w14:paraId="4514802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228460D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25C136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3 </w:t>
            </w:r>
          </w:p>
        </w:tc>
        <w:tc>
          <w:tcPr>
            <w:tcW w:w="0" w:type="auto"/>
            <w:tcBorders>
              <w:top w:val="nil"/>
              <w:left w:val="nil"/>
              <w:bottom w:val="single" w:sz="8" w:space="0" w:color="auto"/>
              <w:right w:val="single" w:sz="8" w:space="0" w:color="auto"/>
            </w:tcBorders>
            <w:shd w:val="clear" w:color="auto" w:fill="auto"/>
            <w:vAlign w:val="center"/>
            <w:hideMark/>
          </w:tcPr>
          <w:p w14:paraId="6160B6D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Pannell Road </w:t>
            </w:r>
          </w:p>
        </w:tc>
        <w:tc>
          <w:tcPr>
            <w:tcW w:w="0" w:type="auto"/>
            <w:tcBorders>
              <w:top w:val="nil"/>
              <w:left w:val="nil"/>
              <w:bottom w:val="single" w:sz="8" w:space="0" w:color="auto"/>
              <w:right w:val="single" w:sz="8" w:space="0" w:color="auto"/>
            </w:tcBorders>
            <w:shd w:val="clear" w:color="auto" w:fill="auto"/>
            <w:vAlign w:val="center"/>
            <w:hideMark/>
          </w:tcPr>
          <w:p w14:paraId="5654772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16C13D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Pannell Road </w:t>
            </w:r>
          </w:p>
        </w:tc>
        <w:tc>
          <w:tcPr>
            <w:tcW w:w="0" w:type="auto"/>
            <w:tcBorders>
              <w:top w:val="nil"/>
              <w:left w:val="nil"/>
              <w:bottom w:val="single" w:sz="8" w:space="0" w:color="auto"/>
              <w:right w:val="single" w:sz="8" w:space="0" w:color="auto"/>
            </w:tcBorders>
            <w:shd w:val="clear" w:color="auto" w:fill="auto"/>
            <w:vAlign w:val="center"/>
            <w:hideMark/>
          </w:tcPr>
          <w:p w14:paraId="2A41346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5A1397F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B82C12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RP1 </w:t>
            </w:r>
          </w:p>
        </w:tc>
        <w:tc>
          <w:tcPr>
            <w:tcW w:w="0" w:type="auto"/>
            <w:tcBorders>
              <w:top w:val="nil"/>
              <w:left w:val="nil"/>
              <w:bottom w:val="single" w:sz="8" w:space="0" w:color="auto"/>
              <w:right w:val="single" w:sz="8" w:space="0" w:color="auto"/>
            </w:tcBorders>
            <w:shd w:val="clear" w:color="auto" w:fill="auto"/>
            <w:vAlign w:val="center"/>
            <w:hideMark/>
          </w:tcPr>
          <w:p w14:paraId="7239A09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Pannell Road </w:t>
            </w:r>
          </w:p>
        </w:tc>
        <w:tc>
          <w:tcPr>
            <w:tcW w:w="0" w:type="auto"/>
            <w:tcBorders>
              <w:top w:val="nil"/>
              <w:left w:val="nil"/>
              <w:bottom w:val="single" w:sz="8" w:space="0" w:color="auto"/>
              <w:right w:val="single" w:sz="8" w:space="0" w:color="auto"/>
            </w:tcBorders>
            <w:shd w:val="clear" w:color="auto" w:fill="auto"/>
            <w:vAlign w:val="center"/>
            <w:hideMark/>
          </w:tcPr>
          <w:p w14:paraId="27D3B7A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03924A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Rochester Station #80 </w:t>
            </w:r>
          </w:p>
        </w:tc>
        <w:tc>
          <w:tcPr>
            <w:tcW w:w="0" w:type="auto"/>
            <w:tcBorders>
              <w:top w:val="nil"/>
              <w:left w:val="nil"/>
              <w:bottom w:val="single" w:sz="8" w:space="0" w:color="auto"/>
              <w:right w:val="single" w:sz="8" w:space="0" w:color="auto"/>
            </w:tcBorders>
            <w:shd w:val="clear" w:color="auto" w:fill="auto"/>
            <w:vAlign w:val="center"/>
            <w:hideMark/>
          </w:tcPr>
          <w:p w14:paraId="2B403A9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8961B3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CBA4F1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RP2 </w:t>
            </w:r>
          </w:p>
        </w:tc>
        <w:tc>
          <w:tcPr>
            <w:tcW w:w="0" w:type="auto"/>
            <w:tcBorders>
              <w:top w:val="nil"/>
              <w:left w:val="nil"/>
              <w:bottom w:val="single" w:sz="8" w:space="0" w:color="auto"/>
              <w:right w:val="single" w:sz="8" w:space="0" w:color="auto"/>
            </w:tcBorders>
            <w:shd w:val="clear" w:color="auto" w:fill="auto"/>
            <w:vAlign w:val="center"/>
            <w:hideMark/>
          </w:tcPr>
          <w:p w14:paraId="527966E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Pannell Road </w:t>
            </w:r>
          </w:p>
        </w:tc>
        <w:tc>
          <w:tcPr>
            <w:tcW w:w="0" w:type="auto"/>
            <w:tcBorders>
              <w:top w:val="nil"/>
              <w:left w:val="nil"/>
              <w:bottom w:val="single" w:sz="8" w:space="0" w:color="auto"/>
              <w:right w:val="single" w:sz="8" w:space="0" w:color="auto"/>
            </w:tcBorders>
            <w:shd w:val="clear" w:color="auto" w:fill="auto"/>
            <w:vAlign w:val="center"/>
            <w:hideMark/>
          </w:tcPr>
          <w:p w14:paraId="166D3FD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8374DC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Rochester Station #80 </w:t>
            </w:r>
          </w:p>
        </w:tc>
        <w:tc>
          <w:tcPr>
            <w:tcW w:w="0" w:type="auto"/>
            <w:tcBorders>
              <w:top w:val="nil"/>
              <w:left w:val="nil"/>
              <w:bottom w:val="single" w:sz="8" w:space="0" w:color="auto"/>
              <w:right w:val="single" w:sz="8" w:space="0" w:color="auto"/>
            </w:tcBorders>
            <w:shd w:val="clear" w:color="auto" w:fill="auto"/>
            <w:vAlign w:val="center"/>
            <w:hideMark/>
          </w:tcPr>
          <w:p w14:paraId="7CB0E03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042FDFC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19EA4E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S1 </w:t>
            </w:r>
          </w:p>
        </w:tc>
        <w:tc>
          <w:tcPr>
            <w:tcW w:w="0" w:type="auto"/>
            <w:tcBorders>
              <w:top w:val="nil"/>
              <w:left w:val="nil"/>
              <w:bottom w:val="single" w:sz="8" w:space="0" w:color="auto"/>
              <w:right w:val="single" w:sz="8" w:space="0" w:color="auto"/>
            </w:tcBorders>
            <w:shd w:val="clear" w:color="auto" w:fill="auto"/>
            <w:vAlign w:val="center"/>
            <w:hideMark/>
          </w:tcPr>
          <w:p w14:paraId="5E2849C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Pleasant Valley </w:t>
            </w:r>
          </w:p>
        </w:tc>
        <w:tc>
          <w:tcPr>
            <w:tcW w:w="0" w:type="auto"/>
            <w:tcBorders>
              <w:top w:val="nil"/>
              <w:left w:val="nil"/>
              <w:bottom w:val="single" w:sz="8" w:space="0" w:color="auto"/>
              <w:right w:val="single" w:sz="8" w:space="0" w:color="auto"/>
            </w:tcBorders>
            <w:shd w:val="clear" w:color="auto" w:fill="auto"/>
            <w:vAlign w:val="center"/>
            <w:hideMark/>
          </w:tcPr>
          <w:p w14:paraId="4AA2D1F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35E1B4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Pleasant Valley </w:t>
            </w:r>
          </w:p>
        </w:tc>
        <w:tc>
          <w:tcPr>
            <w:tcW w:w="0" w:type="auto"/>
            <w:tcBorders>
              <w:top w:val="nil"/>
              <w:left w:val="nil"/>
              <w:bottom w:val="single" w:sz="8" w:space="0" w:color="auto"/>
              <w:right w:val="single" w:sz="8" w:space="0" w:color="auto"/>
            </w:tcBorders>
            <w:shd w:val="clear" w:color="auto" w:fill="auto"/>
            <w:vAlign w:val="center"/>
            <w:hideMark/>
          </w:tcPr>
          <w:p w14:paraId="2C48E96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28871E9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BA7AAD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F30 </w:t>
            </w:r>
          </w:p>
        </w:tc>
        <w:tc>
          <w:tcPr>
            <w:tcW w:w="0" w:type="auto"/>
            <w:tcBorders>
              <w:top w:val="nil"/>
              <w:left w:val="nil"/>
              <w:bottom w:val="single" w:sz="8" w:space="0" w:color="auto"/>
              <w:right w:val="single" w:sz="8" w:space="0" w:color="auto"/>
            </w:tcBorders>
            <w:shd w:val="clear" w:color="auto" w:fill="auto"/>
            <w:vAlign w:val="center"/>
            <w:hideMark/>
          </w:tcPr>
          <w:p w14:paraId="2A517E4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Pleasant Valley </w:t>
            </w:r>
          </w:p>
        </w:tc>
        <w:tc>
          <w:tcPr>
            <w:tcW w:w="0" w:type="auto"/>
            <w:tcBorders>
              <w:top w:val="nil"/>
              <w:left w:val="nil"/>
              <w:bottom w:val="single" w:sz="8" w:space="0" w:color="auto"/>
              <w:right w:val="single" w:sz="8" w:space="0" w:color="auto"/>
            </w:tcBorders>
            <w:shd w:val="clear" w:color="auto" w:fill="auto"/>
            <w:vAlign w:val="center"/>
            <w:hideMark/>
          </w:tcPr>
          <w:p w14:paraId="1367306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8B8D6D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Wood St. </w:t>
            </w:r>
          </w:p>
        </w:tc>
        <w:tc>
          <w:tcPr>
            <w:tcW w:w="0" w:type="auto"/>
            <w:tcBorders>
              <w:top w:val="nil"/>
              <w:left w:val="nil"/>
              <w:bottom w:val="single" w:sz="8" w:space="0" w:color="auto"/>
              <w:right w:val="single" w:sz="8" w:space="0" w:color="auto"/>
            </w:tcBorders>
            <w:shd w:val="clear" w:color="auto" w:fill="auto"/>
            <w:vAlign w:val="center"/>
            <w:hideMark/>
          </w:tcPr>
          <w:p w14:paraId="6617579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EE4493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2AD09D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F31 </w:t>
            </w:r>
          </w:p>
        </w:tc>
        <w:tc>
          <w:tcPr>
            <w:tcW w:w="0" w:type="auto"/>
            <w:tcBorders>
              <w:top w:val="nil"/>
              <w:left w:val="nil"/>
              <w:bottom w:val="single" w:sz="8" w:space="0" w:color="auto"/>
              <w:right w:val="single" w:sz="8" w:space="0" w:color="auto"/>
            </w:tcBorders>
            <w:shd w:val="clear" w:color="auto" w:fill="auto"/>
            <w:vAlign w:val="center"/>
            <w:hideMark/>
          </w:tcPr>
          <w:p w14:paraId="235FD43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Pleasant Valley </w:t>
            </w:r>
          </w:p>
        </w:tc>
        <w:tc>
          <w:tcPr>
            <w:tcW w:w="0" w:type="auto"/>
            <w:tcBorders>
              <w:top w:val="nil"/>
              <w:left w:val="nil"/>
              <w:bottom w:val="single" w:sz="8" w:space="0" w:color="auto"/>
              <w:right w:val="single" w:sz="8" w:space="0" w:color="auto"/>
            </w:tcBorders>
            <w:shd w:val="clear" w:color="auto" w:fill="auto"/>
            <w:vAlign w:val="center"/>
            <w:hideMark/>
          </w:tcPr>
          <w:p w14:paraId="2E5D7B5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352141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Wood St. </w:t>
            </w:r>
          </w:p>
        </w:tc>
        <w:tc>
          <w:tcPr>
            <w:tcW w:w="0" w:type="auto"/>
            <w:tcBorders>
              <w:top w:val="nil"/>
              <w:left w:val="nil"/>
              <w:bottom w:val="single" w:sz="8" w:space="0" w:color="auto"/>
              <w:right w:val="single" w:sz="8" w:space="0" w:color="auto"/>
            </w:tcBorders>
            <w:shd w:val="clear" w:color="auto" w:fill="auto"/>
            <w:vAlign w:val="center"/>
            <w:hideMark/>
          </w:tcPr>
          <w:p w14:paraId="0ED8D15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0352FC5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6DA269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7A08282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Pleasantville </w:t>
            </w:r>
          </w:p>
        </w:tc>
        <w:tc>
          <w:tcPr>
            <w:tcW w:w="0" w:type="auto"/>
            <w:tcBorders>
              <w:top w:val="nil"/>
              <w:left w:val="nil"/>
              <w:bottom w:val="single" w:sz="8" w:space="0" w:color="auto"/>
              <w:right w:val="single" w:sz="8" w:space="0" w:color="auto"/>
            </w:tcBorders>
            <w:shd w:val="clear" w:color="auto" w:fill="auto"/>
            <w:vAlign w:val="center"/>
            <w:hideMark/>
          </w:tcPr>
          <w:p w14:paraId="25F864B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53B809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Pleasantville </w:t>
            </w:r>
          </w:p>
        </w:tc>
        <w:tc>
          <w:tcPr>
            <w:tcW w:w="0" w:type="auto"/>
            <w:tcBorders>
              <w:top w:val="nil"/>
              <w:left w:val="nil"/>
              <w:bottom w:val="single" w:sz="8" w:space="0" w:color="auto"/>
              <w:right w:val="single" w:sz="8" w:space="0" w:color="auto"/>
            </w:tcBorders>
            <w:shd w:val="clear" w:color="auto" w:fill="auto"/>
            <w:vAlign w:val="center"/>
            <w:hideMark/>
          </w:tcPr>
          <w:p w14:paraId="16C0F3B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w:t>
            </w:r>
          </w:p>
        </w:tc>
      </w:tr>
      <w:tr w:rsidR="00FF49F1" w:rsidRPr="00FF49F1" w14:paraId="4FF4087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1A854C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51CA0E3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Pleasantville </w:t>
            </w:r>
          </w:p>
        </w:tc>
        <w:tc>
          <w:tcPr>
            <w:tcW w:w="0" w:type="auto"/>
            <w:tcBorders>
              <w:top w:val="nil"/>
              <w:left w:val="nil"/>
              <w:bottom w:val="single" w:sz="8" w:space="0" w:color="auto"/>
              <w:right w:val="single" w:sz="8" w:space="0" w:color="auto"/>
            </w:tcBorders>
            <w:shd w:val="clear" w:color="auto" w:fill="auto"/>
            <w:vAlign w:val="center"/>
            <w:hideMark/>
          </w:tcPr>
          <w:p w14:paraId="4F9071B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366EDC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Pleasantville </w:t>
            </w:r>
          </w:p>
        </w:tc>
        <w:tc>
          <w:tcPr>
            <w:tcW w:w="0" w:type="auto"/>
            <w:tcBorders>
              <w:top w:val="nil"/>
              <w:left w:val="nil"/>
              <w:bottom w:val="single" w:sz="8" w:space="0" w:color="auto"/>
              <w:right w:val="single" w:sz="8" w:space="0" w:color="auto"/>
            </w:tcBorders>
            <w:shd w:val="clear" w:color="auto" w:fill="auto"/>
            <w:vAlign w:val="center"/>
            <w:hideMark/>
          </w:tcPr>
          <w:p w14:paraId="4EBD51B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w:t>
            </w:r>
          </w:p>
        </w:tc>
      </w:tr>
      <w:tr w:rsidR="00FF49F1" w:rsidRPr="00FF49F1" w14:paraId="1D35CB1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FF6495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lastRenderedPageBreak/>
              <w:t xml:space="preserve">Y86 </w:t>
            </w:r>
          </w:p>
        </w:tc>
        <w:tc>
          <w:tcPr>
            <w:tcW w:w="0" w:type="auto"/>
            <w:tcBorders>
              <w:top w:val="nil"/>
              <w:left w:val="nil"/>
              <w:bottom w:val="single" w:sz="8" w:space="0" w:color="auto"/>
              <w:right w:val="single" w:sz="8" w:space="0" w:color="auto"/>
            </w:tcBorders>
            <w:shd w:val="clear" w:color="auto" w:fill="auto"/>
            <w:vAlign w:val="center"/>
            <w:hideMark/>
          </w:tcPr>
          <w:p w14:paraId="0667CB8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Pleasantville </w:t>
            </w:r>
          </w:p>
        </w:tc>
        <w:tc>
          <w:tcPr>
            <w:tcW w:w="0" w:type="auto"/>
            <w:tcBorders>
              <w:top w:val="nil"/>
              <w:left w:val="nil"/>
              <w:bottom w:val="single" w:sz="8" w:space="0" w:color="auto"/>
              <w:right w:val="single" w:sz="8" w:space="0" w:color="auto"/>
            </w:tcBorders>
            <w:shd w:val="clear" w:color="auto" w:fill="auto"/>
            <w:vAlign w:val="center"/>
            <w:hideMark/>
          </w:tcPr>
          <w:p w14:paraId="56F87DE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602915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Wood St. </w:t>
            </w:r>
          </w:p>
        </w:tc>
        <w:tc>
          <w:tcPr>
            <w:tcW w:w="0" w:type="auto"/>
            <w:tcBorders>
              <w:top w:val="nil"/>
              <w:left w:val="nil"/>
              <w:bottom w:val="single" w:sz="8" w:space="0" w:color="auto"/>
              <w:right w:val="single" w:sz="8" w:space="0" w:color="auto"/>
            </w:tcBorders>
            <w:shd w:val="clear" w:color="auto" w:fill="auto"/>
            <w:vAlign w:val="center"/>
            <w:hideMark/>
          </w:tcPr>
          <w:p w14:paraId="7B8E4D3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AF4F98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3BD188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Y87 </w:t>
            </w:r>
          </w:p>
        </w:tc>
        <w:tc>
          <w:tcPr>
            <w:tcW w:w="0" w:type="auto"/>
            <w:tcBorders>
              <w:top w:val="nil"/>
              <w:left w:val="nil"/>
              <w:bottom w:val="single" w:sz="8" w:space="0" w:color="auto"/>
              <w:right w:val="single" w:sz="8" w:space="0" w:color="auto"/>
            </w:tcBorders>
            <w:shd w:val="clear" w:color="auto" w:fill="auto"/>
            <w:vAlign w:val="center"/>
            <w:hideMark/>
          </w:tcPr>
          <w:p w14:paraId="7862F7D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Pleasantville </w:t>
            </w:r>
          </w:p>
        </w:tc>
        <w:tc>
          <w:tcPr>
            <w:tcW w:w="0" w:type="auto"/>
            <w:tcBorders>
              <w:top w:val="nil"/>
              <w:left w:val="nil"/>
              <w:bottom w:val="single" w:sz="8" w:space="0" w:color="auto"/>
              <w:right w:val="single" w:sz="8" w:space="0" w:color="auto"/>
            </w:tcBorders>
            <w:shd w:val="clear" w:color="auto" w:fill="auto"/>
            <w:vAlign w:val="center"/>
            <w:hideMark/>
          </w:tcPr>
          <w:p w14:paraId="07C9E1A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6E347B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Wood St. </w:t>
            </w:r>
          </w:p>
        </w:tc>
        <w:tc>
          <w:tcPr>
            <w:tcW w:w="0" w:type="auto"/>
            <w:tcBorders>
              <w:top w:val="nil"/>
              <w:left w:val="nil"/>
              <w:bottom w:val="single" w:sz="8" w:space="0" w:color="auto"/>
              <w:right w:val="single" w:sz="8" w:space="0" w:color="auto"/>
            </w:tcBorders>
            <w:shd w:val="clear" w:color="auto" w:fill="auto"/>
            <w:vAlign w:val="center"/>
            <w:hideMark/>
          </w:tcPr>
          <w:p w14:paraId="3844301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101EF7D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315ABD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TR5E/PAR5</w:t>
            </w:r>
          </w:p>
        </w:tc>
        <w:tc>
          <w:tcPr>
            <w:tcW w:w="0" w:type="auto"/>
            <w:tcBorders>
              <w:top w:val="nil"/>
              <w:left w:val="nil"/>
              <w:bottom w:val="single" w:sz="8" w:space="0" w:color="auto"/>
              <w:right w:val="single" w:sz="8" w:space="0" w:color="auto"/>
            </w:tcBorders>
            <w:shd w:val="clear" w:color="auto" w:fill="auto"/>
            <w:vAlign w:val="center"/>
            <w:hideMark/>
          </w:tcPr>
          <w:p w14:paraId="416D9A3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Rainey</w:t>
            </w:r>
          </w:p>
        </w:tc>
        <w:tc>
          <w:tcPr>
            <w:tcW w:w="0" w:type="auto"/>
            <w:tcBorders>
              <w:top w:val="nil"/>
              <w:left w:val="nil"/>
              <w:bottom w:val="single" w:sz="8" w:space="0" w:color="auto"/>
              <w:right w:val="single" w:sz="8" w:space="0" w:color="auto"/>
            </w:tcBorders>
            <w:shd w:val="clear" w:color="auto" w:fill="auto"/>
            <w:vAlign w:val="center"/>
            <w:hideMark/>
          </w:tcPr>
          <w:p w14:paraId="24C109C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CA168D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Corona</w:t>
            </w:r>
          </w:p>
        </w:tc>
        <w:tc>
          <w:tcPr>
            <w:tcW w:w="0" w:type="auto"/>
            <w:tcBorders>
              <w:top w:val="nil"/>
              <w:left w:val="nil"/>
              <w:bottom w:val="single" w:sz="8" w:space="0" w:color="auto"/>
              <w:right w:val="single" w:sz="8" w:space="0" w:color="auto"/>
            </w:tcBorders>
            <w:shd w:val="clear" w:color="auto" w:fill="auto"/>
            <w:vAlign w:val="center"/>
            <w:hideMark/>
          </w:tcPr>
          <w:p w14:paraId="7740E85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9D1CEA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F17255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30</w:t>
            </w:r>
          </w:p>
        </w:tc>
        <w:tc>
          <w:tcPr>
            <w:tcW w:w="0" w:type="auto"/>
            <w:tcBorders>
              <w:top w:val="nil"/>
              <w:left w:val="nil"/>
              <w:bottom w:val="single" w:sz="8" w:space="0" w:color="auto"/>
              <w:right w:val="single" w:sz="8" w:space="0" w:color="auto"/>
            </w:tcBorders>
            <w:shd w:val="clear" w:color="auto" w:fill="auto"/>
            <w:vAlign w:val="center"/>
            <w:hideMark/>
          </w:tcPr>
          <w:p w14:paraId="060118F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732837D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8F3FB9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Ravenswood #3 </w:t>
            </w:r>
          </w:p>
        </w:tc>
        <w:tc>
          <w:tcPr>
            <w:tcW w:w="0" w:type="auto"/>
            <w:tcBorders>
              <w:top w:val="nil"/>
              <w:left w:val="nil"/>
              <w:bottom w:val="single" w:sz="8" w:space="0" w:color="auto"/>
              <w:right w:val="single" w:sz="8" w:space="0" w:color="auto"/>
            </w:tcBorders>
            <w:shd w:val="clear" w:color="auto" w:fill="auto"/>
            <w:vAlign w:val="center"/>
            <w:hideMark/>
          </w:tcPr>
          <w:p w14:paraId="7307B5A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22</w:t>
            </w:r>
          </w:p>
        </w:tc>
      </w:tr>
      <w:tr w:rsidR="00FF49F1" w:rsidRPr="00FF49F1" w14:paraId="7C87A08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0F1624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60L </w:t>
            </w:r>
          </w:p>
        </w:tc>
        <w:tc>
          <w:tcPr>
            <w:tcW w:w="0" w:type="auto"/>
            <w:tcBorders>
              <w:top w:val="nil"/>
              <w:left w:val="nil"/>
              <w:bottom w:val="single" w:sz="8" w:space="0" w:color="auto"/>
              <w:right w:val="single" w:sz="8" w:space="0" w:color="auto"/>
            </w:tcBorders>
            <w:shd w:val="clear" w:color="auto" w:fill="auto"/>
            <w:vAlign w:val="center"/>
            <w:hideMark/>
          </w:tcPr>
          <w:p w14:paraId="57547C4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5F2FE5D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B91383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Ravenswood </w:t>
            </w:r>
          </w:p>
        </w:tc>
        <w:tc>
          <w:tcPr>
            <w:tcW w:w="0" w:type="auto"/>
            <w:tcBorders>
              <w:top w:val="nil"/>
              <w:left w:val="nil"/>
              <w:bottom w:val="single" w:sz="8" w:space="0" w:color="auto"/>
              <w:right w:val="single" w:sz="8" w:space="0" w:color="auto"/>
            </w:tcBorders>
            <w:shd w:val="clear" w:color="auto" w:fill="auto"/>
            <w:vAlign w:val="center"/>
            <w:hideMark/>
          </w:tcPr>
          <w:p w14:paraId="1D27021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070CE49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A25CD5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60M </w:t>
            </w:r>
          </w:p>
        </w:tc>
        <w:tc>
          <w:tcPr>
            <w:tcW w:w="0" w:type="auto"/>
            <w:tcBorders>
              <w:top w:val="nil"/>
              <w:left w:val="nil"/>
              <w:bottom w:val="single" w:sz="8" w:space="0" w:color="auto"/>
              <w:right w:val="single" w:sz="8" w:space="0" w:color="auto"/>
            </w:tcBorders>
            <w:shd w:val="clear" w:color="auto" w:fill="auto"/>
            <w:vAlign w:val="center"/>
            <w:hideMark/>
          </w:tcPr>
          <w:p w14:paraId="1743069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0160275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0D3258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Ravenswood </w:t>
            </w:r>
          </w:p>
        </w:tc>
        <w:tc>
          <w:tcPr>
            <w:tcW w:w="0" w:type="auto"/>
            <w:tcBorders>
              <w:top w:val="nil"/>
              <w:left w:val="nil"/>
              <w:bottom w:val="single" w:sz="8" w:space="0" w:color="auto"/>
              <w:right w:val="single" w:sz="8" w:space="0" w:color="auto"/>
            </w:tcBorders>
            <w:shd w:val="clear" w:color="auto" w:fill="auto"/>
            <w:vAlign w:val="center"/>
            <w:hideMark/>
          </w:tcPr>
          <w:p w14:paraId="1F547B5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11D7E8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4A9635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2E* </w:t>
            </w:r>
          </w:p>
        </w:tc>
        <w:tc>
          <w:tcPr>
            <w:tcW w:w="0" w:type="auto"/>
            <w:tcBorders>
              <w:top w:val="nil"/>
              <w:left w:val="nil"/>
              <w:bottom w:val="single" w:sz="8" w:space="0" w:color="auto"/>
              <w:right w:val="single" w:sz="8" w:space="0" w:color="auto"/>
            </w:tcBorders>
            <w:shd w:val="clear" w:color="auto" w:fill="auto"/>
            <w:vAlign w:val="center"/>
            <w:hideMark/>
          </w:tcPr>
          <w:p w14:paraId="41550A8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7682860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85DC83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10D5B21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7AA0FF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38C1C5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3W* </w:t>
            </w:r>
          </w:p>
        </w:tc>
        <w:tc>
          <w:tcPr>
            <w:tcW w:w="0" w:type="auto"/>
            <w:tcBorders>
              <w:top w:val="nil"/>
              <w:left w:val="nil"/>
              <w:bottom w:val="single" w:sz="8" w:space="0" w:color="auto"/>
              <w:right w:val="single" w:sz="8" w:space="0" w:color="auto"/>
            </w:tcBorders>
            <w:shd w:val="clear" w:color="auto" w:fill="auto"/>
            <w:vAlign w:val="center"/>
            <w:hideMark/>
          </w:tcPr>
          <w:p w14:paraId="012930D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2442A6A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BFF4D2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7C3E936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158B285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233D08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7E* </w:t>
            </w:r>
          </w:p>
        </w:tc>
        <w:tc>
          <w:tcPr>
            <w:tcW w:w="0" w:type="auto"/>
            <w:tcBorders>
              <w:top w:val="nil"/>
              <w:left w:val="nil"/>
              <w:bottom w:val="single" w:sz="8" w:space="0" w:color="auto"/>
              <w:right w:val="single" w:sz="8" w:space="0" w:color="auto"/>
            </w:tcBorders>
            <w:shd w:val="clear" w:color="auto" w:fill="auto"/>
            <w:vAlign w:val="center"/>
            <w:hideMark/>
          </w:tcPr>
          <w:p w14:paraId="38D465D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475316C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99CF8C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7600BE2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1B3A80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6988E7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7W* </w:t>
            </w:r>
          </w:p>
        </w:tc>
        <w:tc>
          <w:tcPr>
            <w:tcW w:w="0" w:type="auto"/>
            <w:tcBorders>
              <w:top w:val="nil"/>
              <w:left w:val="nil"/>
              <w:bottom w:val="single" w:sz="8" w:space="0" w:color="auto"/>
              <w:right w:val="single" w:sz="8" w:space="0" w:color="auto"/>
            </w:tcBorders>
            <w:shd w:val="clear" w:color="auto" w:fill="auto"/>
            <w:vAlign w:val="center"/>
            <w:hideMark/>
          </w:tcPr>
          <w:p w14:paraId="759E4FC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5567A2B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3DA387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65B451D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3825A319"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442CE7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8E </w:t>
            </w:r>
          </w:p>
        </w:tc>
        <w:tc>
          <w:tcPr>
            <w:tcW w:w="0" w:type="auto"/>
            <w:tcBorders>
              <w:top w:val="nil"/>
              <w:left w:val="nil"/>
              <w:bottom w:val="single" w:sz="8" w:space="0" w:color="auto"/>
              <w:right w:val="single" w:sz="8" w:space="0" w:color="auto"/>
            </w:tcBorders>
            <w:shd w:val="clear" w:color="auto" w:fill="auto"/>
            <w:vAlign w:val="center"/>
            <w:hideMark/>
          </w:tcPr>
          <w:p w14:paraId="41F8947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786440D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91961D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1DCC0D4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3820DF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6EED52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8W* </w:t>
            </w:r>
          </w:p>
        </w:tc>
        <w:tc>
          <w:tcPr>
            <w:tcW w:w="0" w:type="auto"/>
            <w:tcBorders>
              <w:top w:val="nil"/>
              <w:left w:val="nil"/>
              <w:bottom w:val="single" w:sz="8" w:space="0" w:color="auto"/>
              <w:right w:val="single" w:sz="8" w:space="0" w:color="auto"/>
            </w:tcBorders>
            <w:shd w:val="clear" w:color="auto" w:fill="auto"/>
            <w:vAlign w:val="center"/>
            <w:hideMark/>
          </w:tcPr>
          <w:p w14:paraId="6374995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0B2BFD8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1A9996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526EE63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1B1C60A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F5DA11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9E* </w:t>
            </w:r>
          </w:p>
        </w:tc>
        <w:tc>
          <w:tcPr>
            <w:tcW w:w="0" w:type="auto"/>
            <w:tcBorders>
              <w:top w:val="nil"/>
              <w:left w:val="nil"/>
              <w:bottom w:val="single" w:sz="8" w:space="0" w:color="auto"/>
              <w:right w:val="single" w:sz="8" w:space="0" w:color="auto"/>
            </w:tcBorders>
            <w:shd w:val="clear" w:color="auto" w:fill="auto"/>
            <w:vAlign w:val="center"/>
            <w:hideMark/>
          </w:tcPr>
          <w:p w14:paraId="35FA586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601D7DB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66BE43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541DED1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6E0EB12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AB5628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69</w:t>
            </w:r>
          </w:p>
        </w:tc>
        <w:tc>
          <w:tcPr>
            <w:tcW w:w="0" w:type="auto"/>
            <w:tcBorders>
              <w:top w:val="nil"/>
              <w:left w:val="nil"/>
              <w:bottom w:val="single" w:sz="8" w:space="0" w:color="auto"/>
              <w:right w:val="single" w:sz="8" w:space="0" w:color="auto"/>
            </w:tcBorders>
            <w:shd w:val="clear" w:color="auto" w:fill="auto"/>
            <w:vAlign w:val="center"/>
            <w:hideMark/>
          </w:tcPr>
          <w:p w14:paraId="0B90B54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Ramapo </w:t>
            </w:r>
          </w:p>
        </w:tc>
        <w:tc>
          <w:tcPr>
            <w:tcW w:w="0" w:type="auto"/>
            <w:tcBorders>
              <w:top w:val="nil"/>
              <w:left w:val="nil"/>
              <w:bottom w:val="single" w:sz="8" w:space="0" w:color="auto"/>
              <w:right w:val="single" w:sz="8" w:space="0" w:color="auto"/>
            </w:tcBorders>
            <w:shd w:val="clear" w:color="auto" w:fill="auto"/>
            <w:vAlign w:val="center"/>
            <w:hideMark/>
          </w:tcPr>
          <w:p w14:paraId="4987F48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FBDE48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 Mahwah A </w:t>
            </w:r>
          </w:p>
        </w:tc>
        <w:tc>
          <w:tcPr>
            <w:tcW w:w="0" w:type="auto"/>
            <w:tcBorders>
              <w:top w:val="nil"/>
              <w:left w:val="nil"/>
              <w:bottom w:val="single" w:sz="8" w:space="0" w:color="auto"/>
              <w:right w:val="single" w:sz="8" w:space="0" w:color="auto"/>
            </w:tcBorders>
            <w:shd w:val="clear" w:color="auto" w:fill="auto"/>
            <w:vAlign w:val="center"/>
            <w:hideMark/>
          </w:tcPr>
          <w:p w14:paraId="32F4A29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28A2C3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4AF22B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70</w:t>
            </w:r>
          </w:p>
        </w:tc>
        <w:tc>
          <w:tcPr>
            <w:tcW w:w="0" w:type="auto"/>
            <w:tcBorders>
              <w:top w:val="nil"/>
              <w:left w:val="nil"/>
              <w:bottom w:val="single" w:sz="8" w:space="0" w:color="auto"/>
              <w:right w:val="single" w:sz="8" w:space="0" w:color="auto"/>
            </w:tcBorders>
            <w:shd w:val="clear" w:color="auto" w:fill="auto"/>
            <w:vAlign w:val="center"/>
            <w:hideMark/>
          </w:tcPr>
          <w:p w14:paraId="0DD4E3B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Ramapo </w:t>
            </w:r>
          </w:p>
        </w:tc>
        <w:tc>
          <w:tcPr>
            <w:tcW w:w="0" w:type="auto"/>
            <w:tcBorders>
              <w:top w:val="nil"/>
              <w:left w:val="nil"/>
              <w:bottom w:val="single" w:sz="8" w:space="0" w:color="auto"/>
              <w:right w:val="single" w:sz="8" w:space="0" w:color="auto"/>
            </w:tcBorders>
            <w:shd w:val="clear" w:color="auto" w:fill="auto"/>
            <w:vAlign w:val="center"/>
            <w:hideMark/>
          </w:tcPr>
          <w:p w14:paraId="3B308D4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0A9375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 Mahwah B </w:t>
            </w:r>
          </w:p>
        </w:tc>
        <w:tc>
          <w:tcPr>
            <w:tcW w:w="0" w:type="auto"/>
            <w:tcBorders>
              <w:top w:val="nil"/>
              <w:left w:val="nil"/>
              <w:bottom w:val="single" w:sz="8" w:space="0" w:color="auto"/>
              <w:right w:val="single" w:sz="8" w:space="0" w:color="auto"/>
            </w:tcBorders>
            <w:shd w:val="clear" w:color="auto" w:fill="auto"/>
            <w:vAlign w:val="center"/>
            <w:hideMark/>
          </w:tcPr>
          <w:p w14:paraId="06BD985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14AC92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9CF991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76</w:t>
            </w:r>
          </w:p>
        </w:tc>
        <w:tc>
          <w:tcPr>
            <w:tcW w:w="0" w:type="auto"/>
            <w:tcBorders>
              <w:top w:val="nil"/>
              <w:left w:val="nil"/>
              <w:bottom w:val="single" w:sz="8" w:space="0" w:color="auto"/>
              <w:right w:val="single" w:sz="8" w:space="0" w:color="auto"/>
            </w:tcBorders>
            <w:shd w:val="clear" w:color="auto" w:fill="auto"/>
            <w:vAlign w:val="center"/>
            <w:hideMark/>
          </w:tcPr>
          <w:p w14:paraId="2C31EAE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Ramapo </w:t>
            </w:r>
          </w:p>
        </w:tc>
        <w:tc>
          <w:tcPr>
            <w:tcW w:w="0" w:type="auto"/>
            <w:tcBorders>
              <w:top w:val="nil"/>
              <w:left w:val="nil"/>
              <w:bottom w:val="single" w:sz="8" w:space="0" w:color="auto"/>
              <w:right w:val="single" w:sz="8" w:space="0" w:color="auto"/>
            </w:tcBorders>
            <w:shd w:val="clear" w:color="auto" w:fill="auto"/>
            <w:vAlign w:val="center"/>
            <w:hideMark/>
          </w:tcPr>
          <w:p w14:paraId="120D025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81EE74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Sugarloaf/Rock Tavern </w:t>
            </w:r>
          </w:p>
        </w:tc>
        <w:tc>
          <w:tcPr>
            <w:tcW w:w="0" w:type="auto"/>
            <w:tcBorders>
              <w:top w:val="nil"/>
              <w:left w:val="nil"/>
              <w:bottom w:val="single" w:sz="8" w:space="0" w:color="auto"/>
              <w:right w:val="single" w:sz="8" w:space="0" w:color="auto"/>
            </w:tcBorders>
            <w:shd w:val="clear" w:color="auto" w:fill="auto"/>
            <w:vAlign w:val="center"/>
            <w:hideMark/>
          </w:tcPr>
          <w:p w14:paraId="749C0A7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0809506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D14C20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77</w:t>
            </w:r>
          </w:p>
        </w:tc>
        <w:tc>
          <w:tcPr>
            <w:tcW w:w="0" w:type="auto"/>
            <w:tcBorders>
              <w:top w:val="nil"/>
              <w:left w:val="nil"/>
              <w:bottom w:val="single" w:sz="8" w:space="0" w:color="auto"/>
              <w:right w:val="single" w:sz="8" w:space="0" w:color="auto"/>
            </w:tcBorders>
            <w:shd w:val="clear" w:color="auto" w:fill="auto"/>
            <w:vAlign w:val="center"/>
            <w:hideMark/>
          </w:tcPr>
          <w:p w14:paraId="30654C7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Ramapo </w:t>
            </w:r>
          </w:p>
        </w:tc>
        <w:tc>
          <w:tcPr>
            <w:tcW w:w="0" w:type="auto"/>
            <w:tcBorders>
              <w:top w:val="nil"/>
              <w:left w:val="nil"/>
              <w:bottom w:val="single" w:sz="8" w:space="0" w:color="auto"/>
              <w:right w:val="single" w:sz="8" w:space="0" w:color="auto"/>
            </w:tcBorders>
            <w:shd w:val="clear" w:color="auto" w:fill="auto"/>
            <w:vAlign w:val="center"/>
            <w:hideMark/>
          </w:tcPr>
          <w:p w14:paraId="3933E9C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79BF14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Rock Tavern </w:t>
            </w:r>
          </w:p>
        </w:tc>
        <w:tc>
          <w:tcPr>
            <w:tcW w:w="0" w:type="auto"/>
            <w:tcBorders>
              <w:top w:val="nil"/>
              <w:left w:val="nil"/>
              <w:bottom w:val="single" w:sz="8" w:space="0" w:color="auto"/>
              <w:right w:val="single" w:sz="8" w:space="0" w:color="auto"/>
            </w:tcBorders>
            <w:shd w:val="clear" w:color="auto" w:fill="auto"/>
            <w:vAlign w:val="center"/>
            <w:hideMark/>
          </w:tcPr>
          <w:p w14:paraId="5484DC6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4680636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85EADE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PAR3500 </w:t>
            </w:r>
          </w:p>
        </w:tc>
        <w:tc>
          <w:tcPr>
            <w:tcW w:w="0" w:type="auto"/>
            <w:tcBorders>
              <w:top w:val="nil"/>
              <w:left w:val="nil"/>
              <w:bottom w:val="single" w:sz="8" w:space="0" w:color="auto"/>
              <w:right w:val="single" w:sz="8" w:space="0" w:color="auto"/>
            </w:tcBorders>
            <w:shd w:val="clear" w:color="auto" w:fill="auto"/>
            <w:vAlign w:val="center"/>
            <w:hideMark/>
          </w:tcPr>
          <w:p w14:paraId="1343388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Ramapo </w:t>
            </w:r>
          </w:p>
        </w:tc>
        <w:tc>
          <w:tcPr>
            <w:tcW w:w="0" w:type="auto"/>
            <w:tcBorders>
              <w:top w:val="nil"/>
              <w:left w:val="nil"/>
              <w:bottom w:val="single" w:sz="8" w:space="0" w:color="auto"/>
              <w:right w:val="single" w:sz="8" w:space="0" w:color="auto"/>
            </w:tcBorders>
            <w:shd w:val="clear" w:color="auto" w:fill="auto"/>
            <w:vAlign w:val="center"/>
            <w:hideMark/>
          </w:tcPr>
          <w:p w14:paraId="14DBC42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E008F0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Ramapo </w:t>
            </w:r>
          </w:p>
        </w:tc>
        <w:tc>
          <w:tcPr>
            <w:tcW w:w="0" w:type="auto"/>
            <w:tcBorders>
              <w:top w:val="nil"/>
              <w:left w:val="nil"/>
              <w:bottom w:val="single" w:sz="8" w:space="0" w:color="auto"/>
              <w:right w:val="single" w:sz="8" w:space="0" w:color="auto"/>
            </w:tcBorders>
            <w:shd w:val="clear" w:color="auto" w:fill="auto"/>
            <w:vAlign w:val="center"/>
            <w:hideMark/>
          </w:tcPr>
          <w:p w14:paraId="067B628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610F06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6718E3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PAR4500 </w:t>
            </w:r>
          </w:p>
        </w:tc>
        <w:tc>
          <w:tcPr>
            <w:tcW w:w="0" w:type="auto"/>
            <w:tcBorders>
              <w:top w:val="nil"/>
              <w:left w:val="nil"/>
              <w:bottom w:val="single" w:sz="8" w:space="0" w:color="auto"/>
              <w:right w:val="single" w:sz="8" w:space="0" w:color="auto"/>
            </w:tcBorders>
            <w:shd w:val="clear" w:color="auto" w:fill="auto"/>
            <w:vAlign w:val="center"/>
            <w:hideMark/>
          </w:tcPr>
          <w:p w14:paraId="0D6A28E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Ramapo </w:t>
            </w:r>
          </w:p>
        </w:tc>
        <w:tc>
          <w:tcPr>
            <w:tcW w:w="0" w:type="auto"/>
            <w:tcBorders>
              <w:top w:val="nil"/>
              <w:left w:val="nil"/>
              <w:bottom w:val="single" w:sz="8" w:space="0" w:color="auto"/>
              <w:right w:val="single" w:sz="8" w:space="0" w:color="auto"/>
            </w:tcBorders>
            <w:shd w:val="clear" w:color="auto" w:fill="auto"/>
            <w:vAlign w:val="center"/>
            <w:hideMark/>
          </w:tcPr>
          <w:p w14:paraId="3CB0EE7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AB9AB1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Ramapo </w:t>
            </w:r>
          </w:p>
        </w:tc>
        <w:tc>
          <w:tcPr>
            <w:tcW w:w="0" w:type="auto"/>
            <w:tcBorders>
              <w:top w:val="nil"/>
              <w:left w:val="nil"/>
              <w:bottom w:val="single" w:sz="8" w:space="0" w:color="auto"/>
              <w:right w:val="single" w:sz="8" w:space="0" w:color="auto"/>
            </w:tcBorders>
            <w:shd w:val="clear" w:color="auto" w:fill="auto"/>
            <w:vAlign w:val="center"/>
            <w:hideMark/>
          </w:tcPr>
          <w:p w14:paraId="6FE66DD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5A5AEC9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2E37FD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6CAC9F5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Reynolds Road </w:t>
            </w:r>
          </w:p>
        </w:tc>
        <w:tc>
          <w:tcPr>
            <w:tcW w:w="0" w:type="auto"/>
            <w:tcBorders>
              <w:top w:val="nil"/>
              <w:left w:val="nil"/>
              <w:bottom w:val="single" w:sz="8" w:space="0" w:color="auto"/>
              <w:right w:val="single" w:sz="8" w:space="0" w:color="auto"/>
            </w:tcBorders>
            <w:shd w:val="clear" w:color="auto" w:fill="auto"/>
            <w:vAlign w:val="center"/>
            <w:hideMark/>
          </w:tcPr>
          <w:p w14:paraId="3569C1F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5423CB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Reynolds Road </w:t>
            </w:r>
          </w:p>
        </w:tc>
        <w:tc>
          <w:tcPr>
            <w:tcW w:w="0" w:type="auto"/>
            <w:tcBorders>
              <w:top w:val="nil"/>
              <w:left w:val="nil"/>
              <w:bottom w:val="single" w:sz="8" w:space="0" w:color="auto"/>
              <w:right w:val="single" w:sz="8" w:space="0" w:color="auto"/>
            </w:tcBorders>
            <w:shd w:val="clear" w:color="auto" w:fill="auto"/>
            <w:vAlign w:val="center"/>
            <w:hideMark/>
          </w:tcPr>
          <w:p w14:paraId="491F8C6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171936C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D324EA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3DFFCCD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Rochester Station #80 </w:t>
            </w:r>
          </w:p>
        </w:tc>
        <w:tc>
          <w:tcPr>
            <w:tcW w:w="0" w:type="auto"/>
            <w:tcBorders>
              <w:top w:val="nil"/>
              <w:left w:val="nil"/>
              <w:bottom w:val="single" w:sz="8" w:space="0" w:color="auto"/>
              <w:right w:val="single" w:sz="8" w:space="0" w:color="auto"/>
            </w:tcBorders>
            <w:shd w:val="clear" w:color="auto" w:fill="auto"/>
            <w:vAlign w:val="center"/>
            <w:hideMark/>
          </w:tcPr>
          <w:p w14:paraId="1962E15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16AF8F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Rochester Station #80 </w:t>
            </w:r>
          </w:p>
        </w:tc>
        <w:tc>
          <w:tcPr>
            <w:tcW w:w="0" w:type="auto"/>
            <w:tcBorders>
              <w:top w:val="nil"/>
              <w:left w:val="nil"/>
              <w:bottom w:val="single" w:sz="8" w:space="0" w:color="auto"/>
              <w:right w:val="single" w:sz="8" w:space="0" w:color="auto"/>
            </w:tcBorders>
            <w:shd w:val="clear" w:color="auto" w:fill="auto"/>
            <w:vAlign w:val="center"/>
            <w:hideMark/>
          </w:tcPr>
          <w:p w14:paraId="7FDE882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1236DD9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D56442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3182902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Rochester Station #80 </w:t>
            </w:r>
          </w:p>
        </w:tc>
        <w:tc>
          <w:tcPr>
            <w:tcW w:w="0" w:type="auto"/>
            <w:tcBorders>
              <w:top w:val="nil"/>
              <w:left w:val="nil"/>
              <w:bottom w:val="single" w:sz="8" w:space="0" w:color="auto"/>
              <w:right w:val="single" w:sz="8" w:space="0" w:color="auto"/>
            </w:tcBorders>
            <w:shd w:val="clear" w:color="auto" w:fill="auto"/>
            <w:vAlign w:val="center"/>
            <w:hideMark/>
          </w:tcPr>
          <w:p w14:paraId="78E0C9C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2AAF96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Rochester Station #80 </w:t>
            </w:r>
          </w:p>
        </w:tc>
        <w:tc>
          <w:tcPr>
            <w:tcW w:w="0" w:type="auto"/>
            <w:tcBorders>
              <w:top w:val="nil"/>
              <w:left w:val="nil"/>
              <w:bottom w:val="single" w:sz="8" w:space="0" w:color="auto"/>
              <w:right w:val="single" w:sz="8" w:space="0" w:color="auto"/>
            </w:tcBorders>
            <w:shd w:val="clear" w:color="auto" w:fill="auto"/>
            <w:vAlign w:val="center"/>
            <w:hideMark/>
          </w:tcPr>
          <w:p w14:paraId="542E607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48D2731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DDEC99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3 </w:t>
            </w:r>
          </w:p>
        </w:tc>
        <w:tc>
          <w:tcPr>
            <w:tcW w:w="0" w:type="auto"/>
            <w:tcBorders>
              <w:top w:val="nil"/>
              <w:left w:val="nil"/>
              <w:bottom w:val="single" w:sz="8" w:space="0" w:color="auto"/>
              <w:right w:val="single" w:sz="8" w:space="0" w:color="auto"/>
            </w:tcBorders>
            <w:shd w:val="clear" w:color="auto" w:fill="auto"/>
            <w:vAlign w:val="center"/>
            <w:hideMark/>
          </w:tcPr>
          <w:p w14:paraId="46E8450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Rochester Station #80 </w:t>
            </w:r>
          </w:p>
        </w:tc>
        <w:tc>
          <w:tcPr>
            <w:tcW w:w="0" w:type="auto"/>
            <w:tcBorders>
              <w:top w:val="nil"/>
              <w:left w:val="nil"/>
              <w:bottom w:val="single" w:sz="8" w:space="0" w:color="auto"/>
              <w:right w:val="single" w:sz="8" w:space="0" w:color="auto"/>
            </w:tcBorders>
            <w:shd w:val="clear" w:color="auto" w:fill="auto"/>
            <w:vAlign w:val="center"/>
            <w:hideMark/>
          </w:tcPr>
          <w:p w14:paraId="57ACE69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F17593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Rochester Station #80 </w:t>
            </w:r>
          </w:p>
        </w:tc>
        <w:tc>
          <w:tcPr>
            <w:tcW w:w="0" w:type="auto"/>
            <w:tcBorders>
              <w:top w:val="nil"/>
              <w:left w:val="nil"/>
              <w:bottom w:val="single" w:sz="8" w:space="0" w:color="auto"/>
              <w:right w:val="single" w:sz="8" w:space="0" w:color="auto"/>
            </w:tcBorders>
            <w:shd w:val="clear" w:color="auto" w:fill="auto"/>
            <w:vAlign w:val="center"/>
            <w:hideMark/>
          </w:tcPr>
          <w:p w14:paraId="5DC77B4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4CD86509"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C96410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5 </w:t>
            </w:r>
          </w:p>
        </w:tc>
        <w:tc>
          <w:tcPr>
            <w:tcW w:w="0" w:type="auto"/>
            <w:tcBorders>
              <w:top w:val="nil"/>
              <w:left w:val="nil"/>
              <w:bottom w:val="single" w:sz="8" w:space="0" w:color="auto"/>
              <w:right w:val="single" w:sz="8" w:space="0" w:color="auto"/>
            </w:tcBorders>
            <w:shd w:val="clear" w:color="auto" w:fill="auto"/>
            <w:vAlign w:val="center"/>
            <w:hideMark/>
          </w:tcPr>
          <w:p w14:paraId="3B4A67B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Rochester Station #80 </w:t>
            </w:r>
          </w:p>
        </w:tc>
        <w:tc>
          <w:tcPr>
            <w:tcW w:w="0" w:type="auto"/>
            <w:tcBorders>
              <w:top w:val="nil"/>
              <w:left w:val="nil"/>
              <w:bottom w:val="single" w:sz="8" w:space="0" w:color="auto"/>
              <w:right w:val="single" w:sz="8" w:space="0" w:color="auto"/>
            </w:tcBorders>
            <w:shd w:val="clear" w:color="auto" w:fill="auto"/>
            <w:vAlign w:val="center"/>
            <w:hideMark/>
          </w:tcPr>
          <w:p w14:paraId="3078AE3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0C067A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Rochester Station #80 </w:t>
            </w:r>
          </w:p>
        </w:tc>
        <w:tc>
          <w:tcPr>
            <w:tcW w:w="0" w:type="auto"/>
            <w:tcBorders>
              <w:top w:val="nil"/>
              <w:left w:val="nil"/>
              <w:bottom w:val="single" w:sz="8" w:space="0" w:color="auto"/>
              <w:right w:val="single" w:sz="8" w:space="0" w:color="auto"/>
            </w:tcBorders>
            <w:shd w:val="clear" w:color="auto" w:fill="auto"/>
            <w:vAlign w:val="center"/>
            <w:hideMark/>
          </w:tcPr>
          <w:p w14:paraId="1055F65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081EFFA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4A8E6A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311</w:t>
            </w:r>
          </w:p>
        </w:tc>
        <w:tc>
          <w:tcPr>
            <w:tcW w:w="0" w:type="auto"/>
            <w:tcBorders>
              <w:top w:val="nil"/>
              <w:left w:val="nil"/>
              <w:bottom w:val="single" w:sz="8" w:space="0" w:color="auto"/>
              <w:right w:val="single" w:sz="8" w:space="0" w:color="auto"/>
            </w:tcBorders>
            <w:shd w:val="clear" w:color="auto" w:fill="auto"/>
            <w:vAlign w:val="center"/>
            <w:hideMark/>
          </w:tcPr>
          <w:p w14:paraId="7EA5937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Rock Tavern </w:t>
            </w:r>
          </w:p>
        </w:tc>
        <w:tc>
          <w:tcPr>
            <w:tcW w:w="0" w:type="auto"/>
            <w:tcBorders>
              <w:top w:val="nil"/>
              <w:left w:val="nil"/>
              <w:bottom w:val="single" w:sz="8" w:space="0" w:color="auto"/>
              <w:right w:val="single" w:sz="8" w:space="0" w:color="auto"/>
            </w:tcBorders>
            <w:shd w:val="clear" w:color="auto" w:fill="auto"/>
            <w:vAlign w:val="center"/>
            <w:hideMark/>
          </w:tcPr>
          <w:p w14:paraId="3116632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2E6371E"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Roseton</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14DD47F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B44CA4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841E47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TR1 </w:t>
            </w:r>
          </w:p>
        </w:tc>
        <w:tc>
          <w:tcPr>
            <w:tcW w:w="0" w:type="auto"/>
            <w:tcBorders>
              <w:top w:val="nil"/>
              <w:left w:val="nil"/>
              <w:bottom w:val="single" w:sz="8" w:space="0" w:color="auto"/>
              <w:right w:val="single" w:sz="8" w:space="0" w:color="auto"/>
            </w:tcBorders>
            <w:shd w:val="clear" w:color="auto" w:fill="auto"/>
            <w:vAlign w:val="center"/>
            <w:hideMark/>
          </w:tcPr>
          <w:p w14:paraId="02E5567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Rock Tavern </w:t>
            </w:r>
          </w:p>
        </w:tc>
        <w:tc>
          <w:tcPr>
            <w:tcW w:w="0" w:type="auto"/>
            <w:tcBorders>
              <w:top w:val="nil"/>
              <w:left w:val="nil"/>
              <w:bottom w:val="single" w:sz="8" w:space="0" w:color="auto"/>
              <w:right w:val="single" w:sz="8" w:space="0" w:color="auto"/>
            </w:tcBorders>
            <w:shd w:val="clear" w:color="auto" w:fill="auto"/>
            <w:vAlign w:val="center"/>
            <w:hideMark/>
          </w:tcPr>
          <w:p w14:paraId="3332A21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8803EA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Rock Tavern </w:t>
            </w:r>
          </w:p>
        </w:tc>
        <w:tc>
          <w:tcPr>
            <w:tcW w:w="0" w:type="auto"/>
            <w:tcBorders>
              <w:top w:val="nil"/>
              <w:left w:val="nil"/>
              <w:bottom w:val="single" w:sz="8" w:space="0" w:color="auto"/>
              <w:right w:val="single" w:sz="8" w:space="0" w:color="auto"/>
            </w:tcBorders>
            <w:shd w:val="clear" w:color="auto" w:fill="auto"/>
            <w:vAlign w:val="center"/>
            <w:hideMark/>
          </w:tcPr>
          <w:p w14:paraId="2AF1047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3DFF757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910F47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TR3 </w:t>
            </w:r>
          </w:p>
        </w:tc>
        <w:tc>
          <w:tcPr>
            <w:tcW w:w="0" w:type="auto"/>
            <w:tcBorders>
              <w:top w:val="nil"/>
              <w:left w:val="nil"/>
              <w:bottom w:val="single" w:sz="8" w:space="0" w:color="auto"/>
              <w:right w:val="single" w:sz="8" w:space="0" w:color="auto"/>
            </w:tcBorders>
            <w:shd w:val="clear" w:color="auto" w:fill="auto"/>
            <w:vAlign w:val="center"/>
            <w:hideMark/>
          </w:tcPr>
          <w:p w14:paraId="3A7F37A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Rock Tavern </w:t>
            </w:r>
          </w:p>
        </w:tc>
        <w:tc>
          <w:tcPr>
            <w:tcW w:w="0" w:type="auto"/>
            <w:tcBorders>
              <w:top w:val="nil"/>
              <w:left w:val="nil"/>
              <w:bottom w:val="single" w:sz="8" w:space="0" w:color="auto"/>
              <w:right w:val="single" w:sz="8" w:space="0" w:color="auto"/>
            </w:tcBorders>
            <w:shd w:val="clear" w:color="auto" w:fill="auto"/>
            <w:vAlign w:val="center"/>
            <w:hideMark/>
          </w:tcPr>
          <w:p w14:paraId="3D869A8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FE3AC0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Rock Tavern </w:t>
            </w:r>
          </w:p>
        </w:tc>
        <w:tc>
          <w:tcPr>
            <w:tcW w:w="0" w:type="auto"/>
            <w:tcBorders>
              <w:top w:val="nil"/>
              <w:left w:val="nil"/>
              <w:bottom w:val="single" w:sz="8" w:space="0" w:color="auto"/>
              <w:right w:val="single" w:sz="8" w:space="0" w:color="auto"/>
            </w:tcBorders>
            <w:shd w:val="clear" w:color="auto" w:fill="auto"/>
            <w:vAlign w:val="center"/>
            <w:hideMark/>
          </w:tcPr>
          <w:p w14:paraId="0C4B40B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5226B36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C4B2CA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w:t>
            </w:r>
          </w:p>
        </w:tc>
        <w:tc>
          <w:tcPr>
            <w:tcW w:w="0" w:type="auto"/>
            <w:tcBorders>
              <w:top w:val="nil"/>
              <w:left w:val="nil"/>
              <w:bottom w:val="single" w:sz="8" w:space="0" w:color="auto"/>
              <w:right w:val="single" w:sz="8" w:space="0" w:color="auto"/>
            </w:tcBorders>
            <w:shd w:val="clear" w:color="auto" w:fill="auto"/>
            <w:vAlign w:val="center"/>
            <w:hideMark/>
          </w:tcPr>
          <w:p w14:paraId="3AFCE041"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Roseton</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1233F26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DE8577A"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Roseton</w:t>
            </w:r>
            <w:proofErr w:type="spellEnd"/>
            <w:r w:rsidRPr="00FF49F1">
              <w:rPr>
                <w:rFonts w:ascii="Calibri" w:hAnsi="Calibri" w:cs="Calibri"/>
                <w:color w:val="000000"/>
                <w:sz w:val="16"/>
                <w:szCs w:val="16"/>
                <w:lang w:bidi="ar-SA"/>
              </w:rPr>
              <w:t xml:space="preserve"> #1 </w:t>
            </w:r>
          </w:p>
        </w:tc>
        <w:tc>
          <w:tcPr>
            <w:tcW w:w="0" w:type="auto"/>
            <w:tcBorders>
              <w:top w:val="nil"/>
              <w:left w:val="nil"/>
              <w:bottom w:val="single" w:sz="8" w:space="0" w:color="auto"/>
              <w:right w:val="single" w:sz="8" w:space="0" w:color="auto"/>
            </w:tcBorders>
            <w:shd w:val="clear" w:color="auto" w:fill="auto"/>
            <w:vAlign w:val="center"/>
            <w:hideMark/>
          </w:tcPr>
          <w:p w14:paraId="0570C44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20</w:t>
            </w:r>
          </w:p>
        </w:tc>
      </w:tr>
      <w:tr w:rsidR="00FF49F1" w:rsidRPr="00FF49F1" w14:paraId="0D0CE4A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1BE626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w:t>
            </w:r>
          </w:p>
        </w:tc>
        <w:tc>
          <w:tcPr>
            <w:tcW w:w="0" w:type="auto"/>
            <w:tcBorders>
              <w:top w:val="nil"/>
              <w:left w:val="nil"/>
              <w:bottom w:val="single" w:sz="8" w:space="0" w:color="auto"/>
              <w:right w:val="single" w:sz="8" w:space="0" w:color="auto"/>
            </w:tcBorders>
            <w:shd w:val="clear" w:color="auto" w:fill="auto"/>
            <w:vAlign w:val="center"/>
            <w:hideMark/>
          </w:tcPr>
          <w:p w14:paraId="6FD28C71"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Roseton</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7B62C8A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7B7B2D0"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Roseton</w:t>
            </w:r>
            <w:proofErr w:type="spellEnd"/>
            <w:r w:rsidRPr="00FF49F1">
              <w:rPr>
                <w:rFonts w:ascii="Calibri" w:hAnsi="Calibri" w:cs="Calibri"/>
                <w:color w:val="000000"/>
                <w:sz w:val="16"/>
                <w:szCs w:val="16"/>
                <w:lang w:bidi="ar-SA"/>
              </w:rPr>
              <w:t xml:space="preserve"> #2 </w:t>
            </w:r>
          </w:p>
        </w:tc>
        <w:tc>
          <w:tcPr>
            <w:tcW w:w="0" w:type="auto"/>
            <w:tcBorders>
              <w:top w:val="nil"/>
              <w:left w:val="nil"/>
              <w:bottom w:val="single" w:sz="8" w:space="0" w:color="auto"/>
              <w:right w:val="single" w:sz="8" w:space="0" w:color="auto"/>
            </w:tcBorders>
            <w:shd w:val="clear" w:color="auto" w:fill="auto"/>
            <w:vAlign w:val="center"/>
            <w:hideMark/>
          </w:tcPr>
          <w:p w14:paraId="7D53A5C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20</w:t>
            </w:r>
          </w:p>
        </w:tc>
      </w:tr>
      <w:tr w:rsidR="00FF49F1" w:rsidRPr="00FF49F1" w14:paraId="3064698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2AC5DE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258 </w:t>
            </w:r>
          </w:p>
        </w:tc>
        <w:tc>
          <w:tcPr>
            <w:tcW w:w="0" w:type="auto"/>
            <w:tcBorders>
              <w:top w:val="nil"/>
              <w:left w:val="nil"/>
              <w:bottom w:val="single" w:sz="8" w:space="0" w:color="auto"/>
              <w:right w:val="single" w:sz="8" w:space="0" w:color="auto"/>
            </w:tcBorders>
            <w:shd w:val="clear" w:color="auto" w:fill="auto"/>
            <w:vAlign w:val="center"/>
            <w:hideMark/>
          </w:tcPr>
          <w:p w14:paraId="699AC66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 Mahwah </w:t>
            </w:r>
          </w:p>
        </w:tc>
        <w:tc>
          <w:tcPr>
            <w:tcW w:w="0" w:type="auto"/>
            <w:tcBorders>
              <w:top w:val="nil"/>
              <w:left w:val="nil"/>
              <w:bottom w:val="single" w:sz="8" w:space="0" w:color="auto"/>
              <w:right w:val="single" w:sz="8" w:space="0" w:color="auto"/>
            </w:tcBorders>
            <w:shd w:val="clear" w:color="auto" w:fill="auto"/>
            <w:vAlign w:val="center"/>
            <w:hideMark/>
          </w:tcPr>
          <w:p w14:paraId="71BA175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B1E27B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 Mahwah </w:t>
            </w:r>
          </w:p>
        </w:tc>
        <w:tc>
          <w:tcPr>
            <w:tcW w:w="0" w:type="auto"/>
            <w:tcBorders>
              <w:top w:val="nil"/>
              <w:left w:val="nil"/>
              <w:bottom w:val="single" w:sz="8" w:space="0" w:color="auto"/>
              <w:right w:val="single" w:sz="8" w:space="0" w:color="auto"/>
            </w:tcBorders>
            <w:shd w:val="clear" w:color="auto" w:fill="auto"/>
            <w:vAlign w:val="center"/>
            <w:hideMark/>
          </w:tcPr>
          <w:p w14:paraId="1EE7744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1E6E3D7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730966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J3410 </w:t>
            </w:r>
          </w:p>
        </w:tc>
        <w:tc>
          <w:tcPr>
            <w:tcW w:w="0" w:type="auto"/>
            <w:tcBorders>
              <w:top w:val="nil"/>
              <w:left w:val="nil"/>
              <w:bottom w:val="single" w:sz="8" w:space="0" w:color="auto"/>
              <w:right w:val="single" w:sz="8" w:space="0" w:color="auto"/>
            </w:tcBorders>
            <w:shd w:val="clear" w:color="auto" w:fill="auto"/>
            <w:vAlign w:val="center"/>
            <w:hideMark/>
          </w:tcPr>
          <w:p w14:paraId="3E063EF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 Mahwah A </w:t>
            </w:r>
          </w:p>
        </w:tc>
        <w:tc>
          <w:tcPr>
            <w:tcW w:w="0" w:type="auto"/>
            <w:tcBorders>
              <w:top w:val="nil"/>
              <w:left w:val="nil"/>
              <w:bottom w:val="single" w:sz="8" w:space="0" w:color="auto"/>
              <w:right w:val="single" w:sz="8" w:space="0" w:color="auto"/>
            </w:tcBorders>
            <w:shd w:val="clear" w:color="auto" w:fill="auto"/>
            <w:vAlign w:val="center"/>
            <w:hideMark/>
          </w:tcPr>
          <w:p w14:paraId="10AA4BE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02E529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Waldwick </w:t>
            </w:r>
          </w:p>
        </w:tc>
        <w:tc>
          <w:tcPr>
            <w:tcW w:w="0" w:type="auto"/>
            <w:tcBorders>
              <w:top w:val="nil"/>
              <w:left w:val="nil"/>
              <w:bottom w:val="single" w:sz="8" w:space="0" w:color="auto"/>
              <w:right w:val="single" w:sz="8" w:space="0" w:color="auto"/>
            </w:tcBorders>
            <w:shd w:val="clear" w:color="auto" w:fill="auto"/>
            <w:vAlign w:val="center"/>
            <w:hideMark/>
          </w:tcPr>
          <w:p w14:paraId="3C22CF0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AF9FCE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6385E2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K3411 </w:t>
            </w:r>
          </w:p>
        </w:tc>
        <w:tc>
          <w:tcPr>
            <w:tcW w:w="0" w:type="auto"/>
            <w:tcBorders>
              <w:top w:val="nil"/>
              <w:left w:val="nil"/>
              <w:bottom w:val="single" w:sz="8" w:space="0" w:color="auto"/>
              <w:right w:val="single" w:sz="8" w:space="0" w:color="auto"/>
            </w:tcBorders>
            <w:shd w:val="clear" w:color="auto" w:fill="auto"/>
            <w:vAlign w:val="center"/>
            <w:hideMark/>
          </w:tcPr>
          <w:p w14:paraId="3B812EA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 Mahwah B </w:t>
            </w:r>
          </w:p>
        </w:tc>
        <w:tc>
          <w:tcPr>
            <w:tcW w:w="0" w:type="auto"/>
            <w:tcBorders>
              <w:top w:val="nil"/>
              <w:left w:val="nil"/>
              <w:bottom w:val="single" w:sz="8" w:space="0" w:color="auto"/>
              <w:right w:val="single" w:sz="8" w:space="0" w:color="auto"/>
            </w:tcBorders>
            <w:shd w:val="clear" w:color="auto" w:fill="auto"/>
            <w:vAlign w:val="center"/>
            <w:hideMark/>
          </w:tcPr>
          <w:p w14:paraId="65E680E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6EBCA0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Waldwick </w:t>
            </w:r>
          </w:p>
        </w:tc>
        <w:tc>
          <w:tcPr>
            <w:tcW w:w="0" w:type="auto"/>
            <w:tcBorders>
              <w:top w:val="nil"/>
              <w:left w:val="nil"/>
              <w:bottom w:val="single" w:sz="8" w:space="0" w:color="auto"/>
              <w:right w:val="single" w:sz="8" w:space="0" w:color="auto"/>
            </w:tcBorders>
            <w:shd w:val="clear" w:color="auto" w:fill="auto"/>
            <w:vAlign w:val="center"/>
            <w:hideMark/>
          </w:tcPr>
          <w:p w14:paraId="2EB32E0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4493B4C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36786B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20</w:t>
            </w:r>
          </w:p>
        </w:tc>
        <w:tc>
          <w:tcPr>
            <w:tcW w:w="0" w:type="auto"/>
            <w:tcBorders>
              <w:top w:val="nil"/>
              <w:left w:val="nil"/>
              <w:bottom w:val="single" w:sz="8" w:space="0" w:color="auto"/>
              <w:right w:val="single" w:sz="8" w:space="0" w:color="auto"/>
            </w:tcBorders>
            <w:shd w:val="clear" w:color="auto" w:fill="auto"/>
            <w:vAlign w:val="center"/>
            <w:hideMark/>
          </w:tcPr>
          <w:p w14:paraId="45A772F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Scriba </w:t>
            </w:r>
          </w:p>
        </w:tc>
        <w:tc>
          <w:tcPr>
            <w:tcW w:w="0" w:type="auto"/>
            <w:tcBorders>
              <w:top w:val="nil"/>
              <w:left w:val="nil"/>
              <w:bottom w:val="single" w:sz="8" w:space="0" w:color="auto"/>
              <w:right w:val="single" w:sz="8" w:space="0" w:color="auto"/>
            </w:tcBorders>
            <w:shd w:val="clear" w:color="auto" w:fill="auto"/>
            <w:vAlign w:val="center"/>
            <w:hideMark/>
          </w:tcPr>
          <w:p w14:paraId="43F35EA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A83FBF8"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Volney</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6466533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413A8E1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18A446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21</w:t>
            </w:r>
          </w:p>
        </w:tc>
        <w:tc>
          <w:tcPr>
            <w:tcW w:w="0" w:type="auto"/>
            <w:tcBorders>
              <w:top w:val="nil"/>
              <w:left w:val="nil"/>
              <w:bottom w:val="single" w:sz="8" w:space="0" w:color="auto"/>
              <w:right w:val="single" w:sz="8" w:space="0" w:color="auto"/>
            </w:tcBorders>
            <w:shd w:val="clear" w:color="auto" w:fill="auto"/>
            <w:vAlign w:val="center"/>
            <w:hideMark/>
          </w:tcPr>
          <w:p w14:paraId="606EF9A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Scriba </w:t>
            </w:r>
          </w:p>
        </w:tc>
        <w:tc>
          <w:tcPr>
            <w:tcW w:w="0" w:type="auto"/>
            <w:tcBorders>
              <w:top w:val="nil"/>
              <w:left w:val="nil"/>
              <w:bottom w:val="single" w:sz="8" w:space="0" w:color="auto"/>
              <w:right w:val="single" w:sz="8" w:space="0" w:color="auto"/>
            </w:tcBorders>
            <w:shd w:val="clear" w:color="auto" w:fill="auto"/>
            <w:vAlign w:val="center"/>
            <w:hideMark/>
          </w:tcPr>
          <w:p w14:paraId="1C6CA4E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F0024D1"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Volney</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13911E0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22928D9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E692EF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243B9F2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Scriba </w:t>
            </w:r>
          </w:p>
        </w:tc>
        <w:tc>
          <w:tcPr>
            <w:tcW w:w="0" w:type="auto"/>
            <w:tcBorders>
              <w:top w:val="nil"/>
              <w:left w:val="nil"/>
              <w:bottom w:val="single" w:sz="8" w:space="0" w:color="auto"/>
              <w:right w:val="single" w:sz="8" w:space="0" w:color="auto"/>
            </w:tcBorders>
            <w:shd w:val="clear" w:color="auto" w:fill="auto"/>
            <w:vAlign w:val="center"/>
            <w:hideMark/>
          </w:tcPr>
          <w:p w14:paraId="1E56A5D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D24114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Scriba </w:t>
            </w:r>
          </w:p>
        </w:tc>
        <w:tc>
          <w:tcPr>
            <w:tcW w:w="0" w:type="auto"/>
            <w:tcBorders>
              <w:top w:val="nil"/>
              <w:left w:val="nil"/>
              <w:bottom w:val="single" w:sz="8" w:space="0" w:color="auto"/>
              <w:right w:val="single" w:sz="8" w:space="0" w:color="auto"/>
            </w:tcBorders>
            <w:shd w:val="clear" w:color="auto" w:fill="auto"/>
            <w:vAlign w:val="center"/>
            <w:hideMark/>
          </w:tcPr>
          <w:p w14:paraId="6BB890A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0A1FE7B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B4DDC5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250B390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Scriba </w:t>
            </w:r>
          </w:p>
        </w:tc>
        <w:tc>
          <w:tcPr>
            <w:tcW w:w="0" w:type="auto"/>
            <w:tcBorders>
              <w:top w:val="nil"/>
              <w:left w:val="nil"/>
              <w:bottom w:val="single" w:sz="8" w:space="0" w:color="auto"/>
              <w:right w:val="single" w:sz="8" w:space="0" w:color="auto"/>
            </w:tcBorders>
            <w:shd w:val="clear" w:color="auto" w:fill="auto"/>
            <w:vAlign w:val="center"/>
            <w:hideMark/>
          </w:tcPr>
          <w:p w14:paraId="3A9743D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813675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Scriba </w:t>
            </w:r>
          </w:p>
        </w:tc>
        <w:tc>
          <w:tcPr>
            <w:tcW w:w="0" w:type="auto"/>
            <w:tcBorders>
              <w:top w:val="nil"/>
              <w:left w:val="nil"/>
              <w:bottom w:val="single" w:sz="8" w:space="0" w:color="auto"/>
              <w:right w:val="single" w:sz="8" w:space="0" w:color="auto"/>
            </w:tcBorders>
            <w:shd w:val="clear" w:color="auto" w:fill="auto"/>
            <w:vAlign w:val="center"/>
            <w:hideMark/>
          </w:tcPr>
          <w:p w14:paraId="7B6FC68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3C48784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507F8B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w:t>
            </w:r>
          </w:p>
        </w:tc>
        <w:tc>
          <w:tcPr>
            <w:tcW w:w="0" w:type="auto"/>
            <w:tcBorders>
              <w:top w:val="nil"/>
              <w:left w:val="nil"/>
              <w:bottom w:val="single" w:sz="8" w:space="0" w:color="auto"/>
              <w:right w:val="single" w:sz="8" w:space="0" w:color="auto"/>
            </w:tcBorders>
            <w:shd w:val="clear" w:color="auto" w:fill="auto"/>
            <w:vAlign w:val="center"/>
            <w:hideMark/>
          </w:tcPr>
          <w:p w14:paraId="1DDD8403"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Kintigh</w:t>
            </w:r>
            <w:proofErr w:type="spellEnd"/>
            <w:r w:rsidRPr="00FF49F1">
              <w:rPr>
                <w:rFonts w:ascii="Calibri" w:hAnsi="Calibri" w:cs="Calibri"/>
                <w:color w:val="000000"/>
                <w:sz w:val="16"/>
                <w:szCs w:val="16"/>
                <w:lang w:bidi="ar-SA"/>
              </w:rPr>
              <w:t xml:space="preserve"> (Somerset)</w:t>
            </w:r>
          </w:p>
        </w:tc>
        <w:tc>
          <w:tcPr>
            <w:tcW w:w="0" w:type="auto"/>
            <w:tcBorders>
              <w:top w:val="nil"/>
              <w:left w:val="nil"/>
              <w:bottom w:val="single" w:sz="8" w:space="0" w:color="auto"/>
              <w:right w:val="single" w:sz="8" w:space="0" w:color="auto"/>
            </w:tcBorders>
            <w:shd w:val="clear" w:color="auto" w:fill="auto"/>
            <w:vAlign w:val="center"/>
            <w:hideMark/>
          </w:tcPr>
          <w:p w14:paraId="561E206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CCE344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Somerset</w:t>
            </w:r>
          </w:p>
        </w:tc>
        <w:tc>
          <w:tcPr>
            <w:tcW w:w="0" w:type="auto"/>
            <w:tcBorders>
              <w:top w:val="nil"/>
              <w:left w:val="nil"/>
              <w:bottom w:val="single" w:sz="8" w:space="0" w:color="auto"/>
              <w:right w:val="single" w:sz="8" w:space="0" w:color="auto"/>
            </w:tcBorders>
            <w:shd w:val="clear" w:color="auto" w:fill="auto"/>
            <w:vAlign w:val="center"/>
            <w:hideMark/>
          </w:tcPr>
          <w:p w14:paraId="6DB7B93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24</w:t>
            </w:r>
          </w:p>
        </w:tc>
      </w:tr>
      <w:tr w:rsidR="00FF49F1" w:rsidRPr="00FF49F1" w14:paraId="7257385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339F50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21792BB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Shore Road </w:t>
            </w:r>
          </w:p>
        </w:tc>
        <w:tc>
          <w:tcPr>
            <w:tcW w:w="0" w:type="auto"/>
            <w:tcBorders>
              <w:top w:val="nil"/>
              <w:left w:val="nil"/>
              <w:bottom w:val="single" w:sz="8" w:space="0" w:color="auto"/>
              <w:right w:val="single" w:sz="8" w:space="0" w:color="auto"/>
            </w:tcBorders>
            <w:shd w:val="clear" w:color="auto" w:fill="auto"/>
            <w:vAlign w:val="center"/>
            <w:hideMark/>
          </w:tcPr>
          <w:p w14:paraId="408DD03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B7A6AB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Shore Road </w:t>
            </w:r>
          </w:p>
        </w:tc>
        <w:tc>
          <w:tcPr>
            <w:tcW w:w="0" w:type="auto"/>
            <w:tcBorders>
              <w:top w:val="nil"/>
              <w:left w:val="nil"/>
              <w:bottom w:val="single" w:sz="8" w:space="0" w:color="auto"/>
              <w:right w:val="single" w:sz="8" w:space="0" w:color="auto"/>
            </w:tcBorders>
            <w:shd w:val="clear" w:color="auto" w:fill="auto"/>
            <w:vAlign w:val="center"/>
            <w:hideMark/>
          </w:tcPr>
          <w:p w14:paraId="425C849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2FA41F0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71A721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6C97FDF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Shore Road </w:t>
            </w:r>
          </w:p>
        </w:tc>
        <w:tc>
          <w:tcPr>
            <w:tcW w:w="0" w:type="auto"/>
            <w:tcBorders>
              <w:top w:val="nil"/>
              <w:left w:val="nil"/>
              <w:bottom w:val="single" w:sz="8" w:space="0" w:color="auto"/>
              <w:right w:val="single" w:sz="8" w:space="0" w:color="auto"/>
            </w:tcBorders>
            <w:shd w:val="clear" w:color="auto" w:fill="auto"/>
            <w:vAlign w:val="center"/>
            <w:hideMark/>
          </w:tcPr>
          <w:p w14:paraId="1DF731F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F43C76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Shore Road </w:t>
            </w:r>
          </w:p>
        </w:tc>
        <w:tc>
          <w:tcPr>
            <w:tcW w:w="0" w:type="auto"/>
            <w:tcBorders>
              <w:top w:val="nil"/>
              <w:left w:val="nil"/>
              <w:bottom w:val="single" w:sz="8" w:space="0" w:color="auto"/>
              <w:right w:val="single" w:sz="8" w:space="0" w:color="auto"/>
            </w:tcBorders>
            <w:shd w:val="clear" w:color="auto" w:fill="auto"/>
            <w:vAlign w:val="center"/>
            <w:hideMark/>
          </w:tcPr>
          <w:p w14:paraId="5644FCD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6A58F3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646B9A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N7 </w:t>
            </w:r>
          </w:p>
        </w:tc>
        <w:tc>
          <w:tcPr>
            <w:tcW w:w="0" w:type="auto"/>
            <w:tcBorders>
              <w:top w:val="nil"/>
              <w:left w:val="nil"/>
              <w:bottom w:val="single" w:sz="8" w:space="0" w:color="auto"/>
              <w:right w:val="single" w:sz="8" w:space="0" w:color="auto"/>
            </w:tcBorders>
            <w:shd w:val="clear" w:color="auto" w:fill="auto"/>
            <w:vAlign w:val="center"/>
            <w:hideMark/>
          </w:tcPr>
          <w:p w14:paraId="224D871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Sprain Brook </w:t>
            </w:r>
          </w:p>
        </w:tc>
        <w:tc>
          <w:tcPr>
            <w:tcW w:w="0" w:type="auto"/>
            <w:tcBorders>
              <w:top w:val="nil"/>
              <w:left w:val="nil"/>
              <w:bottom w:val="single" w:sz="8" w:space="0" w:color="auto"/>
              <w:right w:val="single" w:sz="8" w:space="0" w:color="auto"/>
            </w:tcBorders>
            <w:shd w:val="clear" w:color="auto" w:fill="auto"/>
            <w:vAlign w:val="center"/>
            <w:hideMark/>
          </w:tcPr>
          <w:p w14:paraId="1344A9D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C347C3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Sprain Brook </w:t>
            </w:r>
          </w:p>
        </w:tc>
        <w:tc>
          <w:tcPr>
            <w:tcW w:w="0" w:type="auto"/>
            <w:tcBorders>
              <w:top w:val="nil"/>
              <w:left w:val="nil"/>
              <w:bottom w:val="single" w:sz="8" w:space="0" w:color="auto"/>
              <w:right w:val="single" w:sz="8" w:space="0" w:color="auto"/>
            </w:tcBorders>
            <w:shd w:val="clear" w:color="auto" w:fill="auto"/>
            <w:vAlign w:val="center"/>
            <w:hideMark/>
          </w:tcPr>
          <w:p w14:paraId="148D2A8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70EE987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8748C8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lastRenderedPageBreak/>
              <w:t xml:space="preserve">BK S6 </w:t>
            </w:r>
          </w:p>
        </w:tc>
        <w:tc>
          <w:tcPr>
            <w:tcW w:w="0" w:type="auto"/>
            <w:tcBorders>
              <w:top w:val="nil"/>
              <w:left w:val="nil"/>
              <w:bottom w:val="single" w:sz="8" w:space="0" w:color="auto"/>
              <w:right w:val="single" w:sz="8" w:space="0" w:color="auto"/>
            </w:tcBorders>
            <w:shd w:val="clear" w:color="auto" w:fill="auto"/>
            <w:vAlign w:val="center"/>
            <w:hideMark/>
          </w:tcPr>
          <w:p w14:paraId="4A3FAC1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Sprain Brook </w:t>
            </w:r>
          </w:p>
        </w:tc>
        <w:tc>
          <w:tcPr>
            <w:tcW w:w="0" w:type="auto"/>
            <w:tcBorders>
              <w:top w:val="nil"/>
              <w:left w:val="nil"/>
              <w:bottom w:val="single" w:sz="8" w:space="0" w:color="auto"/>
              <w:right w:val="single" w:sz="8" w:space="0" w:color="auto"/>
            </w:tcBorders>
            <w:shd w:val="clear" w:color="auto" w:fill="auto"/>
            <w:vAlign w:val="center"/>
            <w:hideMark/>
          </w:tcPr>
          <w:p w14:paraId="07BA168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8FDD0B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Sprain Brook </w:t>
            </w:r>
          </w:p>
        </w:tc>
        <w:tc>
          <w:tcPr>
            <w:tcW w:w="0" w:type="auto"/>
            <w:tcBorders>
              <w:top w:val="nil"/>
              <w:left w:val="nil"/>
              <w:bottom w:val="single" w:sz="8" w:space="0" w:color="auto"/>
              <w:right w:val="single" w:sz="8" w:space="0" w:color="auto"/>
            </w:tcBorders>
            <w:shd w:val="clear" w:color="auto" w:fill="auto"/>
            <w:vAlign w:val="center"/>
            <w:hideMark/>
          </w:tcPr>
          <w:p w14:paraId="0C3BE5E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49271E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C5C021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M51 </w:t>
            </w:r>
          </w:p>
        </w:tc>
        <w:tc>
          <w:tcPr>
            <w:tcW w:w="0" w:type="auto"/>
            <w:tcBorders>
              <w:top w:val="nil"/>
              <w:left w:val="nil"/>
              <w:bottom w:val="single" w:sz="8" w:space="0" w:color="auto"/>
              <w:right w:val="single" w:sz="8" w:space="0" w:color="auto"/>
            </w:tcBorders>
            <w:shd w:val="clear" w:color="auto" w:fill="auto"/>
            <w:vAlign w:val="center"/>
            <w:hideMark/>
          </w:tcPr>
          <w:p w14:paraId="40CA208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Sprain Brook </w:t>
            </w:r>
          </w:p>
        </w:tc>
        <w:tc>
          <w:tcPr>
            <w:tcW w:w="0" w:type="auto"/>
            <w:tcBorders>
              <w:top w:val="nil"/>
              <w:left w:val="nil"/>
              <w:bottom w:val="single" w:sz="8" w:space="0" w:color="auto"/>
              <w:right w:val="single" w:sz="8" w:space="0" w:color="auto"/>
            </w:tcBorders>
            <w:shd w:val="clear" w:color="auto" w:fill="auto"/>
            <w:vAlign w:val="center"/>
            <w:hideMark/>
          </w:tcPr>
          <w:p w14:paraId="254E968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2F1E82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 49th St </w:t>
            </w:r>
          </w:p>
        </w:tc>
        <w:tc>
          <w:tcPr>
            <w:tcW w:w="0" w:type="auto"/>
            <w:tcBorders>
              <w:top w:val="nil"/>
              <w:left w:val="nil"/>
              <w:bottom w:val="single" w:sz="8" w:space="0" w:color="auto"/>
              <w:right w:val="single" w:sz="8" w:space="0" w:color="auto"/>
            </w:tcBorders>
            <w:shd w:val="clear" w:color="auto" w:fill="auto"/>
            <w:vAlign w:val="center"/>
            <w:hideMark/>
          </w:tcPr>
          <w:p w14:paraId="2563E69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7DCA0DA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12830C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M52 </w:t>
            </w:r>
          </w:p>
        </w:tc>
        <w:tc>
          <w:tcPr>
            <w:tcW w:w="0" w:type="auto"/>
            <w:tcBorders>
              <w:top w:val="nil"/>
              <w:left w:val="nil"/>
              <w:bottom w:val="single" w:sz="8" w:space="0" w:color="auto"/>
              <w:right w:val="single" w:sz="8" w:space="0" w:color="auto"/>
            </w:tcBorders>
            <w:shd w:val="clear" w:color="auto" w:fill="auto"/>
            <w:vAlign w:val="center"/>
            <w:hideMark/>
          </w:tcPr>
          <w:p w14:paraId="7DE3891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Sprain Brook </w:t>
            </w:r>
          </w:p>
        </w:tc>
        <w:tc>
          <w:tcPr>
            <w:tcW w:w="0" w:type="auto"/>
            <w:tcBorders>
              <w:top w:val="nil"/>
              <w:left w:val="nil"/>
              <w:bottom w:val="single" w:sz="8" w:space="0" w:color="auto"/>
              <w:right w:val="single" w:sz="8" w:space="0" w:color="auto"/>
            </w:tcBorders>
            <w:shd w:val="clear" w:color="auto" w:fill="auto"/>
            <w:vAlign w:val="center"/>
            <w:hideMark/>
          </w:tcPr>
          <w:p w14:paraId="1D1053C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66A3BA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 49th St </w:t>
            </w:r>
          </w:p>
        </w:tc>
        <w:tc>
          <w:tcPr>
            <w:tcW w:w="0" w:type="auto"/>
            <w:tcBorders>
              <w:top w:val="nil"/>
              <w:left w:val="nil"/>
              <w:bottom w:val="single" w:sz="8" w:space="0" w:color="auto"/>
              <w:right w:val="single" w:sz="8" w:space="0" w:color="auto"/>
            </w:tcBorders>
            <w:shd w:val="clear" w:color="auto" w:fill="auto"/>
            <w:vAlign w:val="center"/>
            <w:hideMark/>
          </w:tcPr>
          <w:p w14:paraId="047E568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4DB2E05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B7A714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X28 </w:t>
            </w:r>
          </w:p>
        </w:tc>
        <w:tc>
          <w:tcPr>
            <w:tcW w:w="0" w:type="auto"/>
            <w:tcBorders>
              <w:top w:val="nil"/>
              <w:left w:val="nil"/>
              <w:bottom w:val="single" w:sz="8" w:space="0" w:color="auto"/>
              <w:right w:val="single" w:sz="8" w:space="0" w:color="auto"/>
            </w:tcBorders>
            <w:shd w:val="clear" w:color="auto" w:fill="auto"/>
            <w:vAlign w:val="center"/>
            <w:hideMark/>
          </w:tcPr>
          <w:p w14:paraId="3358477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Sprain Brook </w:t>
            </w:r>
          </w:p>
        </w:tc>
        <w:tc>
          <w:tcPr>
            <w:tcW w:w="0" w:type="auto"/>
            <w:tcBorders>
              <w:top w:val="nil"/>
              <w:left w:val="nil"/>
              <w:bottom w:val="single" w:sz="8" w:space="0" w:color="auto"/>
              <w:right w:val="single" w:sz="8" w:space="0" w:color="auto"/>
            </w:tcBorders>
            <w:shd w:val="clear" w:color="auto" w:fill="auto"/>
            <w:vAlign w:val="center"/>
            <w:hideMark/>
          </w:tcPr>
          <w:p w14:paraId="5CBBAE6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71E620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Tremont </w:t>
            </w:r>
          </w:p>
        </w:tc>
        <w:tc>
          <w:tcPr>
            <w:tcW w:w="0" w:type="auto"/>
            <w:tcBorders>
              <w:top w:val="nil"/>
              <w:left w:val="nil"/>
              <w:bottom w:val="single" w:sz="8" w:space="0" w:color="auto"/>
              <w:right w:val="single" w:sz="8" w:space="0" w:color="auto"/>
            </w:tcBorders>
            <w:shd w:val="clear" w:color="auto" w:fill="auto"/>
            <w:vAlign w:val="center"/>
            <w:hideMark/>
          </w:tcPr>
          <w:p w14:paraId="53A3CB1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620747B9"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25518C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3 </w:t>
            </w:r>
          </w:p>
        </w:tc>
        <w:tc>
          <w:tcPr>
            <w:tcW w:w="0" w:type="auto"/>
            <w:tcBorders>
              <w:top w:val="nil"/>
              <w:left w:val="nil"/>
              <w:bottom w:val="single" w:sz="8" w:space="0" w:color="auto"/>
              <w:right w:val="single" w:sz="8" w:space="0" w:color="auto"/>
            </w:tcBorders>
            <w:shd w:val="clear" w:color="auto" w:fill="auto"/>
            <w:vAlign w:val="center"/>
            <w:hideMark/>
          </w:tcPr>
          <w:p w14:paraId="75A5A7A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Stolle Road </w:t>
            </w:r>
          </w:p>
        </w:tc>
        <w:tc>
          <w:tcPr>
            <w:tcW w:w="0" w:type="auto"/>
            <w:tcBorders>
              <w:top w:val="nil"/>
              <w:left w:val="nil"/>
              <w:bottom w:val="single" w:sz="8" w:space="0" w:color="auto"/>
              <w:right w:val="single" w:sz="8" w:space="0" w:color="auto"/>
            </w:tcBorders>
            <w:shd w:val="clear" w:color="auto" w:fill="auto"/>
            <w:vAlign w:val="center"/>
            <w:hideMark/>
          </w:tcPr>
          <w:p w14:paraId="6F1E4F9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8E0597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Stolle Road </w:t>
            </w:r>
          </w:p>
        </w:tc>
        <w:tc>
          <w:tcPr>
            <w:tcW w:w="0" w:type="auto"/>
            <w:tcBorders>
              <w:top w:val="nil"/>
              <w:left w:val="nil"/>
              <w:bottom w:val="single" w:sz="8" w:space="0" w:color="auto"/>
              <w:right w:val="single" w:sz="8" w:space="0" w:color="auto"/>
            </w:tcBorders>
            <w:shd w:val="clear" w:color="auto" w:fill="auto"/>
            <w:vAlign w:val="center"/>
            <w:hideMark/>
          </w:tcPr>
          <w:p w14:paraId="51D48BE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6488586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C57704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4 </w:t>
            </w:r>
          </w:p>
        </w:tc>
        <w:tc>
          <w:tcPr>
            <w:tcW w:w="0" w:type="auto"/>
            <w:tcBorders>
              <w:top w:val="nil"/>
              <w:left w:val="nil"/>
              <w:bottom w:val="single" w:sz="8" w:space="0" w:color="auto"/>
              <w:right w:val="single" w:sz="8" w:space="0" w:color="auto"/>
            </w:tcBorders>
            <w:shd w:val="clear" w:color="auto" w:fill="auto"/>
            <w:vAlign w:val="center"/>
            <w:hideMark/>
          </w:tcPr>
          <w:p w14:paraId="517A449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Stolle Road </w:t>
            </w:r>
          </w:p>
        </w:tc>
        <w:tc>
          <w:tcPr>
            <w:tcW w:w="0" w:type="auto"/>
            <w:tcBorders>
              <w:top w:val="nil"/>
              <w:left w:val="nil"/>
              <w:bottom w:val="single" w:sz="8" w:space="0" w:color="auto"/>
              <w:right w:val="single" w:sz="8" w:space="0" w:color="auto"/>
            </w:tcBorders>
            <w:shd w:val="clear" w:color="auto" w:fill="auto"/>
            <w:vAlign w:val="center"/>
            <w:hideMark/>
          </w:tcPr>
          <w:p w14:paraId="5AA6C3B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AAF931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Stolle Road </w:t>
            </w:r>
          </w:p>
        </w:tc>
        <w:tc>
          <w:tcPr>
            <w:tcW w:w="0" w:type="auto"/>
            <w:tcBorders>
              <w:top w:val="nil"/>
              <w:left w:val="nil"/>
              <w:bottom w:val="single" w:sz="8" w:space="0" w:color="auto"/>
              <w:right w:val="single" w:sz="8" w:space="0" w:color="auto"/>
            </w:tcBorders>
            <w:shd w:val="clear" w:color="auto" w:fill="auto"/>
            <w:vAlign w:val="center"/>
            <w:hideMark/>
          </w:tcPr>
          <w:p w14:paraId="4CAB592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60E15F0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DB35CF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w:t>
            </w:r>
          </w:p>
        </w:tc>
        <w:tc>
          <w:tcPr>
            <w:tcW w:w="0" w:type="auto"/>
            <w:tcBorders>
              <w:top w:val="nil"/>
              <w:left w:val="nil"/>
              <w:bottom w:val="single" w:sz="8" w:space="0" w:color="auto"/>
              <w:right w:val="single" w:sz="8" w:space="0" w:color="auto"/>
            </w:tcBorders>
            <w:shd w:val="clear" w:color="auto" w:fill="auto"/>
            <w:vAlign w:val="center"/>
            <w:hideMark/>
          </w:tcPr>
          <w:p w14:paraId="4501BCB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Tremont </w:t>
            </w:r>
          </w:p>
        </w:tc>
        <w:tc>
          <w:tcPr>
            <w:tcW w:w="0" w:type="auto"/>
            <w:tcBorders>
              <w:top w:val="nil"/>
              <w:left w:val="nil"/>
              <w:bottom w:val="single" w:sz="8" w:space="0" w:color="auto"/>
              <w:right w:val="single" w:sz="8" w:space="0" w:color="auto"/>
            </w:tcBorders>
            <w:shd w:val="clear" w:color="auto" w:fill="auto"/>
            <w:vAlign w:val="center"/>
            <w:hideMark/>
          </w:tcPr>
          <w:p w14:paraId="6EB12AD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1DC5781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Tremont </w:t>
            </w:r>
          </w:p>
        </w:tc>
        <w:tc>
          <w:tcPr>
            <w:tcW w:w="0" w:type="auto"/>
            <w:tcBorders>
              <w:top w:val="nil"/>
              <w:left w:val="nil"/>
              <w:bottom w:val="single" w:sz="8" w:space="0" w:color="auto"/>
              <w:right w:val="single" w:sz="8" w:space="0" w:color="auto"/>
            </w:tcBorders>
            <w:shd w:val="clear" w:color="auto" w:fill="auto"/>
            <w:vAlign w:val="center"/>
            <w:hideMark/>
          </w:tcPr>
          <w:p w14:paraId="3B9BBE5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3B5980F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1085AF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12</w:t>
            </w:r>
          </w:p>
        </w:tc>
        <w:tc>
          <w:tcPr>
            <w:tcW w:w="0" w:type="auto"/>
            <w:tcBorders>
              <w:top w:val="nil"/>
              <w:left w:val="nil"/>
              <w:bottom w:val="single" w:sz="8" w:space="0" w:color="auto"/>
              <w:right w:val="single" w:sz="8" w:space="0" w:color="auto"/>
            </w:tcBorders>
            <w:shd w:val="clear" w:color="auto" w:fill="auto"/>
            <w:vAlign w:val="center"/>
            <w:hideMark/>
          </w:tcPr>
          <w:p w14:paraId="7896055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Tremont </w:t>
            </w:r>
          </w:p>
        </w:tc>
        <w:tc>
          <w:tcPr>
            <w:tcW w:w="0" w:type="auto"/>
            <w:tcBorders>
              <w:top w:val="nil"/>
              <w:left w:val="nil"/>
              <w:bottom w:val="single" w:sz="8" w:space="0" w:color="auto"/>
              <w:right w:val="single" w:sz="8" w:space="0" w:color="auto"/>
            </w:tcBorders>
            <w:shd w:val="clear" w:color="auto" w:fill="auto"/>
            <w:vAlign w:val="center"/>
            <w:hideMark/>
          </w:tcPr>
          <w:p w14:paraId="2E57345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27EE84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Tremont </w:t>
            </w:r>
          </w:p>
        </w:tc>
        <w:tc>
          <w:tcPr>
            <w:tcW w:w="0" w:type="auto"/>
            <w:tcBorders>
              <w:top w:val="nil"/>
              <w:left w:val="nil"/>
              <w:bottom w:val="single" w:sz="8" w:space="0" w:color="auto"/>
              <w:right w:val="single" w:sz="8" w:space="0" w:color="auto"/>
            </w:tcBorders>
            <w:shd w:val="clear" w:color="auto" w:fill="auto"/>
            <w:vAlign w:val="center"/>
            <w:hideMark/>
          </w:tcPr>
          <w:p w14:paraId="39A2F33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6FF4816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3B634F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301BA7E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 49th St </w:t>
            </w:r>
          </w:p>
        </w:tc>
        <w:tc>
          <w:tcPr>
            <w:tcW w:w="0" w:type="auto"/>
            <w:tcBorders>
              <w:top w:val="nil"/>
              <w:left w:val="nil"/>
              <w:bottom w:val="single" w:sz="8" w:space="0" w:color="auto"/>
              <w:right w:val="single" w:sz="8" w:space="0" w:color="auto"/>
            </w:tcBorders>
            <w:shd w:val="clear" w:color="auto" w:fill="auto"/>
            <w:vAlign w:val="center"/>
            <w:hideMark/>
          </w:tcPr>
          <w:p w14:paraId="3005023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4B33B64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 49th St </w:t>
            </w:r>
          </w:p>
        </w:tc>
        <w:tc>
          <w:tcPr>
            <w:tcW w:w="0" w:type="auto"/>
            <w:tcBorders>
              <w:top w:val="nil"/>
              <w:left w:val="nil"/>
              <w:bottom w:val="single" w:sz="8" w:space="0" w:color="auto"/>
              <w:right w:val="single" w:sz="8" w:space="0" w:color="auto"/>
            </w:tcBorders>
            <w:shd w:val="clear" w:color="auto" w:fill="auto"/>
            <w:vAlign w:val="center"/>
            <w:hideMark/>
          </w:tcPr>
          <w:p w14:paraId="19E48CA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2B19AE7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2149EF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3C222D4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 49th St </w:t>
            </w:r>
          </w:p>
        </w:tc>
        <w:tc>
          <w:tcPr>
            <w:tcW w:w="0" w:type="auto"/>
            <w:tcBorders>
              <w:top w:val="nil"/>
              <w:left w:val="nil"/>
              <w:bottom w:val="single" w:sz="8" w:space="0" w:color="auto"/>
              <w:right w:val="single" w:sz="8" w:space="0" w:color="auto"/>
            </w:tcBorders>
            <w:shd w:val="clear" w:color="auto" w:fill="auto"/>
            <w:vAlign w:val="center"/>
            <w:hideMark/>
          </w:tcPr>
          <w:p w14:paraId="06302A0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00C9269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 49th St </w:t>
            </w:r>
          </w:p>
        </w:tc>
        <w:tc>
          <w:tcPr>
            <w:tcW w:w="0" w:type="auto"/>
            <w:tcBorders>
              <w:top w:val="nil"/>
              <w:left w:val="nil"/>
              <w:bottom w:val="single" w:sz="8" w:space="0" w:color="auto"/>
              <w:right w:val="single" w:sz="8" w:space="0" w:color="auto"/>
            </w:tcBorders>
            <w:shd w:val="clear" w:color="auto" w:fill="auto"/>
            <w:vAlign w:val="center"/>
            <w:hideMark/>
          </w:tcPr>
          <w:p w14:paraId="3FDA0C6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B1A4B99"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3461C1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3* </w:t>
            </w:r>
          </w:p>
        </w:tc>
        <w:tc>
          <w:tcPr>
            <w:tcW w:w="0" w:type="auto"/>
            <w:tcBorders>
              <w:top w:val="nil"/>
              <w:left w:val="nil"/>
              <w:bottom w:val="single" w:sz="8" w:space="0" w:color="auto"/>
              <w:right w:val="single" w:sz="8" w:space="0" w:color="auto"/>
            </w:tcBorders>
            <w:shd w:val="clear" w:color="auto" w:fill="auto"/>
            <w:vAlign w:val="center"/>
            <w:hideMark/>
          </w:tcPr>
          <w:p w14:paraId="03B1501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 49th St </w:t>
            </w:r>
          </w:p>
        </w:tc>
        <w:tc>
          <w:tcPr>
            <w:tcW w:w="0" w:type="auto"/>
            <w:tcBorders>
              <w:top w:val="nil"/>
              <w:left w:val="nil"/>
              <w:bottom w:val="single" w:sz="8" w:space="0" w:color="auto"/>
              <w:right w:val="single" w:sz="8" w:space="0" w:color="auto"/>
            </w:tcBorders>
            <w:shd w:val="clear" w:color="auto" w:fill="auto"/>
            <w:vAlign w:val="center"/>
            <w:hideMark/>
          </w:tcPr>
          <w:p w14:paraId="4459534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31DB852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 49th St </w:t>
            </w:r>
          </w:p>
        </w:tc>
        <w:tc>
          <w:tcPr>
            <w:tcW w:w="0" w:type="auto"/>
            <w:tcBorders>
              <w:top w:val="nil"/>
              <w:left w:val="nil"/>
              <w:bottom w:val="single" w:sz="8" w:space="0" w:color="auto"/>
              <w:right w:val="single" w:sz="8" w:space="0" w:color="auto"/>
            </w:tcBorders>
            <w:shd w:val="clear" w:color="auto" w:fill="auto"/>
            <w:vAlign w:val="center"/>
            <w:hideMark/>
          </w:tcPr>
          <w:p w14:paraId="4D8F3CB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26A8B80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AD2E8C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4* </w:t>
            </w:r>
          </w:p>
        </w:tc>
        <w:tc>
          <w:tcPr>
            <w:tcW w:w="0" w:type="auto"/>
            <w:tcBorders>
              <w:top w:val="nil"/>
              <w:left w:val="nil"/>
              <w:bottom w:val="single" w:sz="8" w:space="0" w:color="auto"/>
              <w:right w:val="single" w:sz="8" w:space="0" w:color="auto"/>
            </w:tcBorders>
            <w:shd w:val="clear" w:color="auto" w:fill="auto"/>
            <w:vAlign w:val="center"/>
            <w:hideMark/>
          </w:tcPr>
          <w:p w14:paraId="5837E21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 49th St </w:t>
            </w:r>
          </w:p>
        </w:tc>
        <w:tc>
          <w:tcPr>
            <w:tcW w:w="0" w:type="auto"/>
            <w:tcBorders>
              <w:top w:val="nil"/>
              <w:left w:val="nil"/>
              <w:bottom w:val="single" w:sz="8" w:space="0" w:color="auto"/>
              <w:right w:val="single" w:sz="8" w:space="0" w:color="auto"/>
            </w:tcBorders>
            <w:shd w:val="clear" w:color="auto" w:fill="auto"/>
            <w:vAlign w:val="center"/>
            <w:hideMark/>
          </w:tcPr>
          <w:p w14:paraId="72EA86F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A48AB6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 49th St </w:t>
            </w:r>
          </w:p>
        </w:tc>
        <w:tc>
          <w:tcPr>
            <w:tcW w:w="0" w:type="auto"/>
            <w:tcBorders>
              <w:top w:val="nil"/>
              <w:left w:val="nil"/>
              <w:bottom w:val="single" w:sz="8" w:space="0" w:color="auto"/>
              <w:right w:val="single" w:sz="8" w:space="0" w:color="auto"/>
            </w:tcBorders>
            <w:shd w:val="clear" w:color="auto" w:fill="auto"/>
            <w:vAlign w:val="center"/>
            <w:hideMark/>
          </w:tcPr>
          <w:p w14:paraId="40E4DAB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61693B6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1A92BA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5* </w:t>
            </w:r>
          </w:p>
        </w:tc>
        <w:tc>
          <w:tcPr>
            <w:tcW w:w="0" w:type="auto"/>
            <w:tcBorders>
              <w:top w:val="nil"/>
              <w:left w:val="nil"/>
              <w:bottom w:val="single" w:sz="8" w:space="0" w:color="auto"/>
              <w:right w:val="single" w:sz="8" w:space="0" w:color="auto"/>
            </w:tcBorders>
            <w:shd w:val="clear" w:color="auto" w:fill="auto"/>
            <w:vAlign w:val="center"/>
            <w:hideMark/>
          </w:tcPr>
          <w:p w14:paraId="41FB8AB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 49th St </w:t>
            </w:r>
          </w:p>
        </w:tc>
        <w:tc>
          <w:tcPr>
            <w:tcW w:w="0" w:type="auto"/>
            <w:tcBorders>
              <w:top w:val="nil"/>
              <w:left w:val="nil"/>
              <w:bottom w:val="single" w:sz="8" w:space="0" w:color="auto"/>
              <w:right w:val="single" w:sz="8" w:space="0" w:color="auto"/>
            </w:tcBorders>
            <w:shd w:val="clear" w:color="auto" w:fill="auto"/>
            <w:vAlign w:val="center"/>
            <w:hideMark/>
          </w:tcPr>
          <w:p w14:paraId="6A05766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6E9C4B2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 49th St </w:t>
            </w:r>
          </w:p>
        </w:tc>
        <w:tc>
          <w:tcPr>
            <w:tcW w:w="0" w:type="auto"/>
            <w:tcBorders>
              <w:top w:val="nil"/>
              <w:left w:val="nil"/>
              <w:bottom w:val="single" w:sz="8" w:space="0" w:color="auto"/>
              <w:right w:val="single" w:sz="8" w:space="0" w:color="auto"/>
            </w:tcBorders>
            <w:shd w:val="clear" w:color="auto" w:fill="auto"/>
            <w:vAlign w:val="center"/>
            <w:hideMark/>
          </w:tcPr>
          <w:p w14:paraId="7CFBC2B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3C9E212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D1880F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Y56 </w:t>
            </w:r>
          </w:p>
        </w:tc>
        <w:tc>
          <w:tcPr>
            <w:tcW w:w="0" w:type="auto"/>
            <w:tcBorders>
              <w:top w:val="nil"/>
              <w:left w:val="nil"/>
              <w:bottom w:val="single" w:sz="8" w:space="0" w:color="auto"/>
              <w:right w:val="single" w:sz="8" w:space="0" w:color="auto"/>
            </w:tcBorders>
            <w:shd w:val="clear" w:color="auto" w:fill="auto"/>
            <w:vAlign w:val="center"/>
            <w:hideMark/>
          </w:tcPr>
          <w:p w14:paraId="50182D1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 49th St </w:t>
            </w:r>
          </w:p>
        </w:tc>
        <w:tc>
          <w:tcPr>
            <w:tcW w:w="0" w:type="auto"/>
            <w:tcBorders>
              <w:top w:val="nil"/>
              <w:left w:val="nil"/>
              <w:bottom w:val="single" w:sz="8" w:space="0" w:color="auto"/>
              <w:right w:val="single" w:sz="8" w:space="0" w:color="auto"/>
            </w:tcBorders>
            <w:shd w:val="clear" w:color="auto" w:fill="auto"/>
            <w:vAlign w:val="center"/>
            <w:hideMark/>
          </w:tcPr>
          <w:p w14:paraId="4A86AF6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C032F4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Hudson </w:t>
            </w:r>
            <w:proofErr w:type="spellStart"/>
            <w:r w:rsidRPr="00FF49F1">
              <w:rPr>
                <w:rFonts w:ascii="Calibri" w:hAnsi="Calibri" w:cs="Calibri"/>
                <w:color w:val="000000"/>
                <w:sz w:val="16"/>
                <w:szCs w:val="16"/>
                <w:lang w:bidi="ar-SA"/>
              </w:rPr>
              <w:t>HVdc</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11386C4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r>
      <w:tr w:rsidR="00FF49F1" w:rsidRPr="00FF49F1" w14:paraId="315D4ED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96AB4B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194 </w:t>
            </w:r>
          </w:p>
        </w:tc>
        <w:tc>
          <w:tcPr>
            <w:tcW w:w="0" w:type="auto"/>
            <w:tcBorders>
              <w:top w:val="nil"/>
              <w:left w:val="nil"/>
              <w:bottom w:val="single" w:sz="8" w:space="0" w:color="auto"/>
              <w:right w:val="single" w:sz="8" w:space="0" w:color="auto"/>
            </w:tcBorders>
            <w:shd w:val="clear" w:color="auto" w:fill="auto"/>
            <w:vAlign w:val="center"/>
            <w:hideMark/>
          </w:tcPr>
          <w:p w14:paraId="2DA3279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West Haverstraw </w:t>
            </w:r>
          </w:p>
        </w:tc>
        <w:tc>
          <w:tcPr>
            <w:tcW w:w="0" w:type="auto"/>
            <w:tcBorders>
              <w:top w:val="nil"/>
              <w:left w:val="nil"/>
              <w:bottom w:val="single" w:sz="8" w:space="0" w:color="auto"/>
              <w:right w:val="single" w:sz="8" w:space="0" w:color="auto"/>
            </w:tcBorders>
            <w:shd w:val="clear" w:color="auto" w:fill="auto"/>
            <w:vAlign w:val="center"/>
            <w:hideMark/>
          </w:tcPr>
          <w:p w14:paraId="6731DF2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7F4A060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West Haverstraw </w:t>
            </w:r>
          </w:p>
        </w:tc>
        <w:tc>
          <w:tcPr>
            <w:tcW w:w="0" w:type="auto"/>
            <w:tcBorders>
              <w:top w:val="nil"/>
              <w:left w:val="nil"/>
              <w:bottom w:val="single" w:sz="8" w:space="0" w:color="auto"/>
              <w:right w:val="single" w:sz="8" w:space="0" w:color="auto"/>
            </w:tcBorders>
            <w:shd w:val="clear" w:color="auto" w:fill="auto"/>
            <w:vAlign w:val="center"/>
            <w:hideMark/>
          </w:tcPr>
          <w:p w14:paraId="55D6ED6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743308E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3A5AB0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659FE69D"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Watercure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425F0D8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3968427"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Watercure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5058A80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66A47A4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4E9897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BK 2</w:t>
            </w:r>
          </w:p>
        </w:tc>
        <w:tc>
          <w:tcPr>
            <w:tcW w:w="0" w:type="auto"/>
            <w:tcBorders>
              <w:top w:val="nil"/>
              <w:left w:val="nil"/>
              <w:bottom w:val="single" w:sz="8" w:space="0" w:color="auto"/>
              <w:right w:val="single" w:sz="8" w:space="0" w:color="auto"/>
            </w:tcBorders>
            <w:shd w:val="clear" w:color="auto" w:fill="auto"/>
            <w:vAlign w:val="center"/>
            <w:hideMark/>
          </w:tcPr>
          <w:p w14:paraId="6E4C7F1D"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Watercure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07B55B4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537C2B7B"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Watercure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5D9CE25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4D94BD7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EF3B8A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76FED33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Wood Street </w:t>
            </w:r>
          </w:p>
        </w:tc>
        <w:tc>
          <w:tcPr>
            <w:tcW w:w="0" w:type="auto"/>
            <w:tcBorders>
              <w:top w:val="nil"/>
              <w:left w:val="nil"/>
              <w:bottom w:val="single" w:sz="8" w:space="0" w:color="auto"/>
              <w:right w:val="single" w:sz="8" w:space="0" w:color="auto"/>
            </w:tcBorders>
            <w:shd w:val="clear" w:color="auto" w:fill="auto"/>
            <w:vAlign w:val="center"/>
            <w:hideMark/>
          </w:tcPr>
          <w:p w14:paraId="28FA30A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128ABA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Wood Street </w:t>
            </w:r>
          </w:p>
        </w:tc>
        <w:tc>
          <w:tcPr>
            <w:tcW w:w="0" w:type="auto"/>
            <w:tcBorders>
              <w:top w:val="nil"/>
              <w:left w:val="nil"/>
              <w:bottom w:val="single" w:sz="8" w:space="0" w:color="auto"/>
              <w:right w:val="single" w:sz="8" w:space="0" w:color="auto"/>
            </w:tcBorders>
            <w:shd w:val="clear" w:color="auto" w:fill="auto"/>
            <w:vAlign w:val="center"/>
            <w:hideMark/>
          </w:tcPr>
          <w:p w14:paraId="304E796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01D222D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E36200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5D78830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Wood Street </w:t>
            </w:r>
          </w:p>
        </w:tc>
        <w:tc>
          <w:tcPr>
            <w:tcW w:w="0" w:type="auto"/>
            <w:tcBorders>
              <w:top w:val="nil"/>
              <w:left w:val="nil"/>
              <w:bottom w:val="single" w:sz="8" w:space="0" w:color="auto"/>
              <w:right w:val="single" w:sz="8" w:space="0" w:color="auto"/>
            </w:tcBorders>
            <w:shd w:val="clear" w:color="auto" w:fill="auto"/>
            <w:vAlign w:val="center"/>
            <w:hideMark/>
          </w:tcPr>
          <w:p w14:paraId="7347FB2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345</w:t>
            </w:r>
          </w:p>
        </w:tc>
        <w:tc>
          <w:tcPr>
            <w:tcW w:w="0" w:type="auto"/>
            <w:tcBorders>
              <w:top w:val="nil"/>
              <w:left w:val="nil"/>
              <w:bottom w:val="single" w:sz="8" w:space="0" w:color="auto"/>
              <w:right w:val="single" w:sz="8" w:space="0" w:color="auto"/>
            </w:tcBorders>
            <w:shd w:val="clear" w:color="auto" w:fill="auto"/>
            <w:vAlign w:val="center"/>
            <w:hideMark/>
          </w:tcPr>
          <w:p w14:paraId="2B7C312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Wood Street </w:t>
            </w:r>
          </w:p>
        </w:tc>
        <w:tc>
          <w:tcPr>
            <w:tcW w:w="0" w:type="auto"/>
            <w:tcBorders>
              <w:top w:val="nil"/>
              <w:left w:val="nil"/>
              <w:bottom w:val="single" w:sz="8" w:space="0" w:color="auto"/>
              <w:right w:val="single" w:sz="8" w:space="0" w:color="auto"/>
            </w:tcBorders>
            <w:shd w:val="clear" w:color="auto" w:fill="auto"/>
            <w:vAlign w:val="center"/>
            <w:hideMark/>
          </w:tcPr>
          <w:p w14:paraId="5675D75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1AA1121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58F082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w:t>
            </w:r>
          </w:p>
        </w:tc>
        <w:tc>
          <w:tcPr>
            <w:tcW w:w="0" w:type="auto"/>
            <w:tcBorders>
              <w:top w:val="nil"/>
              <w:left w:val="nil"/>
              <w:bottom w:val="single" w:sz="8" w:space="0" w:color="auto"/>
              <w:right w:val="single" w:sz="8" w:space="0" w:color="auto"/>
            </w:tcBorders>
            <w:shd w:val="clear" w:color="auto" w:fill="auto"/>
            <w:vAlign w:val="center"/>
            <w:hideMark/>
          </w:tcPr>
          <w:p w14:paraId="0B3820D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Adirondack </w:t>
            </w:r>
          </w:p>
        </w:tc>
        <w:tc>
          <w:tcPr>
            <w:tcW w:w="0" w:type="auto"/>
            <w:tcBorders>
              <w:top w:val="nil"/>
              <w:left w:val="nil"/>
              <w:bottom w:val="single" w:sz="8" w:space="0" w:color="auto"/>
              <w:right w:val="single" w:sz="8" w:space="0" w:color="auto"/>
            </w:tcBorders>
            <w:shd w:val="clear" w:color="auto" w:fill="auto"/>
            <w:vAlign w:val="center"/>
            <w:hideMark/>
          </w:tcPr>
          <w:p w14:paraId="0351189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5929716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Chases Lake </w:t>
            </w:r>
          </w:p>
        </w:tc>
        <w:tc>
          <w:tcPr>
            <w:tcW w:w="0" w:type="auto"/>
            <w:tcBorders>
              <w:top w:val="nil"/>
              <w:left w:val="nil"/>
              <w:bottom w:val="single" w:sz="8" w:space="0" w:color="auto"/>
              <w:right w:val="single" w:sz="8" w:space="0" w:color="auto"/>
            </w:tcBorders>
            <w:shd w:val="clear" w:color="auto" w:fill="auto"/>
            <w:vAlign w:val="center"/>
            <w:hideMark/>
          </w:tcPr>
          <w:p w14:paraId="25F09C1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333C7A7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040FB1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12-AP </w:t>
            </w:r>
          </w:p>
        </w:tc>
        <w:tc>
          <w:tcPr>
            <w:tcW w:w="0" w:type="auto"/>
            <w:tcBorders>
              <w:top w:val="nil"/>
              <w:left w:val="nil"/>
              <w:bottom w:val="single" w:sz="8" w:space="0" w:color="auto"/>
              <w:right w:val="single" w:sz="8" w:space="0" w:color="auto"/>
            </w:tcBorders>
            <w:shd w:val="clear" w:color="auto" w:fill="auto"/>
            <w:vAlign w:val="center"/>
            <w:hideMark/>
          </w:tcPr>
          <w:p w14:paraId="47ED744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Adirondack </w:t>
            </w:r>
          </w:p>
        </w:tc>
        <w:tc>
          <w:tcPr>
            <w:tcW w:w="0" w:type="auto"/>
            <w:tcBorders>
              <w:top w:val="nil"/>
              <w:left w:val="nil"/>
              <w:bottom w:val="single" w:sz="8" w:space="0" w:color="auto"/>
              <w:right w:val="single" w:sz="8" w:space="0" w:color="auto"/>
            </w:tcBorders>
            <w:shd w:val="clear" w:color="auto" w:fill="auto"/>
            <w:vAlign w:val="center"/>
            <w:hideMark/>
          </w:tcPr>
          <w:p w14:paraId="7B938AB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663E233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Porter </w:t>
            </w:r>
          </w:p>
        </w:tc>
        <w:tc>
          <w:tcPr>
            <w:tcW w:w="0" w:type="auto"/>
            <w:tcBorders>
              <w:top w:val="nil"/>
              <w:left w:val="nil"/>
              <w:bottom w:val="single" w:sz="8" w:space="0" w:color="auto"/>
              <w:right w:val="single" w:sz="8" w:space="0" w:color="auto"/>
            </w:tcBorders>
            <w:shd w:val="clear" w:color="auto" w:fill="auto"/>
            <w:vAlign w:val="center"/>
            <w:hideMark/>
          </w:tcPr>
          <w:p w14:paraId="78D8E0F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6146F8C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23218C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MA1 </w:t>
            </w:r>
          </w:p>
        </w:tc>
        <w:tc>
          <w:tcPr>
            <w:tcW w:w="0" w:type="auto"/>
            <w:tcBorders>
              <w:top w:val="nil"/>
              <w:left w:val="nil"/>
              <w:bottom w:val="single" w:sz="8" w:space="0" w:color="auto"/>
              <w:right w:val="single" w:sz="8" w:space="0" w:color="auto"/>
            </w:tcBorders>
            <w:shd w:val="clear" w:color="auto" w:fill="auto"/>
            <w:vAlign w:val="center"/>
            <w:hideMark/>
          </w:tcPr>
          <w:p w14:paraId="46EDF21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Adirondack </w:t>
            </w:r>
          </w:p>
        </w:tc>
        <w:tc>
          <w:tcPr>
            <w:tcW w:w="0" w:type="auto"/>
            <w:tcBorders>
              <w:top w:val="nil"/>
              <w:left w:val="nil"/>
              <w:bottom w:val="single" w:sz="8" w:space="0" w:color="auto"/>
              <w:right w:val="single" w:sz="8" w:space="0" w:color="auto"/>
            </w:tcBorders>
            <w:shd w:val="clear" w:color="auto" w:fill="auto"/>
            <w:vAlign w:val="center"/>
            <w:hideMark/>
          </w:tcPr>
          <w:p w14:paraId="316E68F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73BD1C5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Moses </w:t>
            </w:r>
          </w:p>
        </w:tc>
        <w:tc>
          <w:tcPr>
            <w:tcW w:w="0" w:type="auto"/>
            <w:tcBorders>
              <w:top w:val="nil"/>
              <w:left w:val="nil"/>
              <w:bottom w:val="single" w:sz="8" w:space="0" w:color="auto"/>
              <w:right w:val="single" w:sz="8" w:space="0" w:color="auto"/>
            </w:tcBorders>
            <w:shd w:val="clear" w:color="auto" w:fill="auto"/>
            <w:vAlign w:val="center"/>
            <w:hideMark/>
          </w:tcPr>
          <w:p w14:paraId="38F6708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37B68DC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AC2C40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MA2 </w:t>
            </w:r>
          </w:p>
        </w:tc>
        <w:tc>
          <w:tcPr>
            <w:tcW w:w="0" w:type="auto"/>
            <w:tcBorders>
              <w:top w:val="nil"/>
              <w:left w:val="nil"/>
              <w:bottom w:val="single" w:sz="8" w:space="0" w:color="auto"/>
              <w:right w:val="single" w:sz="8" w:space="0" w:color="auto"/>
            </w:tcBorders>
            <w:shd w:val="clear" w:color="auto" w:fill="auto"/>
            <w:vAlign w:val="center"/>
            <w:hideMark/>
          </w:tcPr>
          <w:p w14:paraId="1CE83E2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Adirondack </w:t>
            </w:r>
          </w:p>
        </w:tc>
        <w:tc>
          <w:tcPr>
            <w:tcW w:w="0" w:type="auto"/>
            <w:tcBorders>
              <w:top w:val="nil"/>
              <w:left w:val="nil"/>
              <w:bottom w:val="single" w:sz="8" w:space="0" w:color="auto"/>
              <w:right w:val="single" w:sz="8" w:space="0" w:color="auto"/>
            </w:tcBorders>
            <w:shd w:val="clear" w:color="auto" w:fill="auto"/>
            <w:vAlign w:val="center"/>
            <w:hideMark/>
          </w:tcPr>
          <w:p w14:paraId="14A53BC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21F22FE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Moses </w:t>
            </w:r>
          </w:p>
        </w:tc>
        <w:tc>
          <w:tcPr>
            <w:tcW w:w="0" w:type="auto"/>
            <w:tcBorders>
              <w:top w:val="nil"/>
              <w:left w:val="nil"/>
              <w:bottom w:val="single" w:sz="8" w:space="0" w:color="auto"/>
              <w:right w:val="single" w:sz="8" w:space="0" w:color="auto"/>
            </w:tcBorders>
            <w:shd w:val="clear" w:color="auto" w:fill="auto"/>
            <w:vAlign w:val="center"/>
            <w:hideMark/>
          </w:tcPr>
          <w:p w14:paraId="6325AEF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388FCD6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169E6C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E205W </w:t>
            </w:r>
          </w:p>
        </w:tc>
        <w:tc>
          <w:tcPr>
            <w:tcW w:w="0" w:type="auto"/>
            <w:tcBorders>
              <w:top w:val="nil"/>
              <w:left w:val="nil"/>
              <w:bottom w:val="single" w:sz="8" w:space="0" w:color="auto"/>
              <w:right w:val="single" w:sz="8" w:space="0" w:color="auto"/>
            </w:tcBorders>
            <w:shd w:val="clear" w:color="auto" w:fill="auto"/>
            <w:vAlign w:val="center"/>
            <w:hideMark/>
          </w:tcPr>
          <w:p w14:paraId="06C7582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Bear Swamp (NE) </w:t>
            </w:r>
          </w:p>
        </w:tc>
        <w:tc>
          <w:tcPr>
            <w:tcW w:w="0" w:type="auto"/>
            <w:tcBorders>
              <w:top w:val="nil"/>
              <w:left w:val="nil"/>
              <w:bottom w:val="single" w:sz="8" w:space="0" w:color="auto"/>
              <w:right w:val="single" w:sz="8" w:space="0" w:color="auto"/>
            </w:tcBorders>
            <w:shd w:val="clear" w:color="auto" w:fill="auto"/>
            <w:vAlign w:val="center"/>
            <w:hideMark/>
          </w:tcPr>
          <w:p w14:paraId="288EA82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03D629B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Eastover Rd. </w:t>
            </w:r>
          </w:p>
        </w:tc>
        <w:tc>
          <w:tcPr>
            <w:tcW w:w="0" w:type="auto"/>
            <w:tcBorders>
              <w:top w:val="nil"/>
              <w:left w:val="nil"/>
              <w:bottom w:val="single" w:sz="8" w:space="0" w:color="auto"/>
              <w:right w:val="single" w:sz="8" w:space="0" w:color="auto"/>
            </w:tcBorders>
            <w:shd w:val="clear" w:color="auto" w:fill="auto"/>
            <w:vAlign w:val="center"/>
            <w:hideMark/>
          </w:tcPr>
          <w:p w14:paraId="4A0B8F9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00C5346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FC88BF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BP76 </w:t>
            </w:r>
          </w:p>
        </w:tc>
        <w:tc>
          <w:tcPr>
            <w:tcW w:w="0" w:type="auto"/>
            <w:tcBorders>
              <w:top w:val="nil"/>
              <w:left w:val="nil"/>
              <w:bottom w:val="single" w:sz="8" w:space="0" w:color="auto"/>
              <w:right w:val="single" w:sz="8" w:space="0" w:color="auto"/>
            </w:tcBorders>
            <w:shd w:val="clear" w:color="auto" w:fill="auto"/>
            <w:vAlign w:val="center"/>
            <w:hideMark/>
          </w:tcPr>
          <w:p w14:paraId="4BAE538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Beck (IESO) </w:t>
            </w:r>
          </w:p>
        </w:tc>
        <w:tc>
          <w:tcPr>
            <w:tcW w:w="0" w:type="auto"/>
            <w:tcBorders>
              <w:top w:val="nil"/>
              <w:left w:val="nil"/>
              <w:bottom w:val="single" w:sz="8" w:space="0" w:color="auto"/>
              <w:right w:val="single" w:sz="8" w:space="0" w:color="auto"/>
            </w:tcBorders>
            <w:shd w:val="clear" w:color="auto" w:fill="auto"/>
            <w:vAlign w:val="center"/>
            <w:hideMark/>
          </w:tcPr>
          <w:p w14:paraId="79C64E8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47BEB87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Packard </w:t>
            </w:r>
          </w:p>
        </w:tc>
        <w:tc>
          <w:tcPr>
            <w:tcW w:w="0" w:type="auto"/>
            <w:tcBorders>
              <w:top w:val="nil"/>
              <w:left w:val="nil"/>
              <w:bottom w:val="single" w:sz="8" w:space="0" w:color="auto"/>
              <w:right w:val="single" w:sz="8" w:space="0" w:color="auto"/>
            </w:tcBorders>
            <w:shd w:val="clear" w:color="auto" w:fill="auto"/>
            <w:vAlign w:val="center"/>
            <w:hideMark/>
          </w:tcPr>
          <w:p w14:paraId="7AB805D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5F57C6A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877C32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PA27 </w:t>
            </w:r>
          </w:p>
        </w:tc>
        <w:tc>
          <w:tcPr>
            <w:tcW w:w="0" w:type="auto"/>
            <w:tcBorders>
              <w:top w:val="nil"/>
              <w:left w:val="nil"/>
              <w:bottom w:val="single" w:sz="8" w:space="0" w:color="auto"/>
              <w:right w:val="single" w:sz="8" w:space="0" w:color="auto"/>
            </w:tcBorders>
            <w:shd w:val="clear" w:color="auto" w:fill="auto"/>
            <w:vAlign w:val="center"/>
            <w:hideMark/>
          </w:tcPr>
          <w:p w14:paraId="1586C5C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Beck (IESO) </w:t>
            </w:r>
          </w:p>
        </w:tc>
        <w:tc>
          <w:tcPr>
            <w:tcW w:w="0" w:type="auto"/>
            <w:tcBorders>
              <w:top w:val="nil"/>
              <w:left w:val="nil"/>
              <w:bottom w:val="single" w:sz="8" w:space="0" w:color="auto"/>
              <w:right w:val="single" w:sz="8" w:space="0" w:color="auto"/>
            </w:tcBorders>
            <w:shd w:val="clear" w:color="auto" w:fill="auto"/>
            <w:vAlign w:val="center"/>
            <w:hideMark/>
          </w:tcPr>
          <w:p w14:paraId="6E5E260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2CE54AE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73780B5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6FD2B5F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56C911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60</w:t>
            </w:r>
          </w:p>
        </w:tc>
        <w:tc>
          <w:tcPr>
            <w:tcW w:w="0" w:type="auto"/>
            <w:tcBorders>
              <w:top w:val="nil"/>
              <w:left w:val="nil"/>
              <w:bottom w:val="single" w:sz="8" w:space="0" w:color="auto"/>
              <w:right w:val="single" w:sz="8" w:space="0" w:color="auto"/>
            </w:tcBorders>
            <w:shd w:val="clear" w:color="auto" w:fill="auto"/>
            <w:vAlign w:val="center"/>
            <w:hideMark/>
          </w:tcPr>
          <w:p w14:paraId="71060CF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Canandaigua </w:t>
            </w:r>
          </w:p>
        </w:tc>
        <w:tc>
          <w:tcPr>
            <w:tcW w:w="0" w:type="auto"/>
            <w:tcBorders>
              <w:top w:val="nil"/>
              <w:left w:val="nil"/>
              <w:bottom w:val="single" w:sz="8" w:space="0" w:color="auto"/>
              <w:right w:val="single" w:sz="8" w:space="0" w:color="auto"/>
            </w:tcBorders>
            <w:shd w:val="clear" w:color="auto" w:fill="auto"/>
            <w:vAlign w:val="center"/>
            <w:hideMark/>
          </w:tcPr>
          <w:p w14:paraId="102B7C9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6F57EDF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Meyer </w:t>
            </w:r>
          </w:p>
        </w:tc>
        <w:tc>
          <w:tcPr>
            <w:tcW w:w="0" w:type="auto"/>
            <w:tcBorders>
              <w:top w:val="nil"/>
              <w:left w:val="nil"/>
              <w:bottom w:val="single" w:sz="8" w:space="0" w:color="auto"/>
              <w:right w:val="single" w:sz="8" w:space="0" w:color="auto"/>
            </w:tcBorders>
            <w:shd w:val="clear" w:color="auto" w:fill="auto"/>
            <w:vAlign w:val="center"/>
            <w:hideMark/>
          </w:tcPr>
          <w:p w14:paraId="1B503A2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490297C9"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19BA47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68</w:t>
            </w:r>
          </w:p>
        </w:tc>
        <w:tc>
          <w:tcPr>
            <w:tcW w:w="0" w:type="auto"/>
            <w:tcBorders>
              <w:top w:val="nil"/>
              <w:left w:val="nil"/>
              <w:bottom w:val="single" w:sz="8" w:space="0" w:color="auto"/>
              <w:right w:val="single" w:sz="8" w:space="0" w:color="auto"/>
            </w:tcBorders>
            <w:shd w:val="clear" w:color="auto" w:fill="auto"/>
            <w:vAlign w:val="center"/>
            <w:hideMark/>
          </w:tcPr>
          <w:p w14:paraId="4B022EA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Canandaigua </w:t>
            </w:r>
          </w:p>
        </w:tc>
        <w:tc>
          <w:tcPr>
            <w:tcW w:w="0" w:type="auto"/>
            <w:tcBorders>
              <w:top w:val="nil"/>
              <w:left w:val="nil"/>
              <w:bottom w:val="single" w:sz="8" w:space="0" w:color="auto"/>
              <w:right w:val="single" w:sz="8" w:space="0" w:color="auto"/>
            </w:tcBorders>
            <w:shd w:val="clear" w:color="auto" w:fill="auto"/>
            <w:vAlign w:val="center"/>
            <w:hideMark/>
          </w:tcPr>
          <w:p w14:paraId="2DC4449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5D8903B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Stoney Ridge </w:t>
            </w:r>
          </w:p>
        </w:tc>
        <w:tc>
          <w:tcPr>
            <w:tcW w:w="0" w:type="auto"/>
            <w:tcBorders>
              <w:top w:val="nil"/>
              <w:left w:val="nil"/>
              <w:bottom w:val="single" w:sz="8" w:space="0" w:color="auto"/>
              <w:right w:val="single" w:sz="8" w:space="0" w:color="auto"/>
            </w:tcBorders>
            <w:shd w:val="clear" w:color="auto" w:fill="auto"/>
            <w:vAlign w:val="center"/>
            <w:hideMark/>
          </w:tcPr>
          <w:p w14:paraId="6C6064A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01A455A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385E58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w:t>
            </w:r>
          </w:p>
        </w:tc>
        <w:tc>
          <w:tcPr>
            <w:tcW w:w="0" w:type="auto"/>
            <w:tcBorders>
              <w:top w:val="nil"/>
              <w:left w:val="nil"/>
              <w:bottom w:val="single" w:sz="8" w:space="0" w:color="auto"/>
              <w:right w:val="single" w:sz="8" w:space="0" w:color="auto"/>
            </w:tcBorders>
            <w:shd w:val="clear" w:color="auto" w:fill="auto"/>
            <w:vAlign w:val="center"/>
            <w:hideMark/>
          </w:tcPr>
          <w:p w14:paraId="42C3D21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Chases Lake </w:t>
            </w:r>
          </w:p>
        </w:tc>
        <w:tc>
          <w:tcPr>
            <w:tcW w:w="0" w:type="auto"/>
            <w:tcBorders>
              <w:top w:val="nil"/>
              <w:left w:val="nil"/>
              <w:bottom w:val="single" w:sz="8" w:space="0" w:color="auto"/>
              <w:right w:val="single" w:sz="8" w:space="0" w:color="auto"/>
            </w:tcBorders>
            <w:shd w:val="clear" w:color="auto" w:fill="auto"/>
            <w:vAlign w:val="center"/>
            <w:hideMark/>
          </w:tcPr>
          <w:p w14:paraId="6D5EEEC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6DFC2EB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Porter </w:t>
            </w:r>
          </w:p>
        </w:tc>
        <w:tc>
          <w:tcPr>
            <w:tcW w:w="0" w:type="auto"/>
            <w:tcBorders>
              <w:top w:val="nil"/>
              <w:left w:val="nil"/>
              <w:bottom w:val="single" w:sz="8" w:space="0" w:color="auto"/>
              <w:right w:val="single" w:sz="8" w:space="0" w:color="auto"/>
            </w:tcBorders>
            <w:shd w:val="clear" w:color="auto" w:fill="auto"/>
            <w:vAlign w:val="center"/>
            <w:hideMark/>
          </w:tcPr>
          <w:p w14:paraId="7E9A546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5B684C3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8777D2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DP1 </w:t>
            </w:r>
          </w:p>
        </w:tc>
        <w:tc>
          <w:tcPr>
            <w:tcW w:w="0" w:type="auto"/>
            <w:tcBorders>
              <w:top w:val="nil"/>
              <w:left w:val="nil"/>
              <w:bottom w:val="single" w:sz="8" w:space="0" w:color="auto"/>
              <w:right w:val="single" w:sz="8" w:space="0" w:color="auto"/>
            </w:tcBorders>
            <w:shd w:val="clear" w:color="auto" w:fill="auto"/>
            <w:vAlign w:val="center"/>
            <w:hideMark/>
          </w:tcPr>
          <w:p w14:paraId="3B082611"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Duley</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42A93FA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71FC4B0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Plattsburgh </w:t>
            </w:r>
          </w:p>
        </w:tc>
        <w:tc>
          <w:tcPr>
            <w:tcW w:w="0" w:type="auto"/>
            <w:tcBorders>
              <w:top w:val="nil"/>
              <w:left w:val="nil"/>
              <w:bottom w:val="single" w:sz="8" w:space="0" w:color="auto"/>
              <w:right w:val="single" w:sz="8" w:space="0" w:color="auto"/>
            </w:tcBorders>
            <w:shd w:val="clear" w:color="auto" w:fill="auto"/>
            <w:vAlign w:val="center"/>
            <w:hideMark/>
          </w:tcPr>
          <w:p w14:paraId="76D819F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2C77448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B413BE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PND-1 </w:t>
            </w:r>
          </w:p>
        </w:tc>
        <w:tc>
          <w:tcPr>
            <w:tcW w:w="0" w:type="auto"/>
            <w:tcBorders>
              <w:top w:val="nil"/>
              <w:left w:val="nil"/>
              <w:bottom w:val="single" w:sz="8" w:space="0" w:color="auto"/>
              <w:right w:val="single" w:sz="8" w:space="0" w:color="auto"/>
            </w:tcBorders>
            <w:shd w:val="clear" w:color="auto" w:fill="auto"/>
            <w:vAlign w:val="center"/>
            <w:hideMark/>
          </w:tcPr>
          <w:p w14:paraId="20A3661B"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Duley</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3790F03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4E5BBEED"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Patnode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30B8613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07F988C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68C503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68</w:t>
            </w:r>
          </w:p>
        </w:tc>
        <w:tc>
          <w:tcPr>
            <w:tcW w:w="0" w:type="auto"/>
            <w:tcBorders>
              <w:top w:val="nil"/>
              <w:left w:val="nil"/>
              <w:bottom w:val="single" w:sz="8" w:space="0" w:color="auto"/>
              <w:right w:val="single" w:sz="8" w:space="0" w:color="auto"/>
            </w:tcBorders>
            <w:shd w:val="clear" w:color="auto" w:fill="auto"/>
            <w:vAlign w:val="center"/>
            <w:hideMark/>
          </w:tcPr>
          <w:p w14:paraId="7FEF67F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Dunkirk </w:t>
            </w:r>
          </w:p>
        </w:tc>
        <w:tc>
          <w:tcPr>
            <w:tcW w:w="0" w:type="auto"/>
            <w:tcBorders>
              <w:top w:val="nil"/>
              <w:left w:val="nil"/>
              <w:bottom w:val="single" w:sz="8" w:space="0" w:color="auto"/>
              <w:right w:val="single" w:sz="8" w:space="0" w:color="auto"/>
            </w:tcBorders>
            <w:shd w:val="clear" w:color="auto" w:fill="auto"/>
            <w:vAlign w:val="center"/>
            <w:hideMark/>
          </w:tcPr>
          <w:p w14:paraId="1E752C5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103351A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 Ripley </w:t>
            </w:r>
          </w:p>
        </w:tc>
        <w:tc>
          <w:tcPr>
            <w:tcW w:w="0" w:type="auto"/>
            <w:tcBorders>
              <w:top w:val="nil"/>
              <w:left w:val="nil"/>
              <w:bottom w:val="single" w:sz="8" w:space="0" w:color="auto"/>
              <w:right w:val="single" w:sz="8" w:space="0" w:color="auto"/>
            </w:tcBorders>
            <w:shd w:val="clear" w:color="auto" w:fill="auto"/>
            <w:vAlign w:val="center"/>
            <w:hideMark/>
          </w:tcPr>
          <w:p w14:paraId="1BCFA4F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103B7F0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B001DD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73</w:t>
            </w:r>
          </w:p>
        </w:tc>
        <w:tc>
          <w:tcPr>
            <w:tcW w:w="0" w:type="auto"/>
            <w:tcBorders>
              <w:top w:val="nil"/>
              <w:left w:val="nil"/>
              <w:bottom w:val="single" w:sz="8" w:space="0" w:color="auto"/>
              <w:right w:val="single" w:sz="8" w:space="0" w:color="auto"/>
            </w:tcBorders>
            <w:shd w:val="clear" w:color="auto" w:fill="auto"/>
            <w:vAlign w:val="center"/>
            <w:hideMark/>
          </w:tcPr>
          <w:p w14:paraId="1E85B71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Dunkirk </w:t>
            </w:r>
          </w:p>
        </w:tc>
        <w:tc>
          <w:tcPr>
            <w:tcW w:w="0" w:type="auto"/>
            <w:tcBorders>
              <w:top w:val="nil"/>
              <w:left w:val="nil"/>
              <w:bottom w:val="single" w:sz="8" w:space="0" w:color="auto"/>
              <w:right w:val="single" w:sz="8" w:space="0" w:color="auto"/>
            </w:tcBorders>
            <w:shd w:val="clear" w:color="auto" w:fill="auto"/>
            <w:vAlign w:val="center"/>
            <w:hideMark/>
          </w:tcPr>
          <w:p w14:paraId="0ACED6F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3C1965C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Gardenville </w:t>
            </w:r>
          </w:p>
        </w:tc>
        <w:tc>
          <w:tcPr>
            <w:tcW w:w="0" w:type="auto"/>
            <w:tcBorders>
              <w:top w:val="nil"/>
              <w:left w:val="nil"/>
              <w:bottom w:val="single" w:sz="8" w:space="0" w:color="auto"/>
              <w:right w:val="single" w:sz="8" w:space="0" w:color="auto"/>
            </w:tcBorders>
            <w:shd w:val="clear" w:color="auto" w:fill="auto"/>
            <w:vAlign w:val="center"/>
            <w:hideMark/>
          </w:tcPr>
          <w:p w14:paraId="35621E9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449E486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58463D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74</w:t>
            </w:r>
          </w:p>
        </w:tc>
        <w:tc>
          <w:tcPr>
            <w:tcW w:w="0" w:type="auto"/>
            <w:tcBorders>
              <w:top w:val="nil"/>
              <w:left w:val="nil"/>
              <w:bottom w:val="single" w:sz="8" w:space="0" w:color="auto"/>
              <w:right w:val="single" w:sz="8" w:space="0" w:color="auto"/>
            </w:tcBorders>
            <w:shd w:val="clear" w:color="auto" w:fill="auto"/>
            <w:vAlign w:val="center"/>
            <w:hideMark/>
          </w:tcPr>
          <w:p w14:paraId="52F803F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Dunkirk </w:t>
            </w:r>
          </w:p>
        </w:tc>
        <w:tc>
          <w:tcPr>
            <w:tcW w:w="0" w:type="auto"/>
            <w:tcBorders>
              <w:top w:val="nil"/>
              <w:left w:val="nil"/>
              <w:bottom w:val="single" w:sz="8" w:space="0" w:color="auto"/>
              <w:right w:val="single" w:sz="8" w:space="0" w:color="auto"/>
            </w:tcBorders>
            <w:shd w:val="clear" w:color="auto" w:fill="auto"/>
            <w:vAlign w:val="center"/>
            <w:hideMark/>
          </w:tcPr>
          <w:p w14:paraId="0FBC8C5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4F60EA9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Gardenville </w:t>
            </w:r>
          </w:p>
        </w:tc>
        <w:tc>
          <w:tcPr>
            <w:tcW w:w="0" w:type="auto"/>
            <w:tcBorders>
              <w:top w:val="nil"/>
              <w:left w:val="nil"/>
              <w:bottom w:val="single" w:sz="8" w:space="0" w:color="auto"/>
              <w:right w:val="single" w:sz="8" w:space="0" w:color="auto"/>
            </w:tcBorders>
            <w:shd w:val="clear" w:color="auto" w:fill="auto"/>
            <w:vAlign w:val="center"/>
            <w:hideMark/>
          </w:tcPr>
          <w:p w14:paraId="5414FF9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291266A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74C7DA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70</w:t>
            </w:r>
          </w:p>
        </w:tc>
        <w:tc>
          <w:tcPr>
            <w:tcW w:w="0" w:type="auto"/>
            <w:tcBorders>
              <w:top w:val="nil"/>
              <w:left w:val="nil"/>
              <w:bottom w:val="single" w:sz="8" w:space="0" w:color="auto"/>
              <w:right w:val="single" w:sz="8" w:space="0" w:color="auto"/>
            </w:tcBorders>
            <w:shd w:val="clear" w:color="auto" w:fill="auto"/>
            <w:vAlign w:val="center"/>
            <w:hideMark/>
          </w:tcPr>
          <w:p w14:paraId="1C7C0D50"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proofErr w:type="gramStart"/>
            <w:r w:rsidRPr="00FF49F1">
              <w:rPr>
                <w:rFonts w:ascii="Calibri" w:hAnsi="Calibri" w:cs="Calibri"/>
                <w:color w:val="000000"/>
                <w:sz w:val="16"/>
                <w:szCs w:val="16"/>
                <w:lang w:bidi="ar-SA"/>
              </w:rPr>
              <w:t>E.Towanda</w:t>
            </w:r>
            <w:proofErr w:type="spellEnd"/>
            <w:proofErr w:type="gram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5E1773A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44BCB35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Hillside </w:t>
            </w:r>
          </w:p>
        </w:tc>
        <w:tc>
          <w:tcPr>
            <w:tcW w:w="0" w:type="auto"/>
            <w:tcBorders>
              <w:top w:val="nil"/>
              <w:left w:val="nil"/>
              <w:bottom w:val="single" w:sz="8" w:space="0" w:color="auto"/>
              <w:right w:val="single" w:sz="8" w:space="0" w:color="auto"/>
            </w:tcBorders>
            <w:shd w:val="clear" w:color="auto" w:fill="auto"/>
            <w:vAlign w:val="center"/>
            <w:hideMark/>
          </w:tcPr>
          <w:p w14:paraId="1639237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598DA13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1F9912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38</w:t>
            </w:r>
          </w:p>
        </w:tc>
        <w:tc>
          <w:tcPr>
            <w:tcW w:w="0" w:type="auto"/>
            <w:tcBorders>
              <w:top w:val="nil"/>
              <w:left w:val="nil"/>
              <w:bottom w:val="single" w:sz="8" w:space="0" w:color="auto"/>
              <w:right w:val="single" w:sz="8" w:space="0" w:color="auto"/>
            </w:tcBorders>
            <w:shd w:val="clear" w:color="auto" w:fill="auto"/>
            <w:vAlign w:val="center"/>
            <w:hideMark/>
          </w:tcPr>
          <w:p w14:paraId="1E434A2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Eastover Rd. </w:t>
            </w:r>
          </w:p>
        </w:tc>
        <w:tc>
          <w:tcPr>
            <w:tcW w:w="0" w:type="auto"/>
            <w:tcBorders>
              <w:top w:val="nil"/>
              <w:left w:val="nil"/>
              <w:bottom w:val="single" w:sz="8" w:space="0" w:color="auto"/>
              <w:right w:val="single" w:sz="8" w:space="0" w:color="auto"/>
            </w:tcBorders>
            <w:shd w:val="clear" w:color="auto" w:fill="auto"/>
            <w:vAlign w:val="center"/>
            <w:hideMark/>
          </w:tcPr>
          <w:p w14:paraId="167FCB9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3FB19C5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Rotterdam </w:t>
            </w:r>
          </w:p>
        </w:tc>
        <w:tc>
          <w:tcPr>
            <w:tcW w:w="0" w:type="auto"/>
            <w:tcBorders>
              <w:top w:val="nil"/>
              <w:left w:val="nil"/>
              <w:bottom w:val="single" w:sz="8" w:space="0" w:color="auto"/>
              <w:right w:val="single" w:sz="8" w:space="0" w:color="auto"/>
            </w:tcBorders>
            <w:shd w:val="clear" w:color="auto" w:fill="auto"/>
            <w:vAlign w:val="center"/>
            <w:hideMark/>
          </w:tcPr>
          <w:p w14:paraId="1BC7C2E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20A42DE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96F824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TB 1 </w:t>
            </w:r>
          </w:p>
        </w:tc>
        <w:tc>
          <w:tcPr>
            <w:tcW w:w="0" w:type="auto"/>
            <w:tcBorders>
              <w:top w:val="nil"/>
              <w:left w:val="nil"/>
              <w:bottom w:val="single" w:sz="8" w:space="0" w:color="auto"/>
              <w:right w:val="single" w:sz="8" w:space="0" w:color="auto"/>
            </w:tcBorders>
            <w:shd w:val="clear" w:color="auto" w:fill="auto"/>
            <w:vAlign w:val="center"/>
            <w:hideMark/>
          </w:tcPr>
          <w:p w14:paraId="35E5542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Eastover Rd. </w:t>
            </w:r>
          </w:p>
        </w:tc>
        <w:tc>
          <w:tcPr>
            <w:tcW w:w="0" w:type="auto"/>
            <w:tcBorders>
              <w:top w:val="nil"/>
              <w:left w:val="nil"/>
              <w:bottom w:val="single" w:sz="8" w:space="0" w:color="auto"/>
              <w:right w:val="single" w:sz="8" w:space="0" w:color="auto"/>
            </w:tcBorders>
            <w:shd w:val="clear" w:color="auto" w:fill="auto"/>
            <w:vAlign w:val="center"/>
            <w:hideMark/>
          </w:tcPr>
          <w:p w14:paraId="39D93F4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5E5D064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Eastover Rd. </w:t>
            </w:r>
          </w:p>
        </w:tc>
        <w:tc>
          <w:tcPr>
            <w:tcW w:w="0" w:type="auto"/>
            <w:tcBorders>
              <w:top w:val="nil"/>
              <w:left w:val="nil"/>
              <w:bottom w:val="single" w:sz="8" w:space="0" w:color="auto"/>
              <w:right w:val="single" w:sz="8" w:space="0" w:color="auto"/>
            </w:tcBorders>
            <w:shd w:val="clear" w:color="auto" w:fill="auto"/>
            <w:vAlign w:val="center"/>
            <w:hideMark/>
          </w:tcPr>
          <w:p w14:paraId="31C6547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00FCAA2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582DA3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TB 2 </w:t>
            </w:r>
          </w:p>
        </w:tc>
        <w:tc>
          <w:tcPr>
            <w:tcW w:w="0" w:type="auto"/>
            <w:tcBorders>
              <w:top w:val="nil"/>
              <w:left w:val="nil"/>
              <w:bottom w:val="single" w:sz="8" w:space="0" w:color="auto"/>
              <w:right w:val="single" w:sz="8" w:space="0" w:color="auto"/>
            </w:tcBorders>
            <w:shd w:val="clear" w:color="auto" w:fill="auto"/>
            <w:vAlign w:val="center"/>
            <w:hideMark/>
          </w:tcPr>
          <w:p w14:paraId="17FAC9F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Eastover Rd. </w:t>
            </w:r>
          </w:p>
        </w:tc>
        <w:tc>
          <w:tcPr>
            <w:tcW w:w="0" w:type="auto"/>
            <w:tcBorders>
              <w:top w:val="nil"/>
              <w:left w:val="nil"/>
              <w:bottom w:val="single" w:sz="8" w:space="0" w:color="auto"/>
              <w:right w:val="single" w:sz="8" w:space="0" w:color="auto"/>
            </w:tcBorders>
            <w:shd w:val="clear" w:color="auto" w:fill="auto"/>
            <w:vAlign w:val="center"/>
            <w:hideMark/>
          </w:tcPr>
          <w:p w14:paraId="0B2231D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39DDDDC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Eastover Rd. </w:t>
            </w:r>
          </w:p>
        </w:tc>
        <w:tc>
          <w:tcPr>
            <w:tcW w:w="0" w:type="auto"/>
            <w:tcBorders>
              <w:top w:val="nil"/>
              <w:left w:val="nil"/>
              <w:bottom w:val="single" w:sz="8" w:space="0" w:color="auto"/>
              <w:right w:val="single" w:sz="8" w:space="0" w:color="auto"/>
            </w:tcBorders>
            <w:shd w:val="clear" w:color="auto" w:fill="auto"/>
            <w:vAlign w:val="center"/>
            <w:hideMark/>
          </w:tcPr>
          <w:p w14:paraId="0F92777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113EFFE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8176E6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17</w:t>
            </w:r>
          </w:p>
        </w:tc>
        <w:tc>
          <w:tcPr>
            <w:tcW w:w="0" w:type="auto"/>
            <w:tcBorders>
              <w:top w:val="nil"/>
              <w:left w:val="nil"/>
              <w:bottom w:val="single" w:sz="8" w:space="0" w:color="auto"/>
              <w:right w:val="single" w:sz="8" w:space="0" w:color="auto"/>
            </w:tcBorders>
            <w:shd w:val="clear" w:color="auto" w:fill="auto"/>
            <w:vAlign w:val="center"/>
            <w:hideMark/>
          </w:tcPr>
          <w:p w14:paraId="35F465E1"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Edic</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7BF527C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0702E7B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Porter </w:t>
            </w:r>
          </w:p>
        </w:tc>
        <w:tc>
          <w:tcPr>
            <w:tcW w:w="0" w:type="auto"/>
            <w:tcBorders>
              <w:top w:val="nil"/>
              <w:left w:val="nil"/>
              <w:bottom w:val="single" w:sz="8" w:space="0" w:color="auto"/>
              <w:right w:val="single" w:sz="8" w:space="0" w:color="auto"/>
            </w:tcBorders>
            <w:shd w:val="clear" w:color="auto" w:fill="auto"/>
            <w:vAlign w:val="center"/>
            <w:hideMark/>
          </w:tcPr>
          <w:p w14:paraId="1581023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6E69847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8EC076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70</w:t>
            </w:r>
          </w:p>
        </w:tc>
        <w:tc>
          <w:tcPr>
            <w:tcW w:w="0" w:type="auto"/>
            <w:tcBorders>
              <w:top w:val="nil"/>
              <w:left w:val="nil"/>
              <w:bottom w:val="single" w:sz="8" w:space="0" w:color="auto"/>
              <w:right w:val="single" w:sz="8" w:space="0" w:color="auto"/>
            </w:tcBorders>
            <w:shd w:val="clear" w:color="auto" w:fill="auto"/>
            <w:vAlign w:val="center"/>
            <w:hideMark/>
          </w:tcPr>
          <w:p w14:paraId="51E5B78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Elm St </w:t>
            </w:r>
          </w:p>
        </w:tc>
        <w:tc>
          <w:tcPr>
            <w:tcW w:w="0" w:type="auto"/>
            <w:tcBorders>
              <w:top w:val="nil"/>
              <w:left w:val="nil"/>
              <w:bottom w:val="single" w:sz="8" w:space="0" w:color="auto"/>
              <w:right w:val="single" w:sz="8" w:space="0" w:color="auto"/>
            </w:tcBorders>
            <w:shd w:val="clear" w:color="auto" w:fill="auto"/>
            <w:vAlign w:val="center"/>
            <w:hideMark/>
          </w:tcPr>
          <w:p w14:paraId="74BE116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3AAE7D1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Huntley </w:t>
            </w:r>
          </w:p>
        </w:tc>
        <w:tc>
          <w:tcPr>
            <w:tcW w:w="0" w:type="auto"/>
            <w:tcBorders>
              <w:top w:val="nil"/>
              <w:left w:val="nil"/>
              <w:bottom w:val="single" w:sz="8" w:space="0" w:color="auto"/>
              <w:right w:val="single" w:sz="8" w:space="0" w:color="auto"/>
            </w:tcBorders>
            <w:shd w:val="clear" w:color="auto" w:fill="auto"/>
            <w:vAlign w:val="center"/>
            <w:hideMark/>
          </w:tcPr>
          <w:p w14:paraId="5301280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6A42B4E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10C711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lastRenderedPageBreak/>
              <w:t>71</w:t>
            </w:r>
          </w:p>
        </w:tc>
        <w:tc>
          <w:tcPr>
            <w:tcW w:w="0" w:type="auto"/>
            <w:tcBorders>
              <w:top w:val="nil"/>
              <w:left w:val="nil"/>
              <w:bottom w:val="single" w:sz="8" w:space="0" w:color="auto"/>
              <w:right w:val="single" w:sz="8" w:space="0" w:color="auto"/>
            </w:tcBorders>
            <w:shd w:val="clear" w:color="auto" w:fill="auto"/>
            <w:vAlign w:val="center"/>
            <w:hideMark/>
          </w:tcPr>
          <w:p w14:paraId="355C97A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Elm St </w:t>
            </w:r>
          </w:p>
        </w:tc>
        <w:tc>
          <w:tcPr>
            <w:tcW w:w="0" w:type="auto"/>
            <w:tcBorders>
              <w:top w:val="nil"/>
              <w:left w:val="nil"/>
              <w:bottom w:val="single" w:sz="8" w:space="0" w:color="auto"/>
              <w:right w:val="single" w:sz="8" w:space="0" w:color="auto"/>
            </w:tcBorders>
            <w:shd w:val="clear" w:color="auto" w:fill="auto"/>
            <w:vAlign w:val="center"/>
            <w:hideMark/>
          </w:tcPr>
          <w:p w14:paraId="3C323F3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6EAF727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Gardenville </w:t>
            </w:r>
          </w:p>
        </w:tc>
        <w:tc>
          <w:tcPr>
            <w:tcW w:w="0" w:type="auto"/>
            <w:tcBorders>
              <w:top w:val="nil"/>
              <w:left w:val="nil"/>
              <w:bottom w:val="single" w:sz="8" w:space="0" w:color="auto"/>
              <w:right w:val="single" w:sz="8" w:space="0" w:color="auto"/>
            </w:tcBorders>
            <w:shd w:val="clear" w:color="auto" w:fill="auto"/>
            <w:vAlign w:val="center"/>
            <w:hideMark/>
          </w:tcPr>
          <w:p w14:paraId="5BC6875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69127AC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C22C06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72</w:t>
            </w:r>
          </w:p>
        </w:tc>
        <w:tc>
          <w:tcPr>
            <w:tcW w:w="0" w:type="auto"/>
            <w:tcBorders>
              <w:top w:val="nil"/>
              <w:left w:val="nil"/>
              <w:bottom w:val="single" w:sz="8" w:space="0" w:color="auto"/>
              <w:right w:val="single" w:sz="8" w:space="0" w:color="auto"/>
            </w:tcBorders>
            <w:shd w:val="clear" w:color="auto" w:fill="auto"/>
            <w:vAlign w:val="center"/>
            <w:hideMark/>
          </w:tcPr>
          <w:p w14:paraId="7C3C425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Elm St </w:t>
            </w:r>
          </w:p>
        </w:tc>
        <w:tc>
          <w:tcPr>
            <w:tcW w:w="0" w:type="auto"/>
            <w:tcBorders>
              <w:top w:val="nil"/>
              <w:left w:val="nil"/>
              <w:bottom w:val="single" w:sz="8" w:space="0" w:color="auto"/>
              <w:right w:val="single" w:sz="8" w:space="0" w:color="auto"/>
            </w:tcBorders>
            <w:shd w:val="clear" w:color="auto" w:fill="auto"/>
            <w:vAlign w:val="center"/>
            <w:hideMark/>
          </w:tcPr>
          <w:p w14:paraId="2ECA581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23A2BC6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Gardenville </w:t>
            </w:r>
          </w:p>
        </w:tc>
        <w:tc>
          <w:tcPr>
            <w:tcW w:w="0" w:type="auto"/>
            <w:tcBorders>
              <w:top w:val="nil"/>
              <w:left w:val="nil"/>
              <w:bottom w:val="single" w:sz="8" w:space="0" w:color="auto"/>
              <w:right w:val="single" w:sz="8" w:space="0" w:color="auto"/>
            </w:tcBorders>
            <w:shd w:val="clear" w:color="auto" w:fill="auto"/>
            <w:vAlign w:val="center"/>
            <w:hideMark/>
          </w:tcPr>
          <w:p w14:paraId="3521B46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2A13AB9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4FC25D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69</w:t>
            </w:r>
          </w:p>
        </w:tc>
        <w:tc>
          <w:tcPr>
            <w:tcW w:w="0" w:type="auto"/>
            <w:tcBorders>
              <w:top w:val="nil"/>
              <w:left w:val="nil"/>
              <w:bottom w:val="single" w:sz="8" w:space="0" w:color="auto"/>
              <w:right w:val="single" w:sz="8" w:space="0" w:color="auto"/>
            </w:tcBorders>
            <w:shd w:val="clear" w:color="auto" w:fill="auto"/>
            <w:vAlign w:val="center"/>
            <w:hideMark/>
          </w:tcPr>
          <w:p w14:paraId="5843856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Erie East (PJM) </w:t>
            </w:r>
          </w:p>
        </w:tc>
        <w:tc>
          <w:tcPr>
            <w:tcW w:w="0" w:type="auto"/>
            <w:tcBorders>
              <w:top w:val="nil"/>
              <w:left w:val="nil"/>
              <w:bottom w:val="single" w:sz="8" w:space="0" w:color="auto"/>
              <w:right w:val="single" w:sz="8" w:space="0" w:color="auto"/>
            </w:tcBorders>
            <w:shd w:val="clear" w:color="auto" w:fill="auto"/>
            <w:vAlign w:val="center"/>
            <w:hideMark/>
          </w:tcPr>
          <w:p w14:paraId="3161053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721248E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 Ripley </w:t>
            </w:r>
          </w:p>
        </w:tc>
        <w:tc>
          <w:tcPr>
            <w:tcW w:w="0" w:type="auto"/>
            <w:tcBorders>
              <w:top w:val="nil"/>
              <w:left w:val="nil"/>
              <w:bottom w:val="single" w:sz="8" w:space="0" w:color="auto"/>
              <w:right w:val="single" w:sz="8" w:space="0" w:color="auto"/>
            </w:tcBorders>
            <w:shd w:val="clear" w:color="auto" w:fill="auto"/>
            <w:vAlign w:val="center"/>
            <w:hideMark/>
          </w:tcPr>
          <w:p w14:paraId="4282AC2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27F8295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FAA7BA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66</w:t>
            </w:r>
          </w:p>
        </w:tc>
        <w:tc>
          <w:tcPr>
            <w:tcW w:w="0" w:type="auto"/>
            <w:tcBorders>
              <w:top w:val="nil"/>
              <w:left w:val="nil"/>
              <w:bottom w:val="single" w:sz="8" w:space="0" w:color="auto"/>
              <w:right w:val="single" w:sz="8" w:space="0" w:color="auto"/>
            </w:tcBorders>
            <w:shd w:val="clear" w:color="auto" w:fill="auto"/>
            <w:vAlign w:val="center"/>
            <w:hideMark/>
          </w:tcPr>
          <w:p w14:paraId="5A56673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Gardenville </w:t>
            </w:r>
          </w:p>
        </w:tc>
        <w:tc>
          <w:tcPr>
            <w:tcW w:w="0" w:type="auto"/>
            <w:tcBorders>
              <w:top w:val="nil"/>
              <w:left w:val="nil"/>
              <w:bottom w:val="single" w:sz="8" w:space="0" w:color="auto"/>
              <w:right w:val="single" w:sz="8" w:space="0" w:color="auto"/>
            </w:tcBorders>
            <w:shd w:val="clear" w:color="auto" w:fill="auto"/>
            <w:vAlign w:val="center"/>
            <w:hideMark/>
          </w:tcPr>
          <w:p w14:paraId="3FC1C57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07C1AAC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Stolle Rd </w:t>
            </w:r>
          </w:p>
        </w:tc>
        <w:tc>
          <w:tcPr>
            <w:tcW w:w="0" w:type="auto"/>
            <w:tcBorders>
              <w:top w:val="nil"/>
              <w:left w:val="nil"/>
              <w:bottom w:val="single" w:sz="8" w:space="0" w:color="auto"/>
              <w:right w:val="single" w:sz="8" w:space="0" w:color="auto"/>
            </w:tcBorders>
            <w:shd w:val="clear" w:color="auto" w:fill="auto"/>
            <w:vAlign w:val="center"/>
            <w:hideMark/>
          </w:tcPr>
          <w:p w14:paraId="2BC10C0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58EFD00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655ACB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79</w:t>
            </w:r>
          </w:p>
        </w:tc>
        <w:tc>
          <w:tcPr>
            <w:tcW w:w="0" w:type="auto"/>
            <w:tcBorders>
              <w:top w:val="nil"/>
              <w:left w:val="nil"/>
              <w:bottom w:val="single" w:sz="8" w:space="0" w:color="auto"/>
              <w:right w:val="single" w:sz="8" w:space="0" w:color="auto"/>
            </w:tcBorders>
            <w:shd w:val="clear" w:color="auto" w:fill="auto"/>
            <w:vAlign w:val="center"/>
            <w:hideMark/>
          </w:tcPr>
          <w:p w14:paraId="4FCED8D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Gardenville </w:t>
            </w:r>
          </w:p>
        </w:tc>
        <w:tc>
          <w:tcPr>
            <w:tcW w:w="0" w:type="auto"/>
            <w:tcBorders>
              <w:top w:val="nil"/>
              <w:left w:val="nil"/>
              <w:bottom w:val="single" w:sz="8" w:space="0" w:color="auto"/>
              <w:right w:val="single" w:sz="8" w:space="0" w:color="auto"/>
            </w:tcBorders>
            <w:shd w:val="clear" w:color="auto" w:fill="auto"/>
            <w:vAlign w:val="center"/>
            <w:hideMark/>
          </w:tcPr>
          <w:p w14:paraId="4D61A88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368AA5D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Huntley </w:t>
            </w:r>
          </w:p>
        </w:tc>
        <w:tc>
          <w:tcPr>
            <w:tcW w:w="0" w:type="auto"/>
            <w:tcBorders>
              <w:top w:val="nil"/>
              <w:left w:val="nil"/>
              <w:bottom w:val="single" w:sz="8" w:space="0" w:color="auto"/>
              <w:right w:val="single" w:sz="8" w:space="0" w:color="auto"/>
            </w:tcBorders>
            <w:shd w:val="clear" w:color="auto" w:fill="auto"/>
            <w:vAlign w:val="center"/>
            <w:hideMark/>
          </w:tcPr>
          <w:p w14:paraId="0008494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40A45B6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30D89D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80</w:t>
            </w:r>
          </w:p>
        </w:tc>
        <w:tc>
          <w:tcPr>
            <w:tcW w:w="0" w:type="auto"/>
            <w:tcBorders>
              <w:top w:val="nil"/>
              <w:left w:val="nil"/>
              <w:bottom w:val="single" w:sz="8" w:space="0" w:color="auto"/>
              <w:right w:val="single" w:sz="8" w:space="0" w:color="auto"/>
            </w:tcBorders>
            <w:shd w:val="clear" w:color="auto" w:fill="auto"/>
            <w:vAlign w:val="center"/>
            <w:hideMark/>
          </w:tcPr>
          <w:p w14:paraId="396D118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Gardenville </w:t>
            </w:r>
          </w:p>
        </w:tc>
        <w:tc>
          <w:tcPr>
            <w:tcW w:w="0" w:type="auto"/>
            <w:tcBorders>
              <w:top w:val="nil"/>
              <w:left w:val="nil"/>
              <w:bottom w:val="single" w:sz="8" w:space="0" w:color="auto"/>
              <w:right w:val="single" w:sz="8" w:space="0" w:color="auto"/>
            </w:tcBorders>
            <w:shd w:val="clear" w:color="auto" w:fill="auto"/>
            <w:vAlign w:val="center"/>
            <w:hideMark/>
          </w:tcPr>
          <w:p w14:paraId="2845885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0E8D23F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Huntley </w:t>
            </w:r>
          </w:p>
        </w:tc>
        <w:tc>
          <w:tcPr>
            <w:tcW w:w="0" w:type="auto"/>
            <w:tcBorders>
              <w:top w:val="nil"/>
              <w:left w:val="nil"/>
              <w:bottom w:val="single" w:sz="8" w:space="0" w:color="auto"/>
              <w:right w:val="single" w:sz="8" w:space="0" w:color="auto"/>
            </w:tcBorders>
            <w:shd w:val="clear" w:color="auto" w:fill="auto"/>
            <w:vAlign w:val="center"/>
            <w:hideMark/>
          </w:tcPr>
          <w:p w14:paraId="57AA705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0896EB0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C532ED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1E38152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Gardenville </w:t>
            </w:r>
          </w:p>
        </w:tc>
        <w:tc>
          <w:tcPr>
            <w:tcW w:w="0" w:type="auto"/>
            <w:tcBorders>
              <w:top w:val="nil"/>
              <w:left w:val="nil"/>
              <w:bottom w:val="single" w:sz="8" w:space="0" w:color="auto"/>
              <w:right w:val="single" w:sz="8" w:space="0" w:color="auto"/>
            </w:tcBorders>
            <w:shd w:val="clear" w:color="auto" w:fill="auto"/>
            <w:vAlign w:val="center"/>
            <w:hideMark/>
          </w:tcPr>
          <w:p w14:paraId="6890D53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175124A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Gardenville </w:t>
            </w:r>
          </w:p>
        </w:tc>
        <w:tc>
          <w:tcPr>
            <w:tcW w:w="0" w:type="auto"/>
            <w:tcBorders>
              <w:top w:val="nil"/>
              <w:left w:val="nil"/>
              <w:bottom w:val="single" w:sz="8" w:space="0" w:color="auto"/>
              <w:right w:val="single" w:sz="8" w:space="0" w:color="auto"/>
            </w:tcBorders>
            <w:shd w:val="clear" w:color="auto" w:fill="auto"/>
            <w:vAlign w:val="center"/>
            <w:hideMark/>
          </w:tcPr>
          <w:p w14:paraId="1EF7196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24B5FEA9"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0C408A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3 </w:t>
            </w:r>
          </w:p>
        </w:tc>
        <w:tc>
          <w:tcPr>
            <w:tcW w:w="0" w:type="auto"/>
            <w:tcBorders>
              <w:top w:val="nil"/>
              <w:left w:val="nil"/>
              <w:bottom w:val="single" w:sz="8" w:space="0" w:color="auto"/>
              <w:right w:val="single" w:sz="8" w:space="0" w:color="auto"/>
            </w:tcBorders>
            <w:shd w:val="clear" w:color="auto" w:fill="auto"/>
            <w:vAlign w:val="center"/>
            <w:hideMark/>
          </w:tcPr>
          <w:p w14:paraId="1B8C814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Gardenville </w:t>
            </w:r>
          </w:p>
        </w:tc>
        <w:tc>
          <w:tcPr>
            <w:tcW w:w="0" w:type="auto"/>
            <w:tcBorders>
              <w:top w:val="nil"/>
              <w:left w:val="nil"/>
              <w:bottom w:val="single" w:sz="8" w:space="0" w:color="auto"/>
              <w:right w:val="single" w:sz="8" w:space="0" w:color="auto"/>
            </w:tcBorders>
            <w:shd w:val="clear" w:color="auto" w:fill="auto"/>
            <w:vAlign w:val="center"/>
            <w:hideMark/>
          </w:tcPr>
          <w:p w14:paraId="78474FE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62D096E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Gardenville </w:t>
            </w:r>
          </w:p>
        </w:tc>
        <w:tc>
          <w:tcPr>
            <w:tcW w:w="0" w:type="auto"/>
            <w:tcBorders>
              <w:top w:val="nil"/>
              <w:left w:val="nil"/>
              <w:bottom w:val="single" w:sz="8" w:space="0" w:color="auto"/>
              <w:right w:val="single" w:sz="8" w:space="0" w:color="auto"/>
            </w:tcBorders>
            <w:shd w:val="clear" w:color="auto" w:fill="auto"/>
            <w:vAlign w:val="center"/>
            <w:hideMark/>
          </w:tcPr>
          <w:p w14:paraId="773AC57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54A9C96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4F7554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4 </w:t>
            </w:r>
          </w:p>
        </w:tc>
        <w:tc>
          <w:tcPr>
            <w:tcW w:w="0" w:type="auto"/>
            <w:tcBorders>
              <w:top w:val="nil"/>
              <w:left w:val="nil"/>
              <w:bottom w:val="single" w:sz="8" w:space="0" w:color="auto"/>
              <w:right w:val="single" w:sz="8" w:space="0" w:color="auto"/>
            </w:tcBorders>
            <w:shd w:val="clear" w:color="auto" w:fill="auto"/>
            <w:vAlign w:val="center"/>
            <w:hideMark/>
          </w:tcPr>
          <w:p w14:paraId="4F8ECA3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Gardenville </w:t>
            </w:r>
          </w:p>
        </w:tc>
        <w:tc>
          <w:tcPr>
            <w:tcW w:w="0" w:type="auto"/>
            <w:tcBorders>
              <w:top w:val="nil"/>
              <w:left w:val="nil"/>
              <w:bottom w:val="single" w:sz="8" w:space="0" w:color="auto"/>
              <w:right w:val="single" w:sz="8" w:space="0" w:color="auto"/>
            </w:tcBorders>
            <w:shd w:val="clear" w:color="auto" w:fill="auto"/>
            <w:vAlign w:val="center"/>
            <w:hideMark/>
          </w:tcPr>
          <w:p w14:paraId="33EFDED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1445CA6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Gardenville </w:t>
            </w:r>
          </w:p>
        </w:tc>
        <w:tc>
          <w:tcPr>
            <w:tcW w:w="0" w:type="auto"/>
            <w:tcBorders>
              <w:top w:val="nil"/>
              <w:left w:val="nil"/>
              <w:bottom w:val="single" w:sz="8" w:space="0" w:color="auto"/>
              <w:right w:val="single" w:sz="8" w:space="0" w:color="auto"/>
            </w:tcBorders>
            <w:shd w:val="clear" w:color="auto" w:fill="auto"/>
            <w:vAlign w:val="center"/>
            <w:hideMark/>
          </w:tcPr>
          <w:p w14:paraId="5472D6D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02D4B91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09F7A1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6 </w:t>
            </w:r>
          </w:p>
        </w:tc>
        <w:tc>
          <w:tcPr>
            <w:tcW w:w="0" w:type="auto"/>
            <w:tcBorders>
              <w:top w:val="nil"/>
              <w:left w:val="nil"/>
              <w:bottom w:val="single" w:sz="8" w:space="0" w:color="auto"/>
              <w:right w:val="single" w:sz="8" w:space="0" w:color="auto"/>
            </w:tcBorders>
            <w:shd w:val="clear" w:color="auto" w:fill="auto"/>
            <w:vAlign w:val="center"/>
            <w:hideMark/>
          </w:tcPr>
          <w:p w14:paraId="511A79E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Gardenville </w:t>
            </w:r>
          </w:p>
        </w:tc>
        <w:tc>
          <w:tcPr>
            <w:tcW w:w="0" w:type="auto"/>
            <w:tcBorders>
              <w:top w:val="nil"/>
              <w:left w:val="nil"/>
              <w:bottom w:val="single" w:sz="8" w:space="0" w:color="auto"/>
              <w:right w:val="single" w:sz="8" w:space="0" w:color="auto"/>
            </w:tcBorders>
            <w:shd w:val="clear" w:color="auto" w:fill="auto"/>
            <w:vAlign w:val="center"/>
            <w:hideMark/>
          </w:tcPr>
          <w:p w14:paraId="7FC34E5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02A114A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Gardenville </w:t>
            </w:r>
          </w:p>
        </w:tc>
        <w:tc>
          <w:tcPr>
            <w:tcW w:w="0" w:type="auto"/>
            <w:tcBorders>
              <w:top w:val="nil"/>
              <w:left w:val="nil"/>
              <w:bottom w:val="single" w:sz="8" w:space="0" w:color="auto"/>
              <w:right w:val="single" w:sz="8" w:space="0" w:color="auto"/>
            </w:tcBorders>
            <w:shd w:val="clear" w:color="auto" w:fill="auto"/>
            <w:vAlign w:val="center"/>
            <w:hideMark/>
          </w:tcPr>
          <w:p w14:paraId="78A23B9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115/34.5 </w:t>
            </w:r>
          </w:p>
        </w:tc>
      </w:tr>
      <w:tr w:rsidR="00FF49F1" w:rsidRPr="00FF49F1" w14:paraId="39EA0F5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5CCAE5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7 </w:t>
            </w:r>
          </w:p>
        </w:tc>
        <w:tc>
          <w:tcPr>
            <w:tcW w:w="0" w:type="auto"/>
            <w:tcBorders>
              <w:top w:val="nil"/>
              <w:left w:val="nil"/>
              <w:bottom w:val="single" w:sz="8" w:space="0" w:color="auto"/>
              <w:right w:val="single" w:sz="8" w:space="0" w:color="auto"/>
            </w:tcBorders>
            <w:shd w:val="clear" w:color="auto" w:fill="auto"/>
            <w:vAlign w:val="center"/>
            <w:hideMark/>
          </w:tcPr>
          <w:p w14:paraId="084958C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Gardenville </w:t>
            </w:r>
          </w:p>
        </w:tc>
        <w:tc>
          <w:tcPr>
            <w:tcW w:w="0" w:type="auto"/>
            <w:tcBorders>
              <w:top w:val="nil"/>
              <w:left w:val="nil"/>
              <w:bottom w:val="single" w:sz="8" w:space="0" w:color="auto"/>
              <w:right w:val="single" w:sz="8" w:space="0" w:color="auto"/>
            </w:tcBorders>
            <w:shd w:val="clear" w:color="auto" w:fill="auto"/>
            <w:vAlign w:val="center"/>
            <w:hideMark/>
          </w:tcPr>
          <w:p w14:paraId="00DF05D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06EEAF4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Gardenville </w:t>
            </w:r>
          </w:p>
        </w:tc>
        <w:tc>
          <w:tcPr>
            <w:tcW w:w="0" w:type="auto"/>
            <w:tcBorders>
              <w:top w:val="nil"/>
              <w:left w:val="nil"/>
              <w:bottom w:val="single" w:sz="8" w:space="0" w:color="auto"/>
              <w:right w:val="single" w:sz="8" w:space="0" w:color="auto"/>
            </w:tcBorders>
            <w:shd w:val="clear" w:color="auto" w:fill="auto"/>
            <w:vAlign w:val="center"/>
            <w:hideMark/>
          </w:tcPr>
          <w:p w14:paraId="0DC7829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115/34.5 </w:t>
            </w:r>
          </w:p>
        </w:tc>
      </w:tr>
      <w:tr w:rsidR="00FF49F1" w:rsidRPr="00FF49F1" w14:paraId="6E29BCC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35A95E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T8-12 </w:t>
            </w:r>
          </w:p>
        </w:tc>
        <w:tc>
          <w:tcPr>
            <w:tcW w:w="0" w:type="auto"/>
            <w:tcBorders>
              <w:top w:val="nil"/>
              <w:left w:val="nil"/>
              <w:bottom w:val="single" w:sz="8" w:space="0" w:color="auto"/>
              <w:right w:val="single" w:sz="8" w:space="0" w:color="auto"/>
            </w:tcBorders>
            <w:shd w:val="clear" w:color="auto" w:fill="auto"/>
            <w:vAlign w:val="center"/>
            <w:hideMark/>
          </w:tcPr>
          <w:p w14:paraId="2536215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Gardenville (</w:t>
            </w:r>
            <w:proofErr w:type="spellStart"/>
            <w:r w:rsidRPr="00FF49F1">
              <w:rPr>
                <w:rFonts w:ascii="Calibri" w:hAnsi="Calibri" w:cs="Calibri"/>
                <w:color w:val="000000"/>
                <w:sz w:val="16"/>
                <w:szCs w:val="16"/>
                <w:lang w:bidi="ar-SA"/>
              </w:rPr>
              <w:t>NGrid</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28AA506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28DAC5E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Gardenville (NYSEG) </w:t>
            </w:r>
          </w:p>
        </w:tc>
        <w:tc>
          <w:tcPr>
            <w:tcW w:w="0" w:type="auto"/>
            <w:tcBorders>
              <w:top w:val="nil"/>
              <w:left w:val="nil"/>
              <w:bottom w:val="single" w:sz="8" w:space="0" w:color="auto"/>
              <w:right w:val="single" w:sz="8" w:space="0" w:color="auto"/>
            </w:tcBorders>
            <w:shd w:val="clear" w:color="auto" w:fill="auto"/>
            <w:vAlign w:val="center"/>
            <w:hideMark/>
          </w:tcPr>
          <w:p w14:paraId="6BE5E90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1EE347C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23B4B3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A2253 </w:t>
            </w:r>
          </w:p>
        </w:tc>
        <w:tc>
          <w:tcPr>
            <w:tcW w:w="0" w:type="auto"/>
            <w:tcBorders>
              <w:top w:val="nil"/>
              <w:left w:val="nil"/>
              <w:bottom w:val="single" w:sz="8" w:space="0" w:color="auto"/>
              <w:right w:val="single" w:sz="8" w:space="0" w:color="auto"/>
            </w:tcBorders>
            <w:shd w:val="clear" w:color="auto" w:fill="auto"/>
            <w:vAlign w:val="center"/>
            <w:hideMark/>
          </w:tcPr>
          <w:p w14:paraId="47C0AC9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Goethals </w:t>
            </w:r>
          </w:p>
        </w:tc>
        <w:tc>
          <w:tcPr>
            <w:tcW w:w="0" w:type="auto"/>
            <w:tcBorders>
              <w:top w:val="nil"/>
              <w:left w:val="nil"/>
              <w:bottom w:val="single" w:sz="8" w:space="0" w:color="auto"/>
              <w:right w:val="single" w:sz="8" w:space="0" w:color="auto"/>
            </w:tcBorders>
            <w:shd w:val="clear" w:color="auto" w:fill="auto"/>
            <w:vAlign w:val="center"/>
            <w:hideMark/>
          </w:tcPr>
          <w:p w14:paraId="45A9ADC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197CFA2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Linden (PJM) </w:t>
            </w:r>
          </w:p>
        </w:tc>
        <w:tc>
          <w:tcPr>
            <w:tcW w:w="0" w:type="auto"/>
            <w:tcBorders>
              <w:top w:val="nil"/>
              <w:left w:val="nil"/>
              <w:bottom w:val="single" w:sz="8" w:space="0" w:color="auto"/>
              <w:right w:val="single" w:sz="8" w:space="0" w:color="auto"/>
            </w:tcBorders>
            <w:shd w:val="clear" w:color="auto" w:fill="auto"/>
            <w:vAlign w:val="center"/>
            <w:hideMark/>
          </w:tcPr>
          <w:p w14:paraId="6A96310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13534F0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045C1F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67</w:t>
            </w:r>
          </w:p>
        </w:tc>
        <w:tc>
          <w:tcPr>
            <w:tcW w:w="0" w:type="auto"/>
            <w:tcBorders>
              <w:top w:val="nil"/>
              <w:left w:val="nil"/>
              <w:bottom w:val="single" w:sz="8" w:space="0" w:color="auto"/>
              <w:right w:val="single" w:sz="8" w:space="0" w:color="auto"/>
            </w:tcBorders>
            <w:shd w:val="clear" w:color="auto" w:fill="auto"/>
            <w:vAlign w:val="center"/>
            <w:hideMark/>
          </w:tcPr>
          <w:p w14:paraId="5F2FC3D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High Sheldon </w:t>
            </w:r>
          </w:p>
        </w:tc>
        <w:tc>
          <w:tcPr>
            <w:tcW w:w="0" w:type="auto"/>
            <w:tcBorders>
              <w:top w:val="nil"/>
              <w:left w:val="nil"/>
              <w:bottom w:val="single" w:sz="8" w:space="0" w:color="auto"/>
              <w:right w:val="single" w:sz="8" w:space="0" w:color="auto"/>
            </w:tcBorders>
            <w:shd w:val="clear" w:color="auto" w:fill="auto"/>
            <w:vAlign w:val="center"/>
            <w:hideMark/>
          </w:tcPr>
          <w:p w14:paraId="4678695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146E19D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Stolle Rd </w:t>
            </w:r>
          </w:p>
        </w:tc>
        <w:tc>
          <w:tcPr>
            <w:tcW w:w="0" w:type="auto"/>
            <w:tcBorders>
              <w:top w:val="nil"/>
              <w:left w:val="nil"/>
              <w:bottom w:val="single" w:sz="8" w:space="0" w:color="auto"/>
              <w:right w:val="single" w:sz="8" w:space="0" w:color="auto"/>
            </w:tcBorders>
            <w:shd w:val="clear" w:color="auto" w:fill="auto"/>
            <w:vAlign w:val="center"/>
            <w:hideMark/>
          </w:tcPr>
          <w:p w14:paraId="5EE1B11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737CD56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E0B24D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81</w:t>
            </w:r>
          </w:p>
        </w:tc>
        <w:tc>
          <w:tcPr>
            <w:tcW w:w="0" w:type="auto"/>
            <w:tcBorders>
              <w:top w:val="nil"/>
              <w:left w:val="nil"/>
              <w:bottom w:val="single" w:sz="8" w:space="0" w:color="auto"/>
              <w:right w:val="single" w:sz="8" w:space="0" w:color="auto"/>
            </w:tcBorders>
            <w:shd w:val="clear" w:color="auto" w:fill="auto"/>
            <w:vAlign w:val="center"/>
            <w:hideMark/>
          </w:tcPr>
          <w:p w14:paraId="0C923F6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High Sheldon </w:t>
            </w:r>
          </w:p>
        </w:tc>
        <w:tc>
          <w:tcPr>
            <w:tcW w:w="0" w:type="auto"/>
            <w:tcBorders>
              <w:top w:val="nil"/>
              <w:left w:val="nil"/>
              <w:bottom w:val="single" w:sz="8" w:space="0" w:color="auto"/>
              <w:right w:val="single" w:sz="8" w:space="0" w:color="auto"/>
            </w:tcBorders>
            <w:shd w:val="clear" w:color="auto" w:fill="auto"/>
            <w:vAlign w:val="center"/>
            <w:hideMark/>
          </w:tcPr>
          <w:p w14:paraId="619620E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57797F1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Stoney Creek </w:t>
            </w:r>
          </w:p>
        </w:tc>
        <w:tc>
          <w:tcPr>
            <w:tcW w:w="0" w:type="auto"/>
            <w:tcBorders>
              <w:top w:val="nil"/>
              <w:left w:val="nil"/>
              <w:bottom w:val="single" w:sz="8" w:space="0" w:color="auto"/>
              <w:right w:val="single" w:sz="8" w:space="0" w:color="auto"/>
            </w:tcBorders>
            <w:shd w:val="clear" w:color="auto" w:fill="auto"/>
            <w:vAlign w:val="center"/>
            <w:hideMark/>
          </w:tcPr>
          <w:p w14:paraId="6B0D2CC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22E2FF2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7144A0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69</w:t>
            </w:r>
          </w:p>
        </w:tc>
        <w:tc>
          <w:tcPr>
            <w:tcW w:w="0" w:type="auto"/>
            <w:tcBorders>
              <w:top w:val="nil"/>
              <w:left w:val="nil"/>
              <w:bottom w:val="single" w:sz="8" w:space="0" w:color="auto"/>
              <w:right w:val="single" w:sz="8" w:space="0" w:color="auto"/>
            </w:tcBorders>
            <w:shd w:val="clear" w:color="auto" w:fill="auto"/>
            <w:vAlign w:val="center"/>
            <w:hideMark/>
          </w:tcPr>
          <w:p w14:paraId="0067E40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Hillside </w:t>
            </w:r>
          </w:p>
        </w:tc>
        <w:tc>
          <w:tcPr>
            <w:tcW w:w="0" w:type="auto"/>
            <w:tcBorders>
              <w:top w:val="nil"/>
              <w:left w:val="nil"/>
              <w:bottom w:val="single" w:sz="8" w:space="0" w:color="auto"/>
              <w:right w:val="single" w:sz="8" w:space="0" w:color="auto"/>
            </w:tcBorders>
            <w:shd w:val="clear" w:color="auto" w:fill="auto"/>
            <w:vAlign w:val="center"/>
            <w:hideMark/>
          </w:tcPr>
          <w:p w14:paraId="2CA2B37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78CB7914"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Watercure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30F0D9D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19B4C7C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9643FE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72</w:t>
            </w:r>
          </w:p>
        </w:tc>
        <w:tc>
          <w:tcPr>
            <w:tcW w:w="0" w:type="auto"/>
            <w:tcBorders>
              <w:top w:val="nil"/>
              <w:left w:val="nil"/>
              <w:bottom w:val="single" w:sz="8" w:space="0" w:color="auto"/>
              <w:right w:val="single" w:sz="8" w:space="0" w:color="auto"/>
            </w:tcBorders>
            <w:shd w:val="clear" w:color="auto" w:fill="auto"/>
            <w:vAlign w:val="center"/>
            <w:hideMark/>
          </w:tcPr>
          <w:p w14:paraId="15F489F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Hillside </w:t>
            </w:r>
          </w:p>
        </w:tc>
        <w:tc>
          <w:tcPr>
            <w:tcW w:w="0" w:type="auto"/>
            <w:tcBorders>
              <w:top w:val="nil"/>
              <w:left w:val="nil"/>
              <w:bottom w:val="single" w:sz="8" w:space="0" w:color="auto"/>
              <w:right w:val="single" w:sz="8" w:space="0" w:color="auto"/>
            </w:tcBorders>
            <w:shd w:val="clear" w:color="auto" w:fill="auto"/>
            <w:vAlign w:val="center"/>
            <w:hideMark/>
          </w:tcPr>
          <w:p w14:paraId="615D84B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5BBA802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Stoney Ridge </w:t>
            </w:r>
          </w:p>
        </w:tc>
        <w:tc>
          <w:tcPr>
            <w:tcW w:w="0" w:type="auto"/>
            <w:tcBorders>
              <w:top w:val="nil"/>
              <w:left w:val="nil"/>
              <w:bottom w:val="single" w:sz="8" w:space="0" w:color="auto"/>
              <w:right w:val="single" w:sz="8" w:space="0" w:color="auto"/>
            </w:tcBorders>
            <w:shd w:val="clear" w:color="auto" w:fill="auto"/>
            <w:vAlign w:val="center"/>
            <w:hideMark/>
          </w:tcPr>
          <w:p w14:paraId="1CD45B0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7D6B80C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75FF10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3 </w:t>
            </w:r>
          </w:p>
        </w:tc>
        <w:tc>
          <w:tcPr>
            <w:tcW w:w="0" w:type="auto"/>
            <w:tcBorders>
              <w:top w:val="nil"/>
              <w:left w:val="nil"/>
              <w:bottom w:val="single" w:sz="8" w:space="0" w:color="auto"/>
              <w:right w:val="single" w:sz="8" w:space="0" w:color="auto"/>
            </w:tcBorders>
            <w:shd w:val="clear" w:color="auto" w:fill="auto"/>
            <w:vAlign w:val="center"/>
            <w:hideMark/>
          </w:tcPr>
          <w:p w14:paraId="46AEA96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Hillside </w:t>
            </w:r>
          </w:p>
        </w:tc>
        <w:tc>
          <w:tcPr>
            <w:tcW w:w="0" w:type="auto"/>
            <w:tcBorders>
              <w:top w:val="nil"/>
              <w:left w:val="nil"/>
              <w:bottom w:val="single" w:sz="8" w:space="0" w:color="auto"/>
              <w:right w:val="single" w:sz="8" w:space="0" w:color="auto"/>
            </w:tcBorders>
            <w:shd w:val="clear" w:color="auto" w:fill="auto"/>
            <w:vAlign w:val="center"/>
            <w:hideMark/>
          </w:tcPr>
          <w:p w14:paraId="35A5CB0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346AB9F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Hillside </w:t>
            </w:r>
          </w:p>
        </w:tc>
        <w:tc>
          <w:tcPr>
            <w:tcW w:w="0" w:type="auto"/>
            <w:tcBorders>
              <w:top w:val="nil"/>
              <w:left w:val="nil"/>
              <w:bottom w:val="single" w:sz="8" w:space="0" w:color="auto"/>
              <w:right w:val="single" w:sz="8" w:space="0" w:color="auto"/>
            </w:tcBorders>
            <w:shd w:val="clear" w:color="auto" w:fill="auto"/>
            <w:vAlign w:val="center"/>
            <w:hideMark/>
          </w:tcPr>
          <w:p w14:paraId="7D6DEEB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115/34.5 </w:t>
            </w:r>
          </w:p>
        </w:tc>
      </w:tr>
      <w:tr w:rsidR="00FF49F1" w:rsidRPr="00FF49F1" w14:paraId="4CB1FC9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0372E4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4 </w:t>
            </w:r>
          </w:p>
        </w:tc>
        <w:tc>
          <w:tcPr>
            <w:tcW w:w="0" w:type="auto"/>
            <w:tcBorders>
              <w:top w:val="nil"/>
              <w:left w:val="nil"/>
              <w:bottom w:val="single" w:sz="8" w:space="0" w:color="auto"/>
              <w:right w:val="single" w:sz="8" w:space="0" w:color="auto"/>
            </w:tcBorders>
            <w:shd w:val="clear" w:color="auto" w:fill="auto"/>
            <w:vAlign w:val="center"/>
            <w:hideMark/>
          </w:tcPr>
          <w:p w14:paraId="7FF71C4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Hillside </w:t>
            </w:r>
          </w:p>
        </w:tc>
        <w:tc>
          <w:tcPr>
            <w:tcW w:w="0" w:type="auto"/>
            <w:tcBorders>
              <w:top w:val="nil"/>
              <w:left w:val="nil"/>
              <w:bottom w:val="single" w:sz="8" w:space="0" w:color="auto"/>
              <w:right w:val="single" w:sz="8" w:space="0" w:color="auto"/>
            </w:tcBorders>
            <w:shd w:val="clear" w:color="auto" w:fill="auto"/>
            <w:vAlign w:val="center"/>
            <w:hideMark/>
          </w:tcPr>
          <w:p w14:paraId="4603C7D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1A17A35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Hillside </w:t>
            </w:r>
          </w:p>
        </w:tc>
        <w:tc>
          <w:tcPr>
            <w:tcW w:w="0" w:type="auto"/>
            <w:tcBorders>
              <w:top w:val="nil"/>
              <w:left w:val="nil"/>
              <w:bottom w:val="single" w:sz="8" w:space="0" w:color="auto"/>
              <w:right w:val="single" w:sz="8" w:space="0" w:color="auto"/>
            </w:tcBorders>
            <w:shd w:val="clear" w:color="auto" w:fill="auto"/>
            <w:vAlign w:val="center"/>
            <w:hideMark/>
          </w:tcPr>
          <w:p w14:paraId="17E1CE3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115/34.5 </w:t>
            </w:r>
          </w:p>
        </w:tc>
      </w:tr>
      <w:tr w:rsidR="00FF49F1" w:rsidRPr="00FF49F1" w14:paraId="3BEF439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334CF9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77</w:t>
            </w:r>
          </w:p>
        </w:tc>
        <w:tc>
          <w:tcPr>
            <w:tcW w:w="0" w:type="auto"/>
            <w:tcBorders>
              <w:top w:val="nil"/>
              <w:left w:val="nil"/>
              <w:bottom w:val="single" w:sz="8" w:space="0" w:color="auto"/>
              <w:right w:val="single" w:sz="8" w:space="0" w:color="auto"/>
            </w:tcBorders>
            <w:shd w:val="clear" w:color="auto" w:fill="auto"/>
            <w:vAlign w:val="center"/>
            <w:hideMark/>
          </w:tcPr>
          <w:p w14:paraId="7C0C319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Huntley </w:t>
            </w:r>
          </w:p>
        </w:tc>
        <w:tc>
          <w:tcPr>
            <w:tcW w:w="0" w:type="auto"/>
            <w:tcBorders>
              <w:top w:val="nil"/>
              <w:left w:val="nil"/>
              <w:bottom w:val="single" w:sz="8" w:space="0" w:color="auto"/>
              <w:right w:val="single" w:sz="8" w:space="0" w:color="auto"/>
            </w:tcBorders>
            <w:shd w:val="clear" w:color="auto" w:fill="auto"/>
            <w:vAlign w:val="center"/>
            <w:hideMark/>
          </w:tcPr>
          <w:p w14:paraId="7AD82D7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52565CD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Packard </w:t>
            </w:r>
          </w:p>
        </w:tc>
        <w:tc>
          <w:tcPr>
            <w:tcW w:w="0" w:type="auto"/>
            <w:tcBorders>
              <w:top w:val="nil"/>
              <w:left w:val="nil"/>
              <w:bottom w:val="single" w:sz="8" w:space="0" w:color="auto"/>
              <w:right w:val="single" w:sz="8" w:space="0" w:color="auto"/>
            </w:tcBorders>
            <w:shd w:val="clear" w:color="auto" w:fill="auto"/>
            <w:vAlign w:val="center"/>
            <w:hideMark/>
          </w:tcPr>
          <w:p w14:paraId="5634A01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0E08353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501B80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670 </w:t>
            </w:r>
          </w:p>
        </w:tc>
        <w:tc>
          <w:tcPr>
            <w:tcW w:w="0" w:type="auto"/>
            <w:tcBorders>
              <w:top w:val="nil"/>
              <w:left w:val="nil"/>
              <w:bottom w:val="single" w:sz="8" w:space="0" w:color="auto"/>
              <w:right w:val="single" w:sz="8" w:space="0" w:color="auto"/>
            </w:tcBorders>
            <w:shd w:val="clear" w:color="auto" w:fill="auto"/>
            <w:vAlign w:val="center"/>
            <w:hideMark/>
          </w:tcPr>
          <w:p w14:paraId="0DFD9DC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Huntley </w:t>
            </w:r>
          </w:p>
        </w:tc>
        <w:tc>
          <w:tcPr>
            <w:tcW w:w="0" w:type="auto"/>
            <w:tcBorders>
              <w:top w:val="nil"/>
              <w:left w:val="nil"/>
              <w:bottom w:val="single" w:sz="8" w:space="0" w:color="auto"/>
              <w:right w:val="single" w:sz="8" w:space="0" w:color="auto"/>
            </w:tcBorders>
            <w:shd w:val="clear" w:color="auto" w:fill="auto"/>
            <w:vAlign w:val="center"/>
            <w:hideMark/>
          </w:tcPr>
          <w:p w14:paraId="559B1F8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3B15736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Huntley #67 </w:t>
            </w:r>
          </w:p>
        </w:tc>
        <w:tc>
          <w:tcPr>
            <w:tcW w:w="0" w:type="auto"/>
            <w:tcBorders>
              <w:top w:val="nil"/>
              <w:left w:val="nil"/>
              <w:bottom w:val="single" w:sz="8" w:space="0" w:color="auto"/>
              <w:right w:val="single" w:sz="8" w:space="0" w:color="auto"/>
            </w:tcBorders>
            <w:shd w:val="clear" w:color="auto" w:fill="auto"/>
            <w:vAlign w:val="center"/>
            <w:hideMark/>
          </w:tcPr>
          <w:p w14:paraId="40F83B5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w:t>
            </w:r>
          </w:p>
        </w:tc>
      </w:tr>
      <w:tr w:rsidR="00FF49F1" w:rsidRPr="00FF49F1" w14:paraId="77F5C9D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BED7D6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680 </w:t>
            </w:r>
          </w:p>
        </w:tc>
        <w:tc>
          <w:tcPr>
            <w:tcW w:w="0" w:type="auto"/>
            <w:tcBorders>
              <w:top w:val="nil"/>
              <w:left w:val="nil"/>
              <w:bottom w:val="single" w:sz="8" w:space="0" w:color="auto"/>
              <w:right w:val="single" w:sz="8" w:space="0" w:color="auto"/>
            </w:tcBorders>
            <w:shd w:val="clear" w:color="auto" w:fill="auto"/>
            <w:vAlign w:val="center"/>
            <w:hideMark/>
          </w:tcPr>
          <w:p w14:paraId="10F1BCA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Huntley </w:t>
            </w:r>
          </w:p>
        </w:tc>
        <w:tc>
          <w:tcPr>
            <w:tcW w:w="0" w:type="auto"/>
            <w:tcBorders>
              <w:top w:val="nil"/>
              <w:left w:val="nil"/>
              <w:bottom w:val="single" w:sz="8" w:space="0" w:color="auto"/>
              <w:right w:val="single" w:sz="8" w:space="0" w:color="auto"/>
            </w:tcBorders>
            <w:shd w:val="clear" w:color="auto" w:fill="auto"/>
            <w:vAlign w:val="center"/>
            <w:hideMark/>
          </w:tcPr>
          <w:p w14:paraId="24DE340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7B7F75B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Huntley #68 </w:t>
            </w:r>
          </w:p>
        </w:tc>
        <w:tc>
          <w:tcPr>
            <w:tcW w:w="0" w:type="auto"/>
            <w:tcBorders>
              <w:top w:val="nil"/>
              <w:left w:val="nil"/>
              <w:bottom w:val="single" w:sz="8" w:space="0" w:color="auto"/>
              <w:right w:val="single" w:sz="8" w:space="0" w:color="auto"/>
            </w:tcBorders>
            <w:shd w:val="clear" w:color="auto" w:fill="auto"/>
            <w:vAlign w:val="center"/>
            <w:hideMark/>
          </w:tcPr>
          <w:p w14:paraId="63D4DB8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w:t>
            </w:r>
          </w:p>
        </w:tc>
      </w:tr>
      <w:tr w:rsidR="00FF49F1" w:rsidRPr="00FF49F1" w14:paraId="6E9A67D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B4D1F1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78</w:t>
            </w:r>
          </w:p>
        </w:tc>
        <w:tc>
          <w:tcPr>
            <w:tcW w:w="0" w:type="auto"/>
            <w:tcBorders>
              <w:top w:val="nil"/>
              <w:left w:val="nil"/>
              <w:bottom w:val="single" w:sz="8" w:space="0" w:color="auto"/>
              <w:right w:val="single" w:sz="8" w:space="0" w:color="auto"/>
            </w:tcBorders>
            <w:shd w:val="clear" w:color="auto" w:fill="auto"/>
            <w:vAlign w:val="center"/>
            <w:hideMark/>
          </w:tcPr>
          <w:p w14:paraId="48AF657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Huntley </w:t>
            </w:r>
          </w:p>
        </w:tc>
        <w:tc>
          <w:tcPr>
            <w:tcW w:w="0" w:type="auto"/>
            <w:tcBorders>
              <w:top w:val="nil"/>
              <w:left w:val="nil"/>
              <w:bottom w:val="single" w:sz="8" w:space="0" w:color="auto"/>
              <w:right w:val="single" w:sz="8" w:space="0" w:color="auto"/>
            </w:tcBorders>
            <w:shd w:val="clear" w:color="auto" w:fill="auto"/>
            <w:vAlign w:val="center"/>
            <w:hideMark/>
          </w:tcPr>
          <w:p w14:paraId="0BD550F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118FE46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Packard </w:t>
            </w:r>
          </w:p>
        </w:tc>
        <w:tc>
          <w:tcPr>
            <w:tcW w:w="0" w:type="auto"/>
            <w:tcBorders>
              <w:top w:val="nil"/>
              <w:left w:val="nil"/>
              <w:bottom w:val="single" w:sz="8" w:space="0" w:color="auto"/>
              <w:right w:val="single" w:sz="8" w:space="0" w:color="auto"/>
            </w:tcBorders>
            <w:shd w:val="clear" w:color="auto" w:fill="auto"/>
            <w:vAlign w:val="center"/>
            <w:hideMark/>
          </w:tcPr>
          <w:p w14:paraId="583B1B7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20C088A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48EB6B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MMS1 </w:t>
            </w:r>
          </w:p>
        </w:tc>
        <w:tc>
          <w:tcPr>
            <w:tcW w:w="0" w:type="auto"/>
            <w:tcBorders>
              <w:top w:val="nil"/>
              <w:left w:val="nil"/>
              <w:bottom w:val="single" w:sz="8" w:space="0" w:color="auto"/>
              <w:right w:val="single" w:sz="8" w:space="0" w:color="auto"/>
            </w:tcBorders>
            <w:shd w:val="clear" w:color="auto" w:fill="auto"/>
            <w:vAlign w:val="center"/>
            <w:hideMark/>
          </w:tcPr>
          <w:p w14:paraId="62045E0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Massena </w:t>
            </w:r>
          </w:p>
        </w:tc>
        <w:tc>
          <w:tcPr>
            <w:tcW w:w="0" w:type="auto"/>
            <w:tcBorders>
              <w:top w:val="nil"/>
              <w:left w:val="nil"/>
              <w:bottom w:val="single" w:sz="8" w:space="0" w:color="auto"/>
              <w:right w:val="single" w:sz="8" w:space="0" w:color="auto"/>
            </w:tcBorders>
            <w:shd w:val="clear" w:color="auto" w:fill="auto"/>
            <w:vAlign w:val="center"/>
            <w:hideMark/>
          </w:tcPr>
          <w:p w14:paraId="5C97FA5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4D6B1C7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Moses </w:t>
            </w:r>
          </w:p>
        </w:tc>
        <w:tc>
          <w:tcPr>
            <w:tcW w:w="0" w:type="auto"/>
            <w:tcBorders>
              <w:top w:val="nil"/>
              <w:left w:val="nil"/>
              <w:bottom w:val="single" w:sz="8" w:space="0" w:color="auto"/>
              <w:right w:val="single" w:sz="8" w:space="0" w:color="auto"/>
            </w:tcBorders>
            <w:shd w:val="clear" w:color="auto" w:fill="auto"/>
            <w:vAlign w:val="center"/>
            <w:hideMark/>
          </w:tcPr>
          <w:p w14:paraId="212EF02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0D8111F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54718C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MMS2 </w:t>
            </w:r>
          </w:p>
        </w:tc>
        <w:tc>
          <w:tcPr>
            <w:tcW w:w="0" w:type="auto"/>
            <w:tcBorders>
              <w:top w:val="nil"/>
              <w:left w:val="nil"/>
              <w:bottom w:val="single" w:sz="8" w:space="0" w:color="auto"/>
              <w:right w:val="single" w:sz="8" w:space="0" w:color="auto"/>
            </w:tcBorders>
            <w:shd w:val="clear" w:color="auto" w:fill="auto"/>
            <w:vAlign w:val="center"/>
            <w:hideMark/>
          </w:tcPr>
          <w:p w14:paraId="638E674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Massena </w:t>
            </w:r>
          </w:p>
        </w:tc>
        <w:tc>
          <w:tcPr>
            <w:tcW w:w="0" w:type="auto"/>
            <w:tcBorders>
              <w:top w:val="nil"/>
              <w:left w:val="nil"/>
              <w:bottom w:val="single" w:sz="8" w:space="0" w:color="auto"/>
              <w:right w:val="single" w:sz="8" w:space="0" w:color="auto"/>
            </w:tcBorders>
            <w:shd w:val="clear" w:color="auto" w:fill="auto"/>
            <w:vAlign w:val="center"/>
            <w:hideMark/>
          </w:tcPr>
          <w:p w14:paraId="691CF89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1779A4F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Moses </w:t>
            </w:r>
          </w:p>
        </w:tc>
        <w:tc>
          <w:tcPr>
            <w:tcW w:w="0" w:type="auto"/>
            <w:tcBorders>
              <w:top w:val="nil"/>
              <w:left w:val="nil"/>
              <w:bottom w:val="single" w:sz="8" w:space="0" w:color="auto"/>
              <w:right w:val="single" w:sz="8" w:space="0" w:color="auto"/>
            </w:tcBorders>
            <w:shd w:val="clear" w:color="auto" w:fill="auto"/>
            <w:vAlign w:val="center"/>
            <w:hideMark/>
          </w:tcPr>
          <w:p w14:paraId="30BAE8C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0BB33D0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B9A9A8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85/87 </w:t>
            </w:r>
          </w:p>
        </w:tc>
        <w:tc>
          <w:tcPr>
            <w:tcW w:w="0" w:type="auto"/>
            <w:tcBorders>
              <w:top w:val="nil"/>
              <w:left w:val="nil"/>
              <w:bottom w:val="single" w:sz="8" w:space="0" w:color="auto"/>
              <w:right w:val="single" w:sz="8" w:space="0" w:color="auto"/>
            </w:tcBorders>
            <w:shd w:val="clear" w:color="auto" w:fill="auto"/>
            <w:vAlign w:val="center"/>
            <w:hideMark/>
          </w:tcPr>
          <w:p w14:paraId="6527F60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Meyer </w:t>
            </w:r>
          </w:p>
        </w:tc>
        <w:tc>
          <w:tcPr>
            <w:tcW w:w="0" w:type="auto"/>
            <w:tcBorders>
              <w:top w:val="nil"/>
              <w:left w:val="nil"/>
              <w:bottom w:val="single" w:sz="8" w:space="0" w:color="auto"/>
              <w:right w:val="single" w:sz="8" w:space="0" w:color="auto"/>
            </w:tcBorders>
            <w:shd w:val="clear" w:color="auto" w:fill="auto"/>
            <w:vAlign w:val="center"/>
            <w:hideMark/>
          </w:tcPr>
          <w:p w14:paraId="491740F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1C24215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Wethersfield </w:t>
            </w:r>
          </w:p>
        </w:tc>
        <w:tc>
          <w:tcPr>
            <w:tcW w:w="0" w:type="auto"/>
            <w:tcBorders>
              <w:top w:val="nil"/>
              <w:left w:val="nil"/>
              <w:bottom w:val="single" w:sz="8" w:space="0" w:color="auto"/>
              <w:right w:val="single" w:sz="8" w:space="0" w:color="auto"/>
            </w:tcBorders>
            <w:shd w:val="clear" w:color="auto" w:fill="auto"/>
            <w:vAlign w:val="center"/>
            <w:hideMark/>
          </w:tcPr>
          <w:p w14:paraId="311EF53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54E7BF5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639899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4 </w:t>
            </w:r>
          </w:p>
        </w:tc>
        <w:tc>
          <w:tcPr>
            <w:tcW w:w="0" w:type="auto"/>
            <w:tcBorders>
              <w:top w:val="nil"/>
              <w:left w:val="nil"/>
              <w:bottom w:val="single" w:sz="8" w:space="0" w:color="auto"/>
              <w:right w:val="single" w:sz="8" w:space="0" w:color="auto"/>
            </w:tcBorders>
            <w:shd w:val="clear" w:color="auto" w:fill="auto"/>
            <w:vAlign w:val="center"/>
            <w:hideMark/>
          </w:tcPr>
          <w:p w14:paraId="1860415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Meyer </w:t>
            </w:r>
          </w:p>
        </w:tc>
        <w:tc>
          <w:tcPr>
            <w:tcW w:w="0" w:type="auto"/>
            <w:tcBorders>
              <w:top w:val="nil"/>
              <w:left w:val="nil"/>
              <w:bottom w:val="single" w:sz="8" w:space="0" w:color="auto"/>
              <w:right w:val="single" w:sz="8" w:space="0" w:color="auto"/>
            </w:tcBorders>
            <w:shd w:val="clear" w:color="auto" w:fill="auto"/>
            <w:vAlign w:val="center"/>
            <w:hideMark/>
          </w:tcPr>
          <w:p w14:paraId="3FB79E9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024AF31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Meyer </w:t>
            </w:r>
          </w:p>
        </w:tc>
        <w:tc>
          <w:tcPr>
            <w:tcW w:w="0" w:type="auto"/>
            <w:tcBorders>
              <w:top w:val="nil"/>
              <w:left w:val="nil"/>
              <w:bottom w:val="single" w:sz="8" w:space="0" w:color="auto"/>
              <w:right w:val="single" w:sz="8" w:space="0" w:color="auto"/>
            </w:tcBorders>
            <w:shd w:val="clear" w:color="auto" w:fill="auto"/>
            <w:vAlign w:val="center"/>
            <w:hideMark/>
          </w:tcPr>
          <w:p w14:paraId="105CD86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115/34.5 </w:t>
            </w:r>
          </w:p>
        </w:tc>
      </w:tr>
      <w:tr w:rsidR="00FF49F1" w:rsidRPr="00FF49F1" w14:paraId="1D2B0FB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9A4531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10151F3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Moses </w:t>
            </w:r>
          </w:p>
        </w:tc>
        <w:tc>
          <w:tcPr>
            <w:tcW w:w="0" w:type="auto"/>
            <w:tcBorders>
              <w:top w:val="nil"/>
              <w:left w:val="nil"/>
              <w:bottom w:val="single" w:sz="8" w:space="0" w:color="auto"/>
              <w:right w:val="single" w:sz="8" w:space="0" w:color="auto"/>
            </w:tcBorders>
            <w:shd w:val="clear" w:color="auto" w:fill="auto"/>
            <w:vAlign w:val="center"/>
            <w:hideMark/>
          </w:tcPr>
          <w:p w14:paraId="155BEDE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02C29E1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Moses </w:t>
            </w:r>
          </w:p>
        </w:tc>
        <w:tc>
          <w:tcPr>
            <w:tcW w:w="0" w:type="auto"/>
            <w:tcBorders>
              <w:top w:val="nil"/>
              <w:left w:val="nil"/>
              <w:bottom w:val="single" w:sz="8" w:space="0" w:color="auto"/>
              <w:right w:val="single" w:sz="8" w:space="0" w:color="auto"/>
            </w:tcBorders>
            <w:shd w:val="clear" w:color="auto" w:fill="auto"/>
            <w:vAlign w:val="center"/>
            <w:hideMark/>
          </w:tcPr>
          <w:p w14:paraId="7F37DD2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577DEC9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8077A7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71F2C30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Moses </w:t>
            </w:r>
          </w:p>
        </w:tc>
        <w:tc>
          <w:tcPr>
            <w:tcW w:w="0" w:type="auto"/>
            <w:tcBorders>
              <w:top w:val="nil"/>
              <w:left w:val="nil"/>
              <w:bottom w:val="single" w:sz="8" w:space="0" w:color="auto"/>
              <w:right w:val="single" w:sz="8" w:space="0" w:color="auto"/>
            </w:tcBorders>
            <w:shd w:val="clear" w:color="auto" w:fill="auto"/>
            <w:vAlign w:val="center"/>
            <w:hideMark/>
          </w:tcPr>
          <w:p w14:paraId="0931F26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5C2C950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Moses </w:t>
            </w:r>
          </w:p>
        </w:tc>
        <w:tc>
          <w:tcPr>
            <w:tcW w:w="0" w:type="auto"/>
            <w:tcBorders>
              <w:top w:val="nil"/>
              <w:left w:val="nil"/>
              <w:bottom w:val="single" w:sz="8" w:space="0" w:color="auto"/>
              <w:right w:val="single" w:sz="8" w:space="0" w:color="auto"/>
            </w:tcBorders>
            <w:shd w:val="clear" w:color="auto" w:fill="auto"/>
            <w:vAlign w:val="center"/>
            <w:hideMark/>
          </w:tcPr>
          <w:p w14:paraId="355D4DC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5B41DBE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4EB1FA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3 </w:t>
            </w:r>
          </w:p>
        </w:tc>
        <w:tc>
          <w:tcPr>
            <w:tcW w:w="0" w:type="auto"/>
            <w:tcBorders>
              <w:top w:val="nil"/>
              <w:left w:val="nil"/>
              <w:bottom w:val="single" w:sz="8" w:space="0" w:color="auto"/>
              <w:right w:val="single" w:sz="8" w:space="0" w:color="auto"/>
            </w:tcBorders>
            <w:shd w:val="clear" w:color="auto" w:fill="auto"/>
            <w:vAlign w:val="center"/>
            <w:hideMark/>
          </w:tcPr>
          <w:p w14:paraId="1B29EA4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Moses </w:t>
            </w:r>
          </w:p>
        </w:tc>
        <w:tc>
          <w:tcPr>
            <w:tcW w:w="0" w:type="auto"/>
            <w:tcBorders>
              <w:top w:val="nil"/>
              <w:left w:val="nil"/>
              <w:bottom w:val="single" w:sz="8" w:space="0" w:color="auto"/>
              <w:right w:val="single" w:sz="8" w:space="0" w:color="auto"/>
            </w:tcBorders>
            <w:shd w:val="clear" w:color="auto" w:fill="auto"/>
            <w:vAlign w:val="center"/>
            <w:hideMark/>
          </w:tcPr>
          <w:p w14:paraId="320CE6B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33FB637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Moses </w:t>
            </w:r>
          </w:p>
        </w:tc>
        <w:tc>
          <w:tcPr>
            <w:tcW w:w="0" w:type="auto"/>
            <w:tcBorders>
              <w:top w:val="nil"/>
              <w:left w:val="nil"/>
              <w:bottom w:val="single" w:sz="8" w:space="0" w:color="auto"/>
              <w:right w:val="single" w:sz="8" w:space="0" w:color="auto"/>
            </w:tcBorders>
            <w:shd w:val="clear" w:color="auto" w:fill="auto"/>
            <w:vAlign w:val="center"/>
            <w:hideMark/>
          </w:tcPr>
          <w:p w14:paraId="4E24223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0692A09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89E9FD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4 </w:t>
            </w:r>
          </w:p>
        </w:tc>
        <w:tc>
          <w:tcPr>
            <w:tcW w:w="0" w:type="auto"/>
            <w:tcBorders>
              <w:top w:val="nil"/>
              <w:left w:val="nil"/>
              <w:bottom w:val="single" w:sz="8" w:space="0" w:color="auto"/>
              <w:right w:val="single" w:sz="8" w:space="0" w:color="auto"/>
            </w:tcBorders>
            <w:shd w:val="clear" w:color="auto" w:fill="auto"/>
            <w:vAlign w:val="center"/>
            <w:hideMark/>
          </w:tcPr>
          <w:p w14:paraId="4866A9E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Moses </w:t>
            </w:r>
          </w:p>
        </w:tc>
        <w:tc>
          <w:tcPr>
            <w:tcW w:w="0" w:type="auto"/>
            <w:tcBorders>
              <w:top w:val="nil"/>
              <w:left w:val="nil"/>
              <w:bottom w:val="single" w:sz="8" w:space="0" w:color="auto"/>
              <w:right w:val="single" w:sz="8" w:space="0" w:color="auto"/>
            </w:tcBorders>
            <w:shd w:val="clear" w:color="auto" w:fill="auto"/>
            <w:vAlign w:val="center"/>
            <w:hideMark/>
          </w:tcPr>
          <w:p w14:paraId="259223D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7274FBA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Moses </w:t>
            </w:r>
          </w:p>
        </w:tc>
        <w:tc>
          <w:tcPr>
            <w:tcW w:w="0" w:type="auto"/>
            <w:tcBorders>
              <w:top w:val="nil"/>
              <w:left w:val="nil"/>
              <w:bottom w:val="single" w:sz="8" w:space="0" w:color="auto"/>
              <w:right w:val="single" w:sz="8" w:space="0" w:color="auto"/>
            </w:tcBorders>
            <w:shd w:val="clear" w:color="auto" w:fill="auto"/>
            <w:vAlign w:val="center"/>
            <w:hideMark/>
          </w:tcPr>
          <w:p w14:paraId="0CE69FF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29AD26D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2288C7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L33P </w:t>
            </w:r>
          </w:p>
        </w:tc>
        <w:tc>
          <w:tcPr>
            <w:tcW w:w="0" w:type="auto"/>
            <w:tcBorders>
              <w:top w:val="nil"/>
              <w:left w:val="nil"/>
              <w:bottom w:val="single" w:sz="8" w:space="0" w:color="auto"/>
              <w:right w:val="single" w:sz="8" w:space="0" w:color="auto"/>
            </w:tcBorders>
            <w:shd w:val="clear" w:color="auto" w:fill="auto"/>
            <w:vAlign w:val="center"/>
            <w:hideMark/>
          </w:tcPr>
          <w:p w14:paraId="28A26F0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Moses </w:t>
            </w:r>
          </w:p>
        </w:tc>
        <w:tc>
          <w:tcPr>
            <w:tcW w:w="0" w:type="auto"/>
            <w:tcBorders>
              <w:top w:val="nil"/>
              <w:left w:val="nil"/>
              <w:bottom w:val="single" w:sz="8" w:space="0" w:color="auto"/>
              <w:right w:val="single" w:sz="8" w:space="0" w:color="auto"/>
            </w:tcBorders>
            <w:shd w:val="clear" w:color="auto" w:fill="auto"/>
            <w:vAlign w:val="center"/>
            <w:hideMark/>
          </w:tcPr>
          <w:p w14:paraId="7A8939C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7D7B4F6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St. Lawrence (IESO) </w:t>
            </w:r>
          </w:p>
        </w:tc>
        <w:tc>
          <w:tcPr>
            <w:tcW w:w="0" w:type="auto"/>
            <w:tcBorders>
              <w:top w:val="nil"/>
              <w:left w:val="nil"/>
              <w:bottom w:val="single" w:sz="8" w:space="0" w:color="auto"/>
              <w:right w:val="single" w:sz="8" w:space="0" w:color="auto"/>
            </w:tcBorders>
            <w:shd w:val="clear" w:color="auto" w:fill="auto"/>
            <w:vAlign w:val="center"/>
            <w:hideMark/>
          </w:tcPr>
          <w:p w14:paraId="7EA20BD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2228CA2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2B73FE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L34P </w:t>
            </w:r>
          </w:p>
        </w:tc>
        <w:tc>
          <w:tcPr>
            <w:tcW w:w="0" w:type="auto"/>
            <w:tcBorders>
              <w:top w:val="nil"/>
              <w:left w:val="nil"/>
              <w:bottom w:val="single" w:sz="8" w:space="0" w:color="auto"/>
              <w:right w:val="single" w:sz="8" w:space="0" w:color="auto"/>
            </w:tcBorders>
            <w:shd w:val="clear" w:color="auto" w:fill="auto"/>
            <w:vAlign w:val="center"/>
            <w:hideMark/>
          </w:tcPr>
          <w:p w14:paraId="7B1B2CD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Moses </w:t>
            </w:r>
          </w:p>
        </w:tc>
        <w:tc>
          <w:tcPr>
            <w:tcW w:w="0" w:type="auto"/>
            <w:tcBorders>
              <w:top w:val="nil"/>
              <w:left w:val="nil"/>
              <w:bottom w:val="single" w:sz="8" w:space="0" w:color="auto"/>
              <w:right w:val="single" w:sz="8" w:space="0" w:color="auto"/>
            </w:tcBorders>
            <w:shd w:val="clear" w:color="auto" w:fill="auto"/>
            <w:vAlign w:val="center"/>
            <w:hideMark/>
          </w:tcPr>
          <w:p w14:paraId="5C93859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22783A0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St. Lawrence (IESO) </w:t>
            </w:r>
          </w:p>
        </w:tc>
        <w:tc>
          <w:tcPr>
            <w:tcW w:w="0" w:type="auto"/>
            <w:tcBorders>
              <w:top w:val="nil"/>
              <w:left w:val="nil"/>
              <w:bottom w:val="single" w:sz="8" w:space="0" w:color="auto"/>
              <w:right w:val="single" w:sz="8" w:space="0" w:color="auto"/>
            </w:tcBorders>
            <w:shd w:val="clear" w:color="auto" w:fill="auto"/>
            <w:vAlign w:val="center"/>
            <w:hideMark/>
          </w:tcPr>
          <w:p w14:paraId="795738B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2DB84B4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1E13BF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MW1 </w:t>
            </w:r>
          </w:p>
        </w:tc>
        <w:tc>
          <w:tcPr>
            <w:tcW w:w="0" w:type="auto"/>
            <w:tcBorders>
              <w:top w:val="nil"/>
              <w:left w:val="nil"/>
              <w:bottom w:val="single" w:sz="8" w:space="0" w:color="auto"/>
              <w:right w:val="single" w:sz="8" w:space="0" w:color="auto"/>
            </w:tcBorders>
            <w:shd w:val="clear" w:color="auto" w:fill="auto"/>
            <w:vAlign w:val="center"/>
            <w:hideMark/>
          </w:tcPr>
          <w:p w14:paraId="08C6A39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Moses </w:t>
            </w:r>
          </w:p>
        </w:tc>
        <w:tc>
          <w:tcPr>
            <w:tcW w:w="0" w:type="auto"/>
            <w:tcBorders>
              <w:top w:val="nil"/>
              <w:left w:val="nil"/>
              <w:bottom w:val="single" w:sz="8" w:space="0" w:color="auto"/>
              <w:right w:val="single" w:sz="8" w:space="0" w:color="auto"/>
            </w:tcBorders>
            <w:shd w:val="clear" w:color="auto" w:fill="auto"/>
            <w:vAlign w:val="center"/>
            <w:hideMark/>
          </w:tcPr>
          <w:p w14:paraId="477D989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3852B09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Willis </w:t>
            </w:r>
          </w:p>
        </w:tc>
        <w:tc>
          <w:tcPr>
            <w:tcW w:w="0" w:type="auto"/>
            <w:tcBorders>
              <w:top w:val="nil"/>
              <w:left w:val="nil"/>
              <w:bottom w:val="single" w:sz="8" w:space="0" w:color="auto"/>
              <w:right w:val="single" w:sz="8" w:space="0" w:color="auto"/>
            </w:tcBorders>
            <w:shd w:val="clear" w:color="auto" w:fill="auto"/>
            <w:vAlign w:val="center"/>
            <w:hideMark/>
          </w:tcPr>
          <w:p w14:paraId="574C85D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3B7C5AB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22D7E8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MW2 </w:t>
            </w:r>
          </w:p>
        </w:tc>
        <w:tc>
          <w:tcPr>
            <w:tcW w:w="0" w:type="auto"/>
            <w:tcBorders>
              <w:top w:val="nil"/>
              <w:left w:val="nil"/>
              <w:bottom w:val="single" w:sz="8" w:space="0" w:color="auto"/>
              <w:right w:val="single" w:sz="8" w:space="0" w:color="auto"/>
            </w:tcBorders>
            <w:shd w:val="clear" w:color="auto" w:fill="auto"/>
            <w:vAlign w:val="center"/>
            <w:hideMark/>
          </w:tcPr>
          <w:p w14:paraId="765C95D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Moses </w:t>
            </w:r>
          </w:p>
        </w:tc>
        <w:tc>
          <w:tcPr>
            <w:tcW w:w="0" w:type="auto"/>
            <w:tcBorders>
              <w:top w:val="nil"/>
              <w:left w:val="nil"/>
              <w:bottom w:val="single" w:sz="8" w:space="0" w:color="auto"/>
              <w:right w:val="single" w:sz="8" w:space="0" w:color="auto"/>
            </w:tcBorders>
            <w:shd w:val="clear" w:color="auto" w:fill="auto"/>
            <w:vAlign w:val="center"/>
            <w:hideMark/>
          </w:tcPr>
          <w:p w14:paraId="58ECBF1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0D6C479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Willis </w:t>
            </w:r>
          </w:p>
        </w:tc>
        <w:tc>
          <w:tcPr>
            <w:tcW w:w="0" w:type="auto"/>
            <w:tcBorders>
              <w:top w:val="nil"/>
              <w:left w:val="nil"/>
              <w:bottom w:val="single" w:sz="8" w:space="0" w:color="auto"/>
              <w:right w:val="single" w:sz="8" w:space="0" w:color="auto"/>
            </w:tcBorders>
            <w:shd w:val="clear" w:color="auto" w:fill="auto"/>
            <w:vAlign w:val="center"/>
            <w:hideMark/>
          </w:tcPr>
          <w:p w14:paraId="0E039BC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4311F3A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CB1F40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61</w:t>
            </w:r>
          </w:p>
        </w:tc>
        <w:tc>
          <w:tcPr>
            <w:tcW w:w="0" w:type="auto"/>
            <w:tcBorders>
              <w:top w:val="nil"/>
              <w:left w:val="nil"/>
              <w:bottom w:val="single" w:sz="8" w:space="0" w:color="auto"/>
              <w:right w:val="single" w:sz="8" w:space="0" w:color="auto"/>
            </w:tcBorders>
            <w:shd w:val="clear" w:color="auto" w:fill="auto"/>
            <w:vAlign w:val="center"/>
            <w:hideMark/>
          </w:tcPr>
          <w:p w14:paraId="41EAA10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613175F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41887E4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Packard </w:t>
            </w:r>
          </w:p>
        </w:tc>
        <w:tc>
          <w:tcPr>
            <w:tcW w:w="0" w:type="auto"/>
            <w:tcBorders>
              <w:top w:val="nil"/>
              <w:left w:val="nil"/>
              <w:bottom w:val="single" w:sz="8" w:space="0" w:color="auto"/>
              <w:right w:val="single" w:sz="8" w:space="0" w:color="auto"/>
            </w:tcBorders>
            <w:shd w:val="clear" w:color="auto" w:fill="auto"/>
            <w:vAlign w:val="center"/>
            <w:hideMark/>
          </w:tcPr>
          <w:p w14:paraId="2C61E81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5C3165E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2BD2F1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62</w:t>
            </w:r>
          </w:p>
        </w:tc>
        <w:tc>
          <w:tcPr>
            <w:tcW w:w="0" w:type="auto"/>
            <w:tcBorders>
              <w:top w:val="nil"/>
              <w:left w:val="nil"/>
              <w:bottom w:val="single" w:sz="8" w:space="0" w:color="auto"/>
              <w:right w:val="single" w:sz="8" w:space="0" w:color="auto"/>
            </w:tcBorders>
            <w:shd w:val="clear" w:color="auto" w:fill="auto"/>
            <w:vAlign w:val="center"/>
            <w:hideMark/>
          </w:tcPr>
          <w:p w14:paraId="4EC3CAD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484952E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3FFE359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Packard </w:t>
            </w:r>
          </w:p>
        </w:tc>
        <w:tc>
          <w:tcPr>
            <w:tcW w:w="0" w:type="auto"/>
            <w:tcBorders>
              <w:top w:val="nil"/>
              <w:left w:val="nil"/>
              <w:bottom w:val="single" w:sz="8" w:space="0" w:color="auto"/>
              <w:right w:val="single" w:sz="8" w:space="0" w:color="auto"/>
            </w:tcBorders>
            <w:shd w:val="clear" w:color="auto" w:fill="auto"/>
            <w:vAlign w:val="center"/>
            <w:hideMark/>
          </w:tcPr>
          <w:p w14:paraId="165BD61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2762B46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E1F538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64</w:t>
            </w:r>
          </w:p>
        </w:tc>
        <w:tc>
          <w:tcPr>
            <w:tcW w:w="0" w:type="auto"/>
            <w:tcBorders>
              <w:top w:val="nil"/>
              <w:left w:val="nil"/>
              <w:bottom w:val="single" w:sz="8" w:space="0" w:color="auto"/>
              <w:right w:val="single" w:sz="8" w:space="0" w:color="auto"/>
            </w:tcBorders>
            <w:shd w:val="clear" w:color="auto" w:fill="auto"/>
            <w:vAlign w:val="center"/>
            <w:hideMark/>
          </w:tcPr>
          <w:p w14:paraId="42D4C24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772EF6D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5FC05B0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Robinson Rd </w:t>
            </w:r>
          </w:p>
        </w:tc>
        <w:tc>
          <w:tcPr>
            <w:tcW w:w="0" w:type="auto"/>
            <w:tcBorders>
              <w:top w:val="nil"/>
              <w:left w:val="nil"/>
              <w:bottom w:val="single" w:sz="8" w:space="0" w:color="auto"/>
              <w:right w:val="single" w:sz="8" w:space="0" w:color="auto"/>
            </w:tcBorders>
            <w:shd w:val="clear" w:color="auto" w:fill="auto"/>
            <w:vAlign w:val="center"/>
            <w:hideMark/>
          </w:tcPr>
          <w:p w14:paraId="71716CA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41356FD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0AF12E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2332</w:t>
            </w:r>
          </w:p>
        </w:tc>
        <w:tc>
          <w:tcPr>
            <w:tcW w:w="0" w:type="auto"/>
            <w:tcBorders>
              <w:top w:val="nil"/>
              <w:left w:val="nil"/>
              <w:bottom w:val="single" w:sz="8" w:space="0" w:color="auto"/>
              <w:right w:val="single" w:sz="8" w:space="0" w:color="auto"/>
            </w:tcBorders>
            <w:shd w:val="clear" w:color="auto" w:fill="auto"/>
            <w:vAlign w:val="center"/>
            <w:hideMark/>
          </w:tcPr>
          <w:p w14:paraId="2775191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524F38E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4447CC3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1171437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74DD4A5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A10558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2342</w:t>
            </w:r>
          </w:p>
        </w:tc>
        <w:tc>
          <w:tcPr>
            <w:tcW w:w="0" w:type="auto"/>
            <w:tcBorders>
              <w:top w:val="nil"/>
              <w:left w:val="nil"/>
              <w:bottom w:val="single" w:sz="8" w:space="0" w:color="auto"/>
              <w:right w:val="single" w:sz="8" w:space="0" w:color="auto"/>
            </w:tcBorders>
            <w:shd w:val="clear" w:color="auto" w:fill="auto"/>
            <w:vAlign w:val="center"/>
            <w:hideMark/>
          </w:tcPr>
          <w:p w14:paraId="1FAD443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551F436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2B69BA8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1226C84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7F5B647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878E40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lastRenderedPageBreak/>
              <w:t xml:space="preserve">BK T1 </w:t>
            </w:r>
          </w:p>
        </w:tc>
        <w:tc>
          <w:tcPr>
            <w:tcW w:w="0" w:type="auto"/>
            <w:tcBorders>
              <w:top w:val="nil"/>
              <w:left w:val="nil"/>
              <w:bottom w:val="single" w:sz="8" w:space="0" w:color="auto"/>
              <w:right w:val="single" w:sz="8" w:space="0" w:color="auto"/>
            </w:tcBorders>
            <w:shd w:val="clear" w:color="auto" w:fill="auto"/>
            <w:vAlign w:val="center"/>
            <w:hideMark/>
          </w:tcPr>
          <w:p w14:paraId="00D1FD2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12EA662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455D2EC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22D9248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4772C4D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02970F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T2 </w:t>
            </w:r>
          </w:p>
        </w:tc>
        <w:tc>
          <w:tcPr>
            <w:tcW w:w="0" w:type="auto"/>
            <w:tcBorders>
              <w:top w:val="nil"/>
              <w:left w:val="nil"/>
              <w:bottom w:val="single" w:sz="8" w:space="0" w:color="auto"/>
              <w:right w:val="single" w:sz="8" w:space="0" w:color="auto"/>
            </w:tcBorders>
            <w:shd w:val="clear" w:color="auto" w:fill="auto"/>
            <w:vAlign w:val="center"/>
            <w:hideMark/>
          </w:tcPr>
          <w:p w14:paraId="00DF577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132B892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0839B95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2987527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32A7532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8F5E04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 Bus Tie </w:t>
            </w:r>
          </w:p>
        </w:tc>
        <w:tc>
          <w:tcPr>
            <w:tcW w:w="0" w:type="auto"/>
            <w:tcBorders>
              <w:top w:val="nil"/>
              <w:left w:val="nil"/>
              <w:bottom w:val="single" w:sz="8" w:space="0" w:color="auto"/>
              <w:right w:val="single" w:sz="8" w:space="0" w:color="auto"/>
            </w:tcBorders>
            <w:shd w:val="clear" w:color="auto" w:fill="auto"/>
            <w:vAlign w:val="center"/>
            <w:hideMark/>
          </w:tcPr>
          <w:p w14:paraId="2BAAE60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5648792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355BE33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2128BB5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4BB5EEF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82D6CC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 Bus Tie </w:t>
            </w:r>
          </w:p>
        </w:tc>
        <w:tc>
          <w:tcPr>
            <w:tcW w:w="0" w:type="auto"/>
            <w:tcBorders>
              <w:top w:val="nil"/>
              <w:left w:val="nil"/>
              <w:bottom w:val="single" w:sz="8" w:space="0" w:color="auto"/>
              <w:right w:val="single" w:sz="8" w:space="0" w:color="auto"/>
            </w:tcBorders>
            <w:shd w:val="clear" w:color="auto" w:fill="auto"/>
            <w:vAlign w:val="center"/>
            <w:hideMark/>
          </w:tcPr>
          <w:p w14:paraId="61B42E2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585B1F5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3ACDA3D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Niagara </w:t>
            </w:r>
          </w:p>
        </w:tc>
        <w:tc>
          <w:tcPr>
            <w:tcW w:w="0" w:type="auto"/>
            <w:tcBorders>
              <w:top w:val="nil"/>
              <w:left w:val="nil"/>
              <w:bottom w:val="single" w:sz="8" w:space="0" w:color="auto"/>
              <w:right w:val="single" w:sz="8" w:space="0" w:color="auto"/>
            </w:tcBorders>
            <w:shd w:val="clear" w:color="auto" w:fill="auto"/>
            <w:vAlign w:val="center"/>
            <w:hideMark/>
          </w:tcPr>
          <w:p w14:paraId="7E13767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360F0E5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D9CFA8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71</w:t>
            </w:r>
          </w:p>
        </w:tc>
        <w:tc>
          <w:tcPr>
            <w:tcW w:w="0" w:type="auto"/>
            <w:tcBorders>
              <w:top w:val="nil"/>
              <w:left w:val="nil"/>
              <w:bottom w:val="single" w:sz="8" w:space="0" w:color="auto"/>
              <w:right w:val="single" w:sz="8" w:space="0" w:color="auto"/>
            </w:tcBorders>
            <w:shd w:val="clear" w:color="auto" w:fill="auto"/>
            <w:vAlign w:val="center"/>
            <w:hideMark/>
          </w:tcPr>
          <w:p w14:paraId="2A44F35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Oakdale </w:t>
            </w:r>
          </w:p>
        </w:tc>
        <w:tc>
          <w:tcPr>
            <w:tcW w:w="0" w:type="auto"/>
            <w:tcBorders>
              <w:top w:val="nil"/>
              <w:left w:val="nil"/>
              <w:bottom w:val="single" w:sz="8" w:space="0" w:color="auto"/>
              <w:right w:val="single" w:sz="8" w:space="0" w:color="auto"/>
            </w:tcBorders>
            <w:shd w:val="clear" w:color="auto" w:fill="auto"/>
            <w:vAlign w:val="center"/>
            <w:hideMark/>
          </w:tcPr>
          <w:p w14:paraId="32388E6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3EBBBC91"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Watercure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433DD48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7286005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AA51A0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2AE39DB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Oakdale </w:t>
            </w:r>
          </w:p>
        </w:tc>
        <w:tc>
          <w:tcPr>
            <w:tcW w:w="0" w:type="auto"/>
            <w:tcBorders>
              <w:top w:val="nil"/>
              <w:left w:val="nil"/>
              <w:bottom w:val="single" w:sz="8" w:space="0" w:color="auto"/>
              <w:right w:val="single" w:sz="8" w:space="0" w:color="auto"/>
            </w:tcBorders>
            <w:shd w:val="clear" w:color="auto" w:fill="auto"/>
            <w:vAlign w:val="center"/>
            <w:hideMark/>
          </w:tcPr>
          <w:p w14:paraId="79271B6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6C53EE2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Oakdale </w:t>
            </w:r>
          </w:p>
        </w:tc>
        <w:tc>
          <w:tcPr>
            <w:tcW w:w="0" w:type="auto"/>
            <w:tcBorders>
              <w:top w:val="nil"/>
              <w:left w:val="nil"/>
              <w:bottom w:val="single" w:sz="8" w:space="0" w:color="auto"/>
              <w:right w:val="single" w:sz="8" w:space="0" w:color="auto"/>
            </w:tcBorders>
            <w:shd w:val="clear" w:color="auto" w:fill="auto"/>
            <w:vAlign w:val="center"/>
            <w:hideMark/>
          </w:tcPr>
          <w:p w14:paraId="6AE51C9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2BF8B30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9C86B8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w:t>
            </w:r>
          </w:p>
        </w:tc>
        <w:tc>
          <w:tcPr>
            <w:tcW w:w="0" w:type="auto"/>
            <w:tcBorders>
              <w:top w:val="nil"/>
              <w:left w:val="nil"/>
              <w:bottom w:val="single" w:sz="8" w:space="0" w:color="auto"/>
              <w:right w:val="single" w:sz="8" w:space="0" w:color="auto"/>
            </w:tcBorders>
            <w:shd w:val="clear" w:color="auto" w:fill="auto"/>
            <w:vAlign w:val="center"/>
            <w:hideMark/>
          </w:tcPr>
          <w:p w14:paraId="38D1734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Packard </w:t>
            </w:r>
          </w:p>
        </w:tc>
        <w:tc>
          <w:tcPr>
            <w:tcW w:w="0" w:type="auto"/>
            <w:tcBorders>
              <w:top w:val="nil"/>
              <w:left w:val="nil"/>
              <w:bottom w:val="single" w:sz="8" w:space="0" w:color="auto"/>
              <w:right w:val="single" w:sz="8" w:space="0" w:color="auto"/>
            </w:tcBorders>
            <w:shd w:val="clear" w:color="auto" w:fill="auto"/>
            <w:vAlign w:val="center"/>
            <w:hideMark/>
          </w:tcPr>
          <w:p w14:paraId="564154B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235B16F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Packard </w:t>
            </w:r>
          </w:p>
        </w:tc>
        <w:tc>
          <w:tcPr>
            <w:tcW w:w="0" w:type="auto"/>
            <w:tcBorders>
              <w:top w:val="nil"/>
              <w:left w:val="nil"/>
              <w:bottom w:val="single" w:sz="8" w:space="0" w:color="auto"/>
              <w:right w:val="single" w:sz="8" w:space="0" w:color="auto"/>
            </w:tcBorders>
            <w:shd w:val="clear" w:color="auto" w:fill="auto"/>
            <w:vAlign w:val="center"/>
            <w:hideMark/>
          </w:tcPr>
          <w:p w14:paraId="788BF31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5C3E1D4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EF839D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4</w:t>
            </w:r>
          </w:p>
        </w:tc>
        <w:tc>
          <w:tcPr>
            <w:tcW w:w="0" w:type="auto"/>
            <w:tcBorders>
              <w:top w:val="nil"/>
              <w:left w:val="nil"/>
              <w:bottom w:val="single" w:sz="8" w:space="0" w:color="auto"/>
              <w:right w:val="single" w:sz="8" w:space="0" w:color="auto"/>
            </w:tcBorders>
            <w:shd w:val="clear" w:color="auto" w:fill="auto"/>
            <w:vAlign w:val="center"/>
            <w:hideMark/>
          </w:tcPr>
          <w:p w14:paraId="13D0502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Packard </w:t>
            </w:r>
          </w:p>
        </w:tc>
        <w:tc>
          <w:tcPr>
            <w:tcW w:w="0" w:type="auto"/>
            <w:tcBorders>
              <w:top w:val="nil"/>
              <w:left w:val="nil"/>
              <w:bottom w:val="single" w:sz="8" w:space="0" w:color="auto"/>
              <w:right w:val="single" w:sz="8" w:space="0" w:color="auto"/>
            </w:tcBorders>
            <w:shd w:val="clear" w:color="auto" w:fill="auto"/>
            <w:vAlign w:val="center"/>
            <w:hideMark/>
          </w:tcPr>
          <w:p w14:paraId="399F36F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2C0B886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Packard </w:t>
            </w:r>
          </w:p>
        </w:tc>
        <w:tc>
          <w:tcPr>
            <w:tcW w:w="0" w:type="auto"/>
            <w:tcBorders>
              <w:top w:val="nil"/>
              <w:left w:val="nil"/>
              <w:bottom w:val="single" w:sz="8" w:space="0" w:color="auto"/>
              <w:right w:val="single" w:sz="8" w:space="0" w:color="auto"/>
            </w:tcBorders>
            <w:shd w:val="clear" w:color="auto" w:fill="auto"/>
            <w:vAlign w:val="center"/>
            <w:hideMark/>
          </w:tcPr>
          <w:p w14:paraId="517DA55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7FCF459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5F7137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WPN1 </w:t>
            </w:r>
          </w:p>
        </w:tc>
        <w:tc>
          <w:tcPr>
            <w:tcW w:w="0" w:type="auto"/>
            <w:tcBorders>
              <w:top w:val="nil"/>
              <w:left w:val="nil"/>
              <w:bottom w:val="single" w:sz="8" w:space="0" w:color="auto"/>
              <w:right w:val="single" w:sz="8" w:space="0" w:color="auto"/>
            </w:tcBorders>
            <w:shd w:val="clear" w:color="auto" w:fill="auto"/>
            <w:vAlign w:val="center"/>
            <w:hideMark/>
          </w:tcPr>
          <w:p w14:paraId="02B2F682"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Patnode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26A77BC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0244044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Willis </w:t>
            </w:r>
          </w:p>
        </w:tc>
        <w:tc>
          <w:tcPr>
            <w:tcW w:w="0" w:type="auto"/>
            <w:tcBorders>
              <w:top w:val="nil"/>
              <w:left w:val="nil"/>
              <w:bottom w:val="single" w:sz="8" w:space="0" w:color="auto"/>
              <w:right w:val="single" w:sz="8" w:space="0" w:color="auto"/>
            </w:tcBorders>
            <w:shd w:val="clear" w:color="auto" w:fill="auto"/>
            <w:vAlign w:val="center"/>
            <w:hideMark/>
          </w:tcPr>
          <w:p w14:paraId="066585E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19B0BF0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DAD8BA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15D4A16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Plattsburgh </w:t>
            </w:r>
          </w:p>
        </w:tc>
        <w:tc>
          <w:tcPr>
            <w:tcW w:w="0" w:type="auto"/>
            <w:tcBorders>
              <w:top w:val="nil"/>
              <w:left w:val="nil"/>
              <w:bottom w:val="single" w:sz="8" w:space="0" w:color="auto"/>
              <w:right w:val="single" w:sz="8" w:space="0" w:color="auto"/>
            </w:tcBorders>
            <w:shd w:val="clear" w:color="auto" w:fill="auto"/>
            <w:vAlign w:val="center"/>
            <w:hideMark/>
          </w:tcPr>
          <w:p w14:paraId="1940A45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5FEC7E3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Plattsburgh </w:t>
            </w:r>
          </w:p>
        </w:tc>
        <w:tc>
          <w:tcPr>
            <w:tcW w:w="0" w:type="auto"/>
            <w:tcBorders>
              <w:top w:val="nil"/>
              <w:left w:val="nil"/>
              <w:bottom w:val="single" w:sz="8" w:space="0" w:color="auto"/>
              <w:right w:val="single" w:sz="8" w:space="0" w:color="auto"/>
            </w:tcBorders>
            <w:shd w:val="clear" w:color="auto" w:fill="auto"/>
            <w:vAlign w:val="center"/>
            <w:hideMark/>
          </w:tcPr>
          <w:p w14:paraId="0EB3903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6CDB7F8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C9D9E6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4 </w:t>
            </w:r>
          </w:p>
        </w:tc>
        <w:tc>
          <w:tcPr>
            <w:tcW w:w="0" w:type="auto"/>
            <w:tcBorders>
              <w:top w:val="nil"/>
              <w:left w:val="nil"/>
              <w:bottom w:val="single" w:sz="8" w:space="0" w:color="auto"/>
              <w:right w:val="single" w:sz="8" w:space="0" w:color="auto"/>
            </w:tcBorders>
            <w:shd w:val="clear" w:color="auto" w:fill="auto"/>
            <w:vAlign w:val="center"/>
            <w:hideMark/>
          </w:tcPr>
          <w:p w14:paraId="35D3937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Plattsburgh </w:t>
            </w:r>
          </w:p>
        </w:tc>
        <w:tc>
          <w:tcPr>
            <w:tcW w:w="0" w:type="auto"/>
            <w:tcBorders>
              <w:top w:val="nil"/>
              <w:left w:val="nil"/>
              <w:bottom w:val="single" w:sz="8" w:space="0" w:color="auto"/>
              <w:right w:val="single" w:sz="8" w:space="0" w:color="auto"/>
            </w:tcBorders>
            <w:shd w:val="clear" w:color="auto" w:fill="auto"/>
            <w:vAlign w:val="center"/>
            <w:hideMark/>
          </w:tcPr>
          <w:p w14:paraId="10CDFEB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49B1D0A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Plattsburgh </w:t>
            </w:r>
          </w:p>
        </w:tc>
        <w:tc>
          <w:tcPr>
            <w:tcW w:w="0" w:type="auto"/>
            <w:tcBorders>
              <w:top w:val="nil"/>
              <w:left w:val="nil"/>
              <w:bottom w:val="single" w:sz="8" w:space="0" w:color="auto"/>
              <w:right w:val="single" w:sz="8" w:space="0" w:color="auto"/>
            </w:tcBorders>
            <w:shd w:val="clear" w:color="auto" w:fill="auto"/>
            <w:vAlign w:val="center"/>
            <w:hideMark/>
          </w:tcPr>
          <w:p w14:paraId="459E818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168DDB9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BB8C22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RYP-2 </w:t>
            </w:r>
          </w:p>
        </w:tc>
        <w:tc>
          <w:tcPr>
            <w:tcW w:w="0" w:type="auto"/>
            <w:tcBorders>
              <w:top w:val="nil"/>
              <w:left w:val="nil"/>
              <w:bottom w:val="single" w:sz="8" w:space="0" w:color="auto"/>
              <w:right w:val="single" w:sz="8" w:space="0" w:color="auto"/>
            </w:tcBorders>
            <w:shd w:val="clear" w:color="auto" w:fill="auto"/>
            <w:vAlign w:val="center"/>
            <w:hideMark/>
          </w:tcPr>
          <w:p w14:paraId="39FC1C2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Plattsburgh </w:t>
            </w:r>
          </w:p>
        </w:tc>
        <w:tc>
          <w:tcPr>
            <w:tcW w:w="0" w:type="auto"/>
            <w:tcBorders>
              <w:top w:val="nil"/>
              <w:left w:val="nil"/>
              <w:bottom w:val="single" w:sz="8" w:space="0" w:color="auto"/>
              <w:right w:val="single" w:sz="8" w:space="0" w:color="auto"/>
            </w:tcBorders>
            <w:shd w:val="clear" w:color="auto" w:fill="auto"/>
            <w:vAlign w:val="center"/>
            <w:hideMark/>
          </w:tcPr>
          <w:p w14:paraId="17D16F9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58B2E91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Ryan </w:t>
            </w:r>
          </w:p>
        </w:tc>
        <w:tc>
          <w:tcPr>
            <w:tcW w:w="0" w:type="auto"/>
            <w:tcBorders>
              <w:top w:val="nil"/>
              <w:left w:val="nil"/>
              <w:bottom w:val="single" w:sz="8" w:space="0" w:color="auto"/>
              <w:right w:val="single" w:sz="8" w:space="0" w:color="auto"/>
            </w:tcBorders>
            <w:shd w:val="clear" w:color="auto" w:fill="auto"/>
            <w:vAlign w:val="center"/>
            <w:hideMark/>
          </w:tcPr>
          <w:p w14:paraId="62A6080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79BEDB5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B2EFA4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30</w:t>
            </w:r>
          </w:p>
        </w:tc>
        <w:tc>
          <w:tcPr>
            <w:tcW w:w="0" w:type="auto"/>
            <w:tcBorders>
              <w:top w:val="nil"/>
              <w:left w:val="nil"/>
              <w:bottom w:val="single" w:sz="8" w:space="0" w:color="auto"/>
              <w:right w:val="single" w:sz="8" w:space="0" w:color="auto"/>
            </w:tcBorders>
            <w:shd w:val="clear" w:color="auto" w:fill="auto"/>
            <w:vAlign w:val="center"/>
            <w:hideMark/>
          </w:tcPr>
          <w:p w14:paraId="3444C41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Porter </w:t>
            </w:r>
          </w:p>
        </w:tc>
        <w:tc>
          <w:tcPr>
            <w:tcW w:w="0" w:type="auto"/>
            <w:tcBorders>
              <w:top w:val="nil"/>
              <w:left w:val="nil"/>
              <w:bottom w:val="single" w:sz="8" w:space="0" w:color="auto"/>
              <w:right w:val="single" w:sz="8" w:space="0" w:color="auto"/>
            </w:tcBorders>
            <w:shd w:val="clear" w:color="auto" w:fill="auto"/>
            <w:vAlign w:val="center"/>
            <w:hideMark/>
          </w:tcPr>
          <w:p w14:paraId="4D22C28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498E772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Rotterdam </w:t>
            </w:r>
          </w:p>
        </w:tc>
        <w:tc>
          <w:tcPr>
            <w:tcW w:w="0" w:type="auto"/>
            <w:tcBorders>
              <w:top w:val="nil"/>
              <w:left w:val="nil"/>
              <w:bottom w:val="single" w:sz="8" w:space="0" w:color="auto"/>
              <w:right w:val="single" w:sz="8" w:space="0" w:color="auto"/>
            </w:tcBorders>
            <w:shd w:val="clear" w:color="auto" w:fill="auto"/>
            <w:vAlign w:val="center"/>
            <w:hideMark/>
          </w:tcPr>
          <w:p w14:paraId="797E34D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7F282019"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9F2CAA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31</w:t>
            </w:r>
          </w:p>
        </w:tc>
        <w:tc>
          <w:tcPr>
            <w:tcW w:w="0" w:type="auto"/>
            <w:tcBorders>
              <w:top w:val="nil"/>
              <w:left w:val="nil"/>
              <w:bottom w:val="single" w:sz="8" w:space="0" w:color="auto"/>
              <w:right w:val="single" w:sz="8" w:space="0" w:color="auto"/>
            </w:tcBorders>
            <w:shd w:val="clear" w:color="auto" w:fill="auto"/>
            <w:vAlign w:val="center"/>
            <w:hideMark/>
          </w:tcPr>
          <w:p w14:paraId="6255BF0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Porter </w:t>
            </w:r>
          </w:p>
        </w:tc>
        <w:tc>
          <w:tcPr>
            <w:tcW w:w="0" w:type="auto"/>
            <w:tcBorders>
              <w:top w:val="nil"/>
              <w:left w:val="nil"/>
              <w:bottom w:val="single" w:sz="8" w:space="0" w:color="auto"/>
              <w:right w:val="single" w:sz="8" w:space="0" w:color="auto"/>
            </w:tcBorders>
            <w:shd w:val="clear" w:color="auto" w:fill="auto"/>
            <w:vAlign w:val="center"/>
            <w:hideMark/>
          </w:tcPr>
          <w:p w14:paraId="0E8EAFF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1301353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Rotterdam </w:t>
            </w:r>
          </w:p>
        </w:tc>
        <w:tc>
          <w:tcPr>
            <w:tcW w:w="0" w:type="auto"/>
            <w:tcBorders>
              <w:top w:val="nil"/>
              <w:left w:val="nil"/>
              <w:bottom w:val="single" w:sz="8" w:space="0" w:color="auto"/>
              <w:right w:val="single" w:sz="8" w:space="0" w:color="auto"/>
            </w:tcBorders>
            <w:shd w:val="clear" w:color="auto" w:fill="auto"/>
            <w:vAlign w:val="center"/>
            <w:hideMark/>
          </w:tcPr>
          <w:p w14:paraId="3063C92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0A48D05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1645DD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4271A7A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Porter </w:t>
            </w:r>
          </w:p>
        </w:tc>
        <w:tc>
          <w:tcPr>
            <w:tcW w:w="0" w:type="auto"/>
            <w:tcBorders>
              <w:top w:val="nil"/>
              <w:left w:val="nil"/>
              <w:bottom w:val="single" w:sz="8" w:space="0" w:color="auto"/>
              <w:right w:val="single" w:sz="8" w:space="0" w:color="auto"/>
            </w:tcBorders>
            <w:shd w:val="clear" w:color="auto" w:fill="auto"/>
            <w:vAlign w:val="center"/>
            <w:hideMark/>
          </w:tcPr>
          <w:p w14:paraId="1D39664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3E152C2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Porter </w:t>
            </w:r>
          </w:p>
        </w:tc>
        <w:tc>
          <w:tcPr>
            <w:tcW w:w="0" w:type="auto"/>
            <w:tcBorders>
              <w:top w:val="nil"/>
              <w:left w:val="nil"/>
              <w:bottom w:val="single" w:sz="8" w:space="0" w:color="auto"/>
              <w:right w:val="single" w:sz="8" w:space="0" w:color="auto"/>
            </w:tcBorders>
            <w:shd w:val="clear" w:color="auto" w:fill="auto"/>
            <w:vAlign w:val="center"/>
            <w:hideMark/>
          </w:tcPr>
          <w:p w14:paraId="4D4C7C4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126AAAE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66E637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2 </w:t>
            </w:r>
          </w:p>
        </w:tc>
        <w:tc>
          <w:tcPr>
            <w:tcW w:w="0" w:type="auto"/>
            <w:tcBorders>
              <w:top w:val="nil"/>
              <w:left w:val="nil"/>
              <w:bottom w:val="single" w:sz="8" w:space="0" w:color="auto"/>
              <w:right w:val="single" w:sz="8" w:space="0" w:color="auto"/>
            </w:tcBorders>
            <w:shd w:val="clear" w:color="auto" w:fill="auto"/>
            <w:vAlign w:val="center"/>
            <w:hideMark/>
          </w:tcPr>
          <w:p w14:paraId="73E9AFD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Porter </w:t>
            </w:r>
          </w:p>
        </w:tc>
        <w:tc>
          <w:tcPr>
            <w:tcW w:w="0" w:type="auto"/>
            <w:tcBorders>
              <w:top w:val="nil"/>
              <w:left w:val="nil"/>
              <w:bottom w:val="single" w:sz="8" w:space="0" w:color="auto"/>
              <w:right w:val="single" w:sz="8" w:space="0" w:color="auto"/>
            </w:tcBorders>
            <w:shd w:val="clear" w:color="auto" w:fill="auto"/>
            <w:vAlign w:val="center"/>
            <w:hideMark/>
          </w:tcPr>
          <w:p w14:paraId="670C3B2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5B47064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Porter </w:t>
            </w:r>
          </w:p>
        </w:tc>
        <w:tc>
          <w:tcPr>
            <w:tcW w:w="0" w:type="auto"/>
            <w:tcBorders>
              <w:top w:val="nil"/>
              <w:left w:val="nil"/>
              <w:bottom w:val="single" w:sz="8" w:space="0" w:color="auto"/>
              <w:right w:val="single" w:sz="8" w:space="0" w:color="auto"/>
            </w:tcBorders>
            <w:shd w:val="clear" w:color="auto" w:fill="auto"/>
            <w:vAlign w:val="center"/>
            <w:hideMark/>
          </w:tcPr>
          <w:p w14:paraId="4EC90FA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6F1C040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12A1D1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65</w:t>
            </w:r>
          </w:p>
        </w:tc>
        <w:tc>
          <w:tcPr>
            <w:tcW w:w="0" w:type="auto"/>
            <w:tcBorders>
              <w:top w:val="nil"/>
              <w:left w:val="nil"/>
              <w:bottom w:val="single" w:sz="8" w:space="0" w:color="auto"/>
              <w:right w:val="single" w:sz="8" w:space="0" w:color="auto"/>
            </w:tcBorders>
            <w:shd w:val="clear" w:color="auto" w:fill="auto"/>
            <w:vAlign w:val="center"/>
            <w:hideMark/>
          </w:tcPr>
          <w:p w14:paraId="67AB647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Robinson Road </w:t>
            </w:r>
          </w:p>
        </w:tc>
        <w:tc>
          <w:tcPr>
            <w:tcW w:w="0" w:type="auto"/>
            <w:tcBorders>
              <w:top w:val="nil"/>
              <w:left w:val="nil"/>
              <w:bottom w:val="single" w:sz="8" w:space="0" w:color="auto"/>
              <w:right w:val="single" w:sz="8" w:space="0" w:color="auto"/>
            </w:tcBorders>
            <w:shd w:val="clear" w:color="auto" w:fill="auto"/>
            <w:vAlign w:val="center"/>
            <w:hideMark/>
          </w:tcPr>
          <w:p w14:paraId="3539B99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0290BA1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Stolle Road </w:t>
            </w:r>
          </w:p>
        </w:tc>
        <w:tc>
          <w:tcPr>
            <w:tcW w:w="0" w:type="auto"/>
            <w:tcBorders>
              <w:top w:val="nil"/>
              <w:left w:val="nil"/>
              <w:bottom w:val="single" w:sz="8" w:space="0" w:color="auto"/>
              <w:right w:val="single" w:sz="8" w:space="0" w:color="auto"/>
            </w:tcBorders>
            <w:shd w:val="clear" w:color="auto" w:fill="auto"/>
            <w:vAlign w:val="center"/>
            <w:hideMark/>
          </w:tcPr>
          <w:p w14:paraId="053F794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3300D07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0D3D86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7A21BDC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Robinson Road </w:t>
            </w:r>
          </w:p>
        </w:tc>
        <w:tc>
          <w:tcPr>
            <w:tcW w:w="0" w:type="auto"/>
            <w:tcBorders>
              <w:top w:val="nil"/>
              <w:left w:val="nil"/>
              <w:bottom w:val="single" w:sz="8" w:space="0" w:color="auto"/>
              <w:right w:val="single" w:sz="8" w:space="0" w:color="auto"/>
            </w:tcBorders>
            <w:shd w:val="clear" w:color="auto" w:fill="auto"/>
            <w:vAlign w:val="center"/>
            <w:hideMark/>
          </w:tcPr>
          <w:p w14:paraId="7B7B989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4F99FCB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Robinson Road </w:t>
            </w:r>
          </w:p>
        </w:tc>
        <w:tc>
          <w:tcPr>
            <w:tcW w:w="0" w:type="auto"/>
            <w:tcBorders>
              <w:top w:val="nil"/>
              <w:left w:val="nil"/>
              <w:bottom w:val="single" w:sz="8" w:space="0" w:color="auto"/>
              <w:right w:val="single" w:sz="8" w:space="0" w:color="auto"/>
            </w:tcBorders>
            <w:shd w:val="clear" w:color="auto" w:fill="auto"/>
            <w:vAlign w:val="center"/>
            <w:hideMark/>
          </w:tcPr>
          <w:p w14:paraId="618128A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115/34.5 </w:t>
            </w:r>
          </w:p>
        </w:tc>
      </w:tr>
      <w:tr w:rsidR="00FF49F1" w:rsidRPr="00FF49F1" w14:paraId="1A394D7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14ABB4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WRY-2 </w:t>
            </w:r>
          </w:p>
        </w:tc>
        <w:tc>
          <w:tcPr>
            <w:tcW w:w="0" w:type="auto"/>
            <w:tcBorders>
              <w:top w:val="nil"/>
              <w:left w:val="nil"/>
              <w:bottom w:val="single" w:sz="8" w:space="0" w:color="auto"/>
              <w:right w:val="single" w:sz="8" w:space="0" w:color="auto"/>
            </w:tcBorders>
            <w:shd w:val="clear" w:color="auto" w:fill="auto"/>
            <w:vAlign w:val="center"/>
            <w:hideMark/>
          </w:tcPr>
          <w:p w14:paraId="6B0050C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Ryan </w:t>
            </w:r>
          </w:p>
        </w:tc>
        <w:tc>
          <w:tcPr>
            <w:tcW w:w="0" w:type="auto"/>
            <w:tcBorders>
              <w:top w:val="nil"/>
              <w:left w:val="nil"/>
              <w:bottom w:val="single" w:sz="8" w:space="0" w:color="auto"/>
              <w:right w:val="single" w:sz="8" w:space="0" w:color="auto"/>
            </w:tcBorders>
            <w:shd w:val="clear" w:color="auto" w:fill="auto"/>
            <w:vAlign w:val="center"/>
            <w:hideMark/>
          </w:tcPr>
          <w:p w14:paraId="06282AB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4DFBF73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Willis </w:t>
            </w:r>
          </w:p>
        </w:tc>
        <w:tc>
          <w:tcPr>
            <w:tcW w:w="0" w:type="auto"/>
            <w:tcBorders>
              <w:top w:val="nil"/>
              <w:left w:val="nil"/>
              <w:bottom w:val="single" w:sz="8" w:space="0" w:color="auto"/>
              <w:right w:val="single" w:sz="8" w:space="0" w:color="auto"/>
            </w:tcBorders>
            <w:shd w:val="clear" w:color="auto" w:fill="auto"/>
            <w:vAlign w:val="center"/>
            <w:hideMark/>
          </w:tcPr>
          <w:p w14:paraId="5647C40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5FD334C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35CA14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83</w:t>
            </w:r>
          </w:p>
        </w:tc>
        <w:tc>
          <w:tcPr>
            <w:tcW w:w="0" w:type="auto"/>
            <w:tcBorders>
              <w:top w:val="nil"/>
              <w:left w:val="nil"/>
              <w:bottom w:val="single" w:sz="8" w:space="0" w:color="auto"/>
              <w:right w:val="single" w:sz="8" w:space="0" w:color="auto"/>
            </w:tcBorders>
            <w:shd w:val="clear" w:color="auto" w:fill="auto"/>
            <w:vAlign w:val="center"/>
            <w:hideMark/>
          </w:tcPr>
          <w:p w14:paraId="33A4B1C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Stony Creek </w:t>
            </w:r>
          </w:p>
        </w:tc>
        <w:tc>
          <w:tcPr>
            <w:tcW w:w="0" w:type="auto"/>
            <w:tcBorders>
              <w:top w:val="nil"/>
              <w:left w:val="nil"/>
              <w:bottom w:val="single" w:sz="8" w:space="0" w:color="auto"/>
              <w:right w:val="single" w:sz="8" w:space="0" w:color="auto"/>
            </w:tcBorders>
            <w:shd w:val="clear" w:color="auto" w:fill="auto"/>
            <w:vAlign w:val="center"/>
            <w:hideMark/>
          </w:tcPr>
          <w:p w14:paraId="50442E7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c>
          <w:tcPr>
            <w:tcW w:w="0" w:type="auto"/>
            <w:tcBorders>
              <w:top w:val="nil"/>
              <w:left w:val="nil"/>
              <w:bottom w:val="single" w:sz="8" w:space="0" w:color="auto"/>
              <w:right w:val="single" w:sz="8" w:space="0" w:color="auto"/>
            </w:tcBorders>
            <w:shd w:val="clear" w:color="auto" w:fill="auto"/>
            <w:vAlign w:val="center"/>
            <w:hideMark/>
          </w:tcPr>
          <w:p w14:paraId="62B6DCD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Wethersfield </w:t>
            </w:r>
          </w:p>
        </w:tc>
        <w:tc>
          <w:tcPr>
            <w:tcW w:w="0" w:type="auto"/>
            <w:tcBorders>
              <w:top w:val="nil"/>
              <w:left w:val="nil"/>
              <w:bottom w:val="single" w:sz="8" w:space="0" w:color="auto"/>
              <w:right w:val="single" w:sz="8" w:space="0" w:color="auto"/>
            </w:tcBorders>
            <w:shd w:val="clear" w:color="auto" w:fill="auto"/>
            <w:vAlign w:val="center"/>
            <w:hideMark/>
          </w:tcPr>
          <w:p w14:paraId="1C43605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230</w:t>
            </w:r>
          </w:p>
        </w:tc>
      </w:tr>
      <w:tr w:rsidR="00FF49F1" w:rsidRPr="00FF49F1" w14:paraId="0E32984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49CB45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1 </w:t>
            </w:r>
          </w:p>
        </w:tc>
        <w:tc>
          <w:tcPr>
            <w:tcW w:w="0" w:type="auto"/>
            <w:tcBorders>
              <w:top w:val="nil"/>
              <w:left w:val="nil"/>
              <w:bottom w:val="single" w:sz="8" w:space="0" w:color="auto"/>
              <w:right w:val="single" w:sz="8" w:space="0" w:color="auto"/>
            </w:tcBorders>
            <w:shd w:val="clear" w:color="auto" w:fill="auto"/>
            <w:vAlign w:val="center"/>
            <w:hideMark/>
          </w:tcPr>
          <w:p w14:paraId="4ABE9B8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Academy 1 </w:t>
            </w:r>
          </w:p>
        </w:tc>
        <w:tc>
          <w:tcPr>
            <w:tcW w:w="0" w:type="auto"/>
            <w:tcBorders>
              <w:top w:val="nil"/>
              <w:left w:val="nil"/>
              <w:bottom w:val="single" w:sz="8" w:space="0" w:color="auto"/>
              <w:right w:val="single" w:sz="8" w:space="0" w:color="auto"/>
            </w:tcBorders>
            <w:shd w:val="clear" w:color="auto" w:fill="auto"/>
            <w:vAlign w:val="center"/>
            <w:hideMark/>
          </w:tcPr>
          <w:p w14:paraId="0D629AC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1AD7EE3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Academy 1 </w:t>
            </w:r>
          </w:p>
        </w:tc>
        <w:tc>
          <w:tcPr>
            <w:tcW w:w="0" w:type="auto"/>
            <w:tcBorders>
              <w:top w:val="nil"/>
              <w:left w:val="nil"/>
              <w:bottom w:val="single" w:sz="8" w:space="0" w:color="auto"/>
              <w:right w:val="single" w:sz="8" w:space="0" w:color="auto"/>
            </w:tcBorders>
            <w:shd w:val="clear" w:color="auto" w:fill="auto"/>
            <w:vAlign w:val="center"/>
            <w:hideMark/>
          </w:tcPr>
          <w:p w14:paraId="68D9FFA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16060E4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609462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8 </w:t>
            </w:r>
          </w:p>
        </w:tc>
        <w:tc>
          <w:tcPr>
            <w:tcW w:w="0" w:type="auto"/>
            <w:tcBorders>
              <w:top w:val="nil"/>
              <w:left w:val="nil"/>
              <w:bottom w:val="single" w:sz="8" w:space="0" w:color="auto"/>
              <w:right w:val="single" w:sz="8" w:space="0" w:color="auto"/>
            </w:tcBorders>
            <w:shd w:val="clear" w:color="auto" w:fill="auto"/>
            <w:vAlign w:val="center"/>
            <w:hideMark/>
          </w:tcPr>
          <w:p w14:paraId="6CD5C00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Academy 8 </w:t>
            </w:r>
          </w:p>
        </w:tc>
        <w:tc>
          <w:tcPr>
            <w:tcW w:w="0" w:type="auto"/>
            <w:tcBorders>
              <w:top w:val="nil"/>
              <w:left w:val="nil"/>
              <w:bottom w:val="single" w:sz="8" w:space="0" w:color="auto"/>
              <w:right w:val="single" w:sz="8" w:space="0" w:color="auto"/>
            </w:tcBorders>
            <w:shd w:val="clear" w:color="auto" w:fill="auto"/>
            <w:vAlign w:val="center"/>
            <w:hideMark/>
          </w:tcPr>
          <w:p w14:paraId="5F35AA2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28CDAF0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Academy 8 </w:t>
            </w:r>
          </w:p>
        </w:tc>
        <w:tc>
          <w:tcPr>
            <w:tcW w:w="0" w:type="auto"/>
            <w:tcBorders>
              <w:top w:val="nil"/>
              <w:left w:val="nil"/>
              <w:bottom w:val="single" w:sz="8" w:space="0" w:color="auto"/>
              <w:right w:val="single" w:sz="8" w:space="0" w:color="auto"/>
            </w:tcBorders>
            <w:shd w:val="clear" w:color="auto" w:fill="auto"/>
            <w:vAlign w:val="center"/>
            <w:hideMark/>
          </w:tcPr>
          <w:p w14:paraId="75C15C7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6966838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15EEF8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34124L&amp;M </w:t>
            </w:r>
          </w:p>
        </w:tc>
        <w:tc>
          <w:tcPr>
            <w:tcW w:w="0" w:type="auto"/>
            <w:tcBorders>
              <w:top w:val="nil"/>
              <w:left w:val="nil"/>
              <w:bottom w:val="single" w:sz="8" w:space="0" w:color="auto"/>
              <w:right w:val="single" w:sz="8" w:space="0" w:color="auto"/>
            </w:tcBorders>
            <w:shd w:val="clear" w:color="auto" w:fill="auto"/>
            <w:vAlign w:val="center"/>
            <w:hideMark/>
          </w:tcPr>
          <w:p w14:paraId="3216A0F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Astoria E </w:t>
            </w:r>
          </w:p>
        </w:tc>
        <w:tc>
          <w:tcPr>
            <w:tcW w:w="0" w:type="auto"/>
            <w:tcBorders>
              <w:top w:val="nil"/>
              <w:left w:val="nil"/>
              <w:bottom w:val="single" w:sz="8" w:space="0" w:color="auto"/>
              <w:right w:val="single" w:sz="8" w:space="0" w:color="auto"/>
            </w:tcBorders>
            <w:shd w:val="clear" w:color="auto" w:fill="auto"/>
            <w:vAlign w:val="center"/>
            <w:hideMark/>
          </w:tcPr>
          <w:p w14:paraId="292A2F0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525AD1D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Astoria #4 </w:t>
            </w:r>
          </w:p>
        </w:tc>
        <w:tc>
          <w:tcPr>
            <w:tcW w:w="0" w:type="auto"/>
            <w:tcBorders>
              <w:top w:val="nil"/>
              <w:left w:val="nil"/>
              <w:bottom w:val="single" w:sz="8" w:space="0" w:color="auto"/>
              <w:right w:val="single" w:sz="8" w:space="0" w:color="auto"/>
            </w:tcBorders>
            <w:shd w:val="clear" w:color="auto" w:fill="auto"/>
            <w:vAlign w:val="center"/>
            <w:hideMark/>
          </w:tcPr>
          <w:p w14:paraId="0131AA7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CFDE03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CD0D77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34125L&amp;M </w:t>
            </w:r>
          </w:p>
        </w:tc>
        <w:tc>
          <w:tcPr>
            <w:tcW w:w="0" w:type="auto"/>
            <w:tcBorders>
              <w:top w:val="nil"/>
              <w:left w:val="nil"/>
              <w:bottom w:val="single" w:sz="8" w:space="0" w:color="auto"/>
              <w:right w:val="single" w:sz="8" w:space="0" w:color="auto"/>
            </w:tcBorders>
            <w:shd w:val="clear" w:color="auto" w:fill="auto"/>
            <w:vAlign w:val="center"/>
            <w:hideMark/>
          </w:tcPr>
          <w:p w14:paraId="12E7CEF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Astoria E </w:t>
            </w:r>
          </w:p>
        </w:tc>
        <w:tc>
          <w:tcPr>
            <w:tcW w:w="0" w:type="auto"/>
            <w:tcBorders>
              <w:top w:val="nil"/>
              <w:left w:val="nil"/>
              <w:bottom w:val="single" w:sz="8" w:space="0" w:color="auto"/>
              <w:right w:val="single" w:sz="8" w:space="0" w:color="auto"/>
            </w:tcBorders>
            <w:shd w:val="clear" w:color="auto" w:fill="auto"/>
            <w:vAlign w:val="center"/>
            <w:hideMark/>
          </w:tcPr>
          <w:p w14:paraId="61FBE3E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1762C64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Astoria #5 </w:t>
            </w:r>
          </w:p>
        </w:tc>
        <w:tc>
          <w:tcPr>
            <w:tcW w:w="0" w:type="auto"/>
            <w:tcBorders>
              <w:top w:val="nil"/>
              <w:left w:val="nil"/>
              <w:bottom w:val="single" w:sz="8" w:space="0" w:color="auto"/>
              <w:right w:val="single" w:sz="8" w:space="0" w:color="auto"/>
            </w:tcBorders>
            <w:shd w:val="clear" w:color="auto" w:fill="auto"/>
            <w:vAlign w:val="center"/>
            <w:hideMark/>
          </w:tcPr>
          <w:p w14:paraId="435E1FF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64EE27C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29047E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24121</w:t>
            </w:r>
          </w:p>
        </w:tc>
        <w:tc>
          <w:tcPr>
            <w:tcW w:w="0" w:type="auto"/>
            <w:tcBorders>
              <w:top w:val="nil"/>
              <w:left w:val="nil"/>
              <w:bottom w:val="single" w:sz="8" w:space="0" w:color="auto"/>
              <w:right w:val="single" w:sz="8" w:space="0" w:color="auto"/>
            </w:tcBorders>
            <w:shd w:val="clear" w:color="auto" w:fill="auto"/>
            <w:vAlign w:val="center"/>
            <w:hideMark/>
          </w:tcPr>
          <w:p w14:paraId="7422FDD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Astoria W </w:t>
            </w:r>
          </w:p>
        </w:tc>
        <w:tc>
          <w:tcPr>
            <w:tcW w:w="0" w:type="auto"/>
            <w:tcBorders>
              <w:top w:val="nil"/>
              <w:left w:val="nil"/>
              <w:bottom w:val="single" w:sz="8" w:space="0" w:color="auto"/>
              <w:right w:val="single" w:sz="8" w:space="0" w:color="auto"/>
            </w:tcBorders>
            <w:shd w:val="clear" w:color="auto" w:fill="auto"/>
            <w:vAlign w:val="center"/>
            <w:hideMark/>
          </w:tcPr>
          <w:p w14:paraId="7D70552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597EBCD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Astoria #3 </w:t>
            </w:r>
          </w:p>
        </w:tc>
        <w:tc>
          <w:tcPr>
            <w:tcW w:w="0" w:type="auto"/>
            <w:tcBorders>
              <w:top w:val="nil"/>
              <w:left w:val="nil"/>
              <w:bottom w:val="single" w:sz="8" w:space="0" w:color="auto"/>
              <w:right w:val="single" w:sz="8" w:space="0" w:color="auto"/>
            </w:tcBorders>
            <w:shd w:val="clear" w:color="auto" w:fill="auto"/>
            <w:vAlign w:val="center"/>
            <w:hideMark/>
          </w:tcPr>
          <w:p w14:paraId="6E20371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2F41B6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F79B10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24122</w:t>
            </w:r>
          </w:p>
        </w:tc>
        <w:tc>
          <w:tcPr>
            <w:tcW w:w="0" w:type="auto"/>
            <w:tcBorders>
              <w:top w:val="nil"/>
              <w:left w:val="nil"/>
              <w:bottom w:val="single" w:sz="8" w:space="0" w:color="auto"/>
              <w:right w:val="single" w:sz="8" w:space="0" w:color="auto"/>
            </w:tcBorders>
            <w:shd w:val="clear" w:color="auto" w:fill="auto"/>
            <w:vAlign w:val="center"/>
            <w:hideMark/>
          </w:tcPr>
          <w:p w14:paraId="1A890CF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Astoria W </w:t>
            </w:r>
          </w:p>
        </w:tc>
        <w:tc>
          <w:tcPr>
            <w:tcW w:w="0" w:type="auto"/>
            <w:tcBorders>
              <w:top w:val="nil"/>
              <w:left w:val="nil"/>
              <w:bottom w:val="single" w:sz="8" w:space="0" w:color="auto"/>
              <w:right w:val="single" w:sz="8" w:space="0" w:color="auto"/>
            </w:tcBorders>
            <w:shd w:val="clear" w:color="auto" w:fill="auto"/>
            <w:vAlign w:val="center"/>
            <w:hideMark/>
          </w:tcPr>
          <w:p w14:paraId="16C26A9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3B810CE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Astoria #3 </w:t>
            </w:r>
          </w:p>
        </w:tc>
        <w:tc>
          <w:tcPr>
            <w:tcW w:w="0" w:type="auto"/>
            <w:tcBorders>
              <w:top w:val="nil"/>
              <w:left w:val="nil"/>
              <w:bottom w:val="single" w:sz="8" w:space="0" w:color="auto"/>
              <w:right w:val="single" w:sz="8" w:space="0" w:color="auto"/>
            </w:tcBorders>
            <w:shd w:val="clear" w:color="auto" w:fill="auto"/>
            <w:vAlign w:val="center"/>
            <w:hideMark/>
          </w:tcPr>
          <w:p w14:paraId="60D9147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717E362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9CC6BB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24124L&amp;M </w:t>
            </w:r>
          </w:p>
        </w:tc>
        <w:tc>
          <w:tcPr>
            <w:tcW w:w="0" w:type="auto"/>
            <w:tcBorders>
              <w:top w:val="nil"/>
              <w:left w:val="nil"/>
              <w:bottom w:val="single" w:sz="8" w:space="0" w:color="auto"/>
              <w:right w:val="single" w:sz="8" w:space="0" w:color="auto"/>
            </w:tcBorders>
            <w:shd w:val="clear" w:color="auto" w:fill="auto"/>
            <w:vAlign w:val="center"/>
            <w:hideMark/>
          </w:tcPr>
          <w:p w14:paraId="624D9D9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Astoria W </w:t>
            </w:r>
          </w:p>
        </w:tc>
        <w:tc>
          <w:tcPr>
            <w:tcW w:w="0" w:type="auto"/>
            <w:tcBorders>
              <w:top w:val="nil"/>
              <w:left w:val="nil"/>
              <w:bottom w:val="single" w:sz="8" w:space="0" w:color="auto"/>
              <w:right w:val="single" w:sz="8" w:space="0" w:color="auto"/>
            </w:tcBorders>
            <w:shd w:val="clear" w:color="auto" w:fill="auto"/>
            <w:vAlign w:val="center"/>
            <w:hideMark/>
          </w:tcPr>
          <w:p w14:paraId="56A333E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4E0ABF1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Astoria #4 </w:t>
            </w:r>
          </w:p>
        </w:tc>
        <w:tc>
          <w:tcPr>
            <w:tcW w:w="0" w:type="auto"/>
            <w:tcBorders>
              <w:top w:val="nil"/>
              <w:left w:val="nil"/>
              <w:bottom w:val="single" w:sz="8" w:space="0" w:color="auto"/>
              <w:right w:val="single" w:sz="8" w:space="0" w:color="auto"/>
            </w:tcBorders>
            <w:shd w:val="clear" w:color="auto" w:fill="auto"/>
            <w:vAlign w:val="center"/>
            <w:hideMark/>
          </w:tcPr>
          <w:p w14:paraId="0D50D81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2295B0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1EF790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24125L&amp;M </w:t>
            </w:r>
          </w:p>
        </w:tc>
        <w:tc>
          <w:tcPr>
            <w:tcW w:w="0" w:type="auto"/>
            <w:tcBorders>
              <w:top w:val="nil"/>
              <w:left w:val="nil"/>
              <w:bottom w:val="single" w:sz="8" w:space="0" w:color="auto"/>
              <w:right w:val="single" w:sz="8" w:space="0" w:color="auto"/>
            </w:tcBorders>
            <w:shd w:val="clear" w:color="auto" w:fill="auto"/>
            <w:vAlign w:val="center"/>
            <w:hideMark/>
          </w:tcPr>
          <w:p w14:paraId="2B03419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Astoria W </w:t>
            </w:r>
          </w:p>
        </w:tc>
        <w:tc>
          <w:tcPr>
            <w:tcW w:w="0" w:type="auto"/>
            <w:tcBorders>
              <w:top w:val="nil"/>
              <w:left w:val="nil"/>
              <w:bottom w:val="single" w:sz="8" w:space="0" w:color="auto"/>
              <w:right w:val="single" w:sz="8" w:space="0" w:color="auto"/>
            </w:tcBorders>
            <w:shd w:val="clear" w:color="auto" w:fill="auto"/>
            <w:vAlign w:val="center"/>
            <w:hideMark/>
          </w:tcPr>
          <w:p w14:paraId="36F7DFE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5E5459A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Astoria #5 </w:t>
            </w:r>
          </w:p>
        </w:tc>
        <w:tc>
          <w:tcPr>
            <w:tcW w:w="0" w:type="auto"/>
            <w:tcBorders>
              <w:top w:val="nil"/>
              <w:left w:val="nil"/>
              <w:bottom w:val="single" w:sz="8" w:space="0" w:color="auto"/>
              <w:right w:val="single" w:sz="8" w:space="0" w:color="auto"/>
            </w:tcBorders>
            <w:shd w:val="clear" w:color="auto" w:fill="auto"/>
            <w:vAlign w:val="center"/>
            <w:hideMark/>
          </w:tcPr>
          <w:p w14:paraId="6501691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16B6F9D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795831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563</w:t>
            </w:r>
          </w:p>
        </w:tc>
        <w:tc>
          <w:tcPr>
            <w:tcW w:w="0" w:type="auto"/>
            <w:tcBorders>
              <w:top w:val="nil"/>
              <w:left w:val="nil"/>
              <w:bottom w:val="single" w:sz="8" w:space="0" w:color="auto"/>
              <w:right w:val="single" w:sz="8" w:space="0" w:color="auto"/>
            </w:tcBorders>
            <w:shd w:val="clear" w:color="auto" w:fill="auto"/>
            <w:vAlign w:val="center"/>
            <w:hideMark/>
          </w:tcPr>
          <w:p w14:paraId="0DD3E78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Bagatelle Rd. </w:t>
            </w:r>
          </w:p>
        </w:tc>
        <w:tc>
          <w:tcPr>
            <w:tcW w:w="0" w:type="auto"/>
            <w:tcBorders>
              <w:top w:val="nil"/>
              <w:left w:val="nil"/>
              <w:bottom w:val="single" w:sz="8" w:space="0" w:color="auto"/>
              <w:right w:val="single" w:sz="8" w:space="0" w:color="auto"/>
            </w:tcBorders>
            <w:shd w:val="clear" w:color="auto" w:fill="auto"/>
            <w:vAlign w:val="center"/>
            <w:hideMark/>
          </w:tcPr>
          <w:p w14:paraId="1564DC8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596DED9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Newbridge Road </w:t>
            </w:r>
          </w:p>
        </w:tc>
        <w:tc>
          <w:tcPr>
            <w:tcW w:w="0" w:type="auto"/>
            <w:tcBorders>
              <w:top w:val="nil"/>
              <w:left w:val="nil"/>
              <w:bottom w:val="single" w:sz="8" w:space="0" w:color="auto"/>
              <w:right w:val="single" w:sz="8" w:space="0" w:color="auto"/>
            </w:tcBorders>
            <w:shd w:val="clear" w:color="auto" w:fill="auto"/>
            <w:vAlign w:val="center"/>
            <w:hideMark/>
          </w:tcPr>
          <w:p w14:paraId="6941A72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41E4C0B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49B38B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564</w:t>
            </w:r>
          </w:p>
        </w:tc>
        <w:tc>
          <w:tcPr>
            <w:tcW w:w="0" w:type="auto"/>
            <w:tcBorders>
              <w:top w:val="nil"/>
              <w:left w:val="nil"/>
              <w:bottom w:val="single" w:sz="8" w:space="0" w:color="auto"/>
              <w:right w:val="single" w:sz="8" w:space="0" w:color="auto"/>
            </w:tcBorders>
            <w:shd w:val="clear" w:color="auto" w:fill="auto"/>
            <w:vAlign w:val="center"/>
            <w:hideMark/>
          </w:tcPr>
          <w:p w14:paraId="51DBCA9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Bagatelle Rd. </w:t>
            </w:r>
          </w:p>
        </w:tc>
        <w:tc>
          <w:tcPr>
            <w:tcW w:w="0" w:type="auto"/>
            <w:tcBorders>
              <w:top w:val="nil"/>
              <w:left w:val="nil"/>
              <w:bottom w:val="single" w:sz="8" w:space="0" w:color="auto"/>
              <w:right w:val="single" w:sz="8" w:space="0" w:color="auto"/>
            </w:tcBorders>
            <w:shd w:val="clear" w:color="auto" w:fill="auto"/>
            <w:vAlign w:val="center"/>
            <w:hideMark/>
          </w:tcPr>
          <w:p w14:paraId="77F8550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0CE2DAA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Pilgrim </w:t>
            </w:r>
          </w:p>
        </w:tc>
        <w:tc>
          <w:tcPr>
            <w:tcW w:w="0" w:type="auto"/>
            <w:tcBorders>
              <w:top w:val="nil"/>
              <w:left w:val="nil"/>
              <w:bottom w:val="single" w:sz="8" w:space="0" w:color="auto"/>
              <w:right w:val="single" w:sz="8" w:space="0" w:color="auto"/>
            </w:tcBorders>
            <w:shd w:val="clear" w:color="auto" w:fill="auto"/>
            <w:vAlign w:val="center"/>
            <w:hideMark/>
          </w:tcPr>
          <w:p w14:paraId="75EA8B0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1C9EB16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FC234C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291</w:t>
            </w:r>
          </w:p>
        </w:tc>
        <w:tc>
          <w:tcPr>
            <w:tcW w:w="0" w:type="auto"/>
            <w:tcBorders>
              <w:top w:val="nil"/>
              <w:left w:val="nil"/>
              <w:bottom w:val="single" w:sz="8" w:space="0" w:color="auto"/>
              <w:right w:val="single" w:sz="8" w:space="0" w:color="auto"/>
            </w:tcBorders>
            <w:shd w:val="clear" w:color="auto" w:fill="auto"/>
            <w:vAlign w:val="center"/>
            <w:hideMark/>
          </w:tcPr>
          <w:p w14:paraId="586F794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Barrett </w:t>
            </w:r>
          </w:p>
        </w:tc>
        <w:tc>
          <w:tcPr>
            <w:tcW w:w="0" w:type="auto"/>
            <w:tcBorders>
              <w:top w:val="nil"/>
              <w:left w:val="nil"/>
              <w:bottom w:val="single" w:sz="8" w:space="0" w:color="auto"/>
              <w:right w:val="single" w:sz="8" w:space="0" w:color="auto"/>
            </w:tcBorders>
            <w:shd w:val="clear" w:color="auto" w:fill="auto"/>
            <w:vAlign w:val="center"/>
            <w:hideMark/>
          </w:tcPr>
          <w:p w14:paraId="478C819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745568A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Valley Stream </w:t>
            </w:r>
          </w:p>
        </w:tc>
        <w:tc>
          <w:tcPr>
            <w:tcW w:w="0" w:type="auto"/>
            <w:tcBorders>
              <w:top w:val="nil"/>
              <w:left w:val="nil"/>
              <w:bottom w:val="single" w:sz="8" w:space="0" w:color="auto"/>
              <w:right w:val="single" w:sz="8" w:space="0" w:color="auto"/>
            </w:tcBorders>
            <w:shd w:val="clear" w:color="auto" w:fill="auto"/>
            <w:vAlign w:val="center"/>
            <w:hideMark/>
          </w:tcPr>
          <w:p w14:paraId="0B9CE23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7904FD0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F0834A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292</w:t>
            </w:r>
          </w:p>
        </w:tc>
        <w:tc>
          <w:tcPr>
            <w:tcW w:w="0" w:type="auto"/>
            <w:tcBorders>
              <w:top w:val="nil"/>
              <w:left w:val="nil"/>
              <w:bottom w:val="single" w:sz="8" w:space="0" w:color="auto"/>
              <w:right w:val="single" w:sz="8" w:space="0" w:color="auto"/>
            </w:tcBorders>
            <w:shd w:val="clear" w:color="auto" w:fill="auto"/>
            <w:vAlign w:val="center"/>
            <w:hideMark/>
          </w:tcPr>
          <w:p w14:paraId="48D7BC2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Barrett </w:t>
            </w:r>
          </w:p>
        </w:tc>
        <w:tc>
          <w:tcPr>
            <w:tcW w:w="0" w:type="auto"/>
            <w:tcBorders>
              <w:top w:val="nil"/>
              <w:left w:val="nil"/>
              <w:bottom w:val="single" w:sz="8" w:space="0" w:color="auto"/>
              <w:right w:val="single" w:sz="8" w:space="0" w:color="auto"/>
            </w:tcBorders>
            <w:shd w:val="clear" w:color="auto" w:fill="auto"/>
            <w:vAlign w:val="center"/>
            <w:hideMark/>
          </w:tcPr>
          <w:p w14:paraId="175A492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7DB582A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Valley Stream </w:t>
            </w:r>
          </w:p>
        </w:tc>
        <w:tc>
          <w:tcPr>
            <w:tcW w:w="0" w:type="auto"/>
            <w:tcBorders>
              <w:top w:val="nil"/>
              <w:left w:val="nil"/>
              <w:bottom w:val="single" w:sz="8" w:space="0" w:color="auto"/>
              <w:right w:val="single" w:sz="8" w:space="0" w:color="auto"/>
            </w:tcBorders>
            <w:shd w:val="clear" w:color="auto" w:fill="auto"/>
            <w:vAlign w:val="center"/>
            <w:hideMark/>
          </w:tcPr>
          <w:p w14:paraId="376356C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6CE25B3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F6B4B6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459</w:t>
            </w:r>
          </w:p>
        </w:tc>
        <w:tc>
          <w:tcPr>
            <w:tcW w:w="0" w:type="auto"/>
            <w:tcBorders>
              <w:top w:val="nil"/>
              <w:left w:val="nil"/>
              <w:bottom w:val="single" w:sz="8" w:space="0" w:color="auto"/>
              <w:right w:val="single" w:sz="8" w:space="0" w:color="auto"/>
            </w:tcBorders>
            <w:shd w:val="clear" w:color="auto" w:fill="auto"/>
            <w:vAlign w:val="center"/>
            <w:hideMark/>
          </w:tcPr>
          <w:p w14:paraId="6239B82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Barrett </w:t>
            </w:r>
          </w:p>
        </w:tc>
        <w:tc>
          <w:tcPr>
            <w:tcW w:w="0" w:type="auto"/>
            <w:tcBorders>
              <w:top w:val="nil"/>
              <w:left w:val="nil"/>
              <w:bottom w:val="single" w:sz="8" w:space="0" w:color="auto"/>
              <w:right w:val="single" w:sz="8" w:space="0" w:color="auto"/>
            </w:tcBorders>
            <w:shd w:val="clear" w:color="auto" w:fill="auto"/>
            <w:vAlign w:val="center"/>
            <w:hideMark/>
          </w:tcPr>
          <w:p w14:paraId="5B5B111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4FABF73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Freeport </w:t>
            </w:r>
          </w:p>
        </w:tc>
        <w:tc>
          <w:tcPr>
            <w:tcW w:w="0" w:type="auto"/>
            <w:tcBorders>
              <w:top w:val="nil"/>
              <w:left w:val="nil"/>
              <w:bottom w:val="single" w:sz="8" w:space="0" w:color="auto"/>
              <w:right w:val="single" w:sz="8" w:space="0" w:color="auto"/>
            </w:tcBorders>
            <w:shd w:val="clear" w:color="auto" w:fill="auto"/>
            <w:vAlign w:val="center"/>
            <w:hideMark/>
          </w:tcPr>
          <w:p w14:paraId="13382B5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725B38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2D29EA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PAR </w:t>
            </w:r>
          </w:p>
        </w:tc>
        <w:tc>
          <w:tcPr>
            <w:tcW w:w="0" w:type="auto"/>
            <w:tcBorders>
              <w:top w:val="nil"/>
              <w:left w:val="nil"/>
              <w:bottom w:val="single" w:sz="8" w:space="0" w:color="auto"/>
              <w:right w:val="single" w:sz="8" w:space="0" w:color="auto"/>
            </w:tcBorders>
            <w:shd w:val="clear" w:color="auto" w:fill="auto"/>
            <w:vAlign w:val="center"/>
            <w:hideMark/>
          </w:tcPr>
          <w:p w14:paraId="251C695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Barrett </w:t>
            </w:r>
          </w:p>
        </w:tc>
        <w:tc>
          <w:tcPr>
            <w:tcW w:w="0" w:type="auto"/>
            <w:tcBorders>
              <w:top w:val="nil"/>
              <w:left w:val="nil"/>
              <w:bottom w:val="single" w:sz="8" w:space="0" w:color="auto"/>
              <w:right w:val="single" w:sz="8" w:space="0" w:color="auto"/>
            </w:tcBorders>
            <w:shd w:val="clear" w:color="auto" w:fill="auto"/>
            <w:vAlign w:val="center"/>
            <w:hideMark/>
          </w:tcPr>
          <w:p w14:paraId="4E0138A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1FE7D5B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Barrett PAR </w:t>
            </w:r>
          </w:p>
        </w:tc>
        <w:tc>
          <w:tcPr>
            <w:tcW w:w="0" w:type="auto"/>
            <w:tcBorders>
              <w:top w:val="nil"/>
              <w:left w:val="nil"/>
              <w:bottom w:val="single" w:sz="8" w:space="0" w:color="auto"/>
              <w:right w:val="single" w:sz="8" w:space="0" w:color="auto"/>
            </w:tcBorders>
            <w:shd w:val="clear" w:color="auto" w:fill="auto"/>
            <w:vAlign w:val="center"/>
            <w:hideMark/>
          </w:tcPr>
          <w:p w14:paraId="1BFE559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22AB21E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C662F8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861</w:t>
            </w:r>
          </w:p>
        </w:tc>
        <w:tc>
          <w:tcPr>
            <w:tcW w:w="0" w:type="auto"/>
            <w:tcBorders>
              <w:top w:val="nil"/>
              <w:left w:val="nil"/>
              <w:bottom w:val="single" w:sz="8" w:space="0" w:color="auto"/>
              <w:right w:val="single" w:sz="8" w:space="0" w:color="auto"/>
            </w:tcBorders>
            <w:shd w:val="clear" w:color="auto" w:fill="auto"/>
            <w:vAlign w:val="center"/>
            <w:hideMark/>
          </w:tcPr>
          <w:p w14:paraId="073AC2F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Brookhaven </w:t>
            </w:r>
          </w:p>
        </w:tc>
        <w:tc>
          <w:tcPr>
            <w:tcW w:w="0" w:type="auto"/>
            <w:tcBorders>
              <w:top w:val="nil"/>
              <w:left w:val="nil"/>
              <w:bottom w:val="single" w:sz="8" w:space="0" w:color="auto"/>
              <w:right w:val="single" w:sz="8" w:space="0" w:color="auto"/>
            </w:tcBorders>
            <w:shd w:val="clear" w:color="auto" w:fill="auto"/>
            <w:vAlign w:val="center"/>
            <w:hideMark/>
          </w:tcPr>
          <w:p w14:paraId="74570F1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4AE9F0F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Wildwood </w:t>
            </w:r>
          </w:p>
        </w:tc>
        <w:tc>
          <w:tcPr>
            <w:tcW w:w="0" w:type="auto"/>
            <w:tcBorders>
              <w:top w:val="nil"/>
              <w:left w:val="nil"/>
              <w:bottom w:val="single" w:sz="8" w:space="0" w:color="auto"/>
              <w:right w:val="single" w:sz="8" w:space="0" w:color="auto"/>
            </w:tcBorders>
            <w:shd w:val="clear" w:color="auto" w:fill="auto"/>
            <w:vAlign w:val="center"/>
            <w:hideMark/>
          </w:tcPr>
          <w:p w14:paraId="0BCF16D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7D04BE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A40437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864</w:t>
            </w:r>
          </w:p>
        </w:tc>
        <w:tc>
          <w:tcPr>
            <w:tcW w:w="0" w:type="auto"/>
            <w:tcBorders>
              <w:top w:val="nil"/>
              <w:left w:val="nil"/>
              <w:bottom w:val="single" w:sz="8" w:space="0" w:color="auto"/>
              <w:right w:val="single" w:sz="8" w:space="0" w:color="auto"/>
            </w:tcBorders>
            <w:shd w:val="clear" w:color="auto" w:fill="auto"/>
            <w:vAlign w:val="center"/>
            <w:hideMark/>
          </w:tcPr>
          <w:p w14:paraId="2E689D3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Brookhaven </w:t>
            </w:r>
          </w:p>
        </w:tc>
        <w:tc>
          <w:tcPr>
            <w:tcW w:w="0" w:type="auto"/>
            <w:tcBorders>
              <w:top w:val="nil"/>
              <w:left w:val="nil"/>
              <w:bottom w:val="single" w:sz="8" w:space="0" w:color="auto"/>
              <w:right w:val="single" w:sz="8" w:space="0" w:color="auto"/>
            </w:tcBorders>
            <w:shd w:val="clear" w:color="auto" w:fill="auto"/>
            <w:vAlign w:val="center"/>
            <w:hideMark/>
          </w:tcPr>
          <w:p w14:paraId="7E65472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0E66EDF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Edward Ave </w:t>
            </w:r>
          </w:p>
        </w:tc>
        <w:tc>
          <w:tcPr>
            <w:tcW w:w="0" w:type="auto"/>
            <w:tcBorders>
              <w:top w:val="nil"/>
              <w:left w:val="nil"/>
              <w:bottom w:val="single" w:sz="8" w:space="0" w:color="auto"/>
              <w:right w:val="single" w:sz="8" w:space="0" w:color="auto"/>
            </w:tcBorders>
            <w:shd w:val="clear" w:color="auto" w:fill="auto"/>
            <w:vAlign w:val="center"/>
            <w:hideMark/>
          </w:tcPr>
          <w:p w14:paraId="1DC41E6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9F43A8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CFCFD5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874</w:t>
            </w:r>
          </w:p>
        </w:tc>
        <w:tc>
          <w:tcPr>
            <w:tcW w:w="0" w:type="auto"/>
            <w:tcBorders>
              <w:top w:val="nil"/>
              <w:left w:val="nil"/>
              <w:bottom w:val="single" w:sz="8" w:space="0" w:color="auto"/>
              <w:right w:val="single" w:sz="8" w:space="0" w:color="auto"/>
            </w:tcBorders>
            <w:shd w:val="clear" w:color="auto" w:fill="auto"/>
            <w:vAlign w:val="center"/>
            <w:hideMark/>
          </w:tcPr>
          <w:p w14:paraId="708FC85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Brookhaven </w:t>
            </w:r>
          </w:p>
        </w:tc>
        <w:tc>
          <w:tcPr>
            <w:tcW w:w="0" w:type="auto"/>
            <w:tcBorders>
              <w:top w:val="nil"/>
              <w:left w:val="nil"/>
              <w:bottom w:val="single" w:sz="8" w:space="0" w:color="auto"/>
              <w:right w:val="single" w:sz="8" w:space="0" w:color="auto"/>
            </w:tcBorders>
            <w:shd w:val="clear" w:color="auto" w:fill="auto"/>
            <w:vAlign w:val="center"/>
            <w:hideMark/>
          </w:tcPr>
          <w:p w14:paraId="5704EA3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72997C7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Sills Road </w:t>
            </w:r>
          </w:p>
        </w:tc>
        <w:tc>
          <w:tcPr>
            <w:tcW w:w="0" w:type="auto"/>
            <w:tcBorders>
              <w:top w:val="nil"/>
              <w:left w:val="nil"/>
              <w:bottom w:val="single" w:sz="8" w:space="0" w:color="auto"/>
              <w:right w:val="single" w:sz="8" w:space="0" w:color="auto"/>
            </w:tcBorders>
            <w:shd w:val="clear" w:color="auto" w:fill="auto"/>
            <w:vAlign w:val="center"/>
            <w:hideMark/>
          </w:tcPr>
          <w:p w14:paraId="0548EE8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C95DE7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975A2A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887</w:t>
            </w:r>
          </w:p>
        </w:tc>
        <w:tc>
          <w:tcPr>
            <w:tcW w:w="0" w:type="auto"/>
            <w:tcBorders>
              <w:top w:val="nil"/>
              <w:left w:val="nil"/>
              <w:bottom w:val="single" w:sz="8" w:space="0" w:color="auto"/>
              <w:right w:val="single" w:sz="8" w:space="0" w:color="auto"/>
            </w:tcBorders>
            <w:shd w:val="clear" w:color="auto" w:fill="auto"/>
            <w:vAlign w:val="center"/>
            <w:hideMark/>
          </w:tcPr>
          <w:p w14:paraId="00ED020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Brookhaven </w:t>
            </w:r>
          </w:p>
        </w:tc>
        <w:tc>
          <w:tcPr>
            <w:tcW w:w="0" w:type="auto"/>
            <w:tcBorders>
              <w:top w:val="nil"/>
              <w:left w:val="nil"/>
              <w:bottom w:val="single" w:sz="8" w:space="0" w:color="auto"/>
              <w:right w:val="single" w:sz="8" w:space="0" w:color="auto"/>
            </w:tcBorders>
            <w:shd w:val="clear" w:color="auto" w:fill="auto"/>
            <w:vAlign w:val="center"/>
            <w:hideMark/>
          </w:tcPr>
          <w:p w14:paraId="1F73DD4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3AFD982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Sills Road </w:t>
            </w:r>
          </w:p>
        </w:tc>
        <w:tc>
          <w:tcPr>
            <w:tcW w:w="0" w:type="auto"/>
            <w:tcBorders>
              <w:top w:val="nil"/>
              <w:left w:val="nil"/>
              <w:bottom w:val="single" w:sz="8" w:space="0" w:color="auto"/>
              <w:right w:val="single" w:sz="8" w:space="0" w:color="auto"/>
            </w:tcBorders>
            <w:shd w:val="clear" w:color="auto" w:fill="auto"/>
            <w:vAlign w:val="center"/>
            <w:hideMark/>
          </w:tcPr>
          <w:p w14:paraId="2DC2286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1C80A31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C84B1F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95891</w:t>
            </w:r>
          </w:p>
        </w:tc>
        <w:tc>
          <w:tcPr>
            <w:tcW w:w="0" w:type="auto"/>
            <w:tcBorders>
              <w:top w:val="nil"/>
              <w:left w:val="nil"/>
              <w:bottom w:val="single" w:sz="8" w:space="0" w:color="auto"/>
              <w:right w:val="single" w:sz="8" w:space="0" w:color="auto"/>
            </w:tcBorders>
            <w:shd w:val="clear" w:color="auto" w:fill="auto"/>
            <w:vAlign w:val="center"/>
            <w:hideMark/>
          </w:tcPr>
          <w:p w14:paraId="39ACC4D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Buchanan GT </w:t>
            </w:r>
          </w:p>
        </w:tc>
        <w:tc>
          <w:tcPr>
            <w:tcW w:w="0" w:type="auto"/>
            <w:tcBorders>
              <w:top w:val="nil"/>
              <w:left w:val="nil"/>
              <w:bottom w:val="single" w:sz="8" w:space="0" w:color="auto"/>
              <w:right w:val="single" w:sz="8" w:space="0" w:color="auto"/>
            </w:tcBorders>
            <w:shd w:val="clear" w:color="auto" w:fill="auto"/>
            <w:vAlign w:val="center"/>
            <w:hideMark/>
          </w:tcPr>
          <w:p w14:paraId="34088A9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46B9302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Buchanan TA5 </w:t>
            </w:r>
          </w:p>
        </w:tc>
        <w:tc>
          <w:tcPr>
            <w:tcW w:w="0" w:type="auto"/>
            <w:tcBorders>
              <w:top w:val="nil"/>
              <w:left w:val="nil"/>
              <w:bottom w:val="single" w:sz="8" w:space="0" w:color="auto"/>
              <w:right w:val="single" w:sz="8" w:space="0" w:color="auto"/>
            </w:tcBorders>
            <w:shd w:val="clear" w:color="auto" w:fill="auto"/>
            <w:vAlign w:val="center"/>
            <w:hideMark/>
          </w:tcPr>
          <w:p w14:paraId="497805B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270DCF6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DFC654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361</w:t>
            </w:r>
          </w:p>
        </w:tc>
        <w:tc>
          <w:tcPr>
            <w:tcW w:w="0" w:type="auto"/>
            <w:tcBorders>
              <w:top w:val="nil"/>
              <w:left w:val="nil"/>
              <w:bottom w:val="single" w:sz="8" w:space="0" w:color="auto"/>
              <w:right w:val="single" w:sz="8" w:space="0" w:color="auto"/>
            </w:tcBorders>
            <w:shd w:val="clear" w:color="auto" w:fill="auto"/>
            <w:vAlign w:val="center"/>
            <w:hideMark/>
          </w:tcPr>
          <w:p w14:paraId="26C5D45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Carle Place </w:t>
            </w:r>
          </w:p>
        </w:tc>
        <w:tc>
          <w:tcPr>
            <w:tcW w:w="0" w:type="auto"/>
            <w:tcBorders>
              <w:top w:val="nil"/>
              <w:left w:val="nil"/>
              <w:bottom w:val="single" w:sz="8" w:space="0" w:color="auto"/>
              <w:right w:val="single" w:sz="8" w:space="0" w:color="auto"/>
            </w:tcBorders>
            <w:shd w:val="clear" w:color="auto" w:fill="auto"/>
            <w:vAlign w:val="center"/>
            <w:hideMark/>
          </w:tcPr>
          <w:p w14:paraId="0E700A5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7B4A55D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Garden City </w:t>
            </w:r>
          </w:p>
        </w:tc>
        <w:tc>
          <w:tcPr>
            <w:tcW w:w="0" w:type="auto"/>
            <w:tcBorders>
              <w:top w:val="nil"/>
              <w:left w:val="nil"/>
              <w:bottom w:val="single" w:sz="8" w:space="0" w:color="auto"/>
              <w:right w:val="single" w:sz="8" w:space="0" w:color="auto"/>
            </w:tcBorders>
            <w:shd w:val="clear" w:color="auto" w:fill="auto"/>
            <w:vAlign w:val="center"/>
            <w:hideMark/>
          </w:tcPr>
          <w:p w14:paraId="6DCB306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1F293FF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7DA0AA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lastRenderedPageBreak/>
              <w:t>363</w:t>
            </w:r>
          </w:p>
        </w:tc>
        <w:tc>
          <w:tcPr>
            <w:tcW w:w="0" w:type="auto"/>
            <w:tcBorders>
              <w:top w:val="nil"/>
              <w:left w:val="nil"/>
              <w:bottom w:val="single" w:sz="8" w:space="0" w:color="auto"/>
              <w:right w:val="single" w:sz="8" w:space="0" w:color="auto"/>
            </w:tcBorders>
            <w:shd w:val="clear" w:color="auto" w:fill="auto"/>
            <w:vAlign w:val="center"/>
            <w:hideMark/>
          </w:tcPr>
          <w:p w14:paraId="62D805B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Carle Place </w:t>
            </w:r>
          </w:p>
        </w:tc>
        <w:tc>
          <w:tcPr>
            <w:tcW w:w="0" w:type="auto"/>
            <w:tcBorders>
              <w:top w:val="nil"/>
              <w:left w:val="nil"/>
              <w:bottom w:val="single" w:sz="8" w:space="0" w:color="auto"/>
              <w:right w:val="single" w:sz="8" w:space="0" w:color="auto"/>
            </w:tcBorders>
            <w:shd w:val="clear" w:color="auto" w:fill="auto"/>
            <w:vAlign w:val="center"/>
            <w:hideMark/>
          </w:tcPr>
          <w:p w14:paraId="145FC47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3900457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Glenwood </w:t>
            </w:r>
          </w:p>
        </w:tc>
        <w:tc>
          <w:tcPr>
            <w:tcW w:w="0" w:type="auto"/>
            <w:tcBorders>
              <w:top w:val="nil"/>
              <w:left w:val="nil"/>
              <w:bottom w:val="single" w:sz="8" w:space="0" w:color="auto"/>
              <w:right w:val="single" w:sz="8" w:space="0" w:color="auto"/>
            </w:tcBorders>
            <w:shd w:val="clear" w:color="auto" w:fill="auto"/>
            <w:vAlign w:val="center"/>
            <w:hideMark/>
          </w:tcPr>
          <w:p w14:paraId="5A76EB2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354C1A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C86E08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883</w:t>
            </w:r>
          </w:p>
        </w:tc>
        <w:tc>
          <w:tcPr>
            <w:tcW w:w="0" w:type="auto"/>
            <w:tcBorders>
              <w:top w:val="nil"/>
              <w:left w:val="nil"/>
              <w:bottom w:val="single" w:sz="8" w:space="0" w:color="auto"/>
              <w:right w:val="single" w:sz="8" w:space="0" w:color="auto"/>
            </w:tcBorders>
            <w:shd w:val="clear" w:color="auto" w:fill="auto"/>
            <w:vAlign w:val="center"/>
            <w:hideMark/>
          </w:tcPr>
          <w:p w14:paraId="2D60B56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Central Islip </w:t>
            </w:r>
          </w:p>
        </w:tc>
        <w:tc>
          <w:tcPr>
            <w:tcW w:w="0" w:type="auto"/>
            <w:tcBorders>
              <w:top w:val="nil"/>
              <w:left w:val="nil"/>
              <w:bottom w:val="single" w:sz="8" w:space="0" w:color="auto"/>
              <w:right w:val="single" w:sz="8" w:space="0" w:color="auto"/>
            </w:tcBorders>
            <w:shd w:val="clear" w:color="auto" w:fill="auto"/>
            <w:vAlign w:val="center"/>
            <w:hideMark/>
          </w:tcPr>
          <w:p w14:paraId="721BC46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2E4B502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Ronkonkoma </w:t>
            </w:r>
          </w:p>
        </w:tc>
        <w:tc>
          <w:tcPr>
            <w:tcW w:w="0" w:type="auto"/>
            <w:tcBorders>
              <w:top w:val="nil"/>
              <w:left w:val="nil"/>
              <w:bottom w:val="single" w:sz="8" w:space="0" w:color="auto"/>
              <w:right w:val="single" w:sz="8" w:space="0" w:color="auto"/>
            </w:tcBorders>
            <w:shd w:val="clear" w:color="auto" w:fill="auto"/>
            <w:vAlign w:val="center"/>
            <w:hideMark/>
          </w:tcPr>
          <w:p w14:paraId="1A4FD2C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EAE83C9"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595FC7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889</w:t>
            </w:r>
          </w:p>
        </w:tc>
        <w:tc>
          <w:tcPr>
            <w:tcW w:w="0" w:type="auto"/>
            <w:tcBorders>
              <w:top w:val="nil"/>
              <w:left w:val="nil"/>
              <w:bottom w:val="single" w:sz="8" w:space="0" w:color="auto"/>
              <w:right w:val="single" w:sz="8" w:space="0" w:color="auto"/>
            </w:tcBorders>
            <w:shd w:val="clear" w:color="auto" w:fill="auto"/>
            <w:vAlign w:val="center"/>
            <w:hideMark/>
          </w:tcPr>
          <w:p w14:paraId="4602F7B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Central Islip </w:t>
            </w:r>
          </w:p>
        </w:tc>
        <w:tc>
          <w:tcPr>
            <w:tcW w:w="0" w:type="auto"/>
            <w:tcBorders>
              <w:top w:val="nil"/>
              <w:left w:val="nil"/>
              <w:bottom w:val="single" w:sz="8" w:space="0" w:color="auto"/>
              <w:right w:val="single" w:sz="8" w:space="0" w:color="auto"/>
            </w:tcBorders>
            <w:shd w:val="clear" w:color="auto" w:fill="auto"/>
            <w:vAlign w:val="center"/>
            <w:hideMark/>
          </w:tcPr>
          <w:p w14:paraId="7AE5DE7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5F94D49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Hauppauge </w:t>
            </w:r>
          </w:p>
        </w:tc>
        <w:tc>
          <w:tcPr>
            <w:tcW w:w="0" w:type="auto"/>
            <w:tcBorders>
              <w:top w:val="nil"/>
              <w:left w:val="nil"/>
              <w:bottom w:val="single" w:sz="8" w:space="0" w:color="auto"/>
              <w:right w:val="single" w:sz="8" w:space="0" w:color="auto"/>
            </w:tcBorders>
            <w:shd w:val="clear" w:color="auto" w:fill="auto"/>
            <w:vAlign w:val="center"/>
            <w:hideMark/>
          </w:tcPr>
          <w:p w14:paraId="6BACC92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380CED9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80297F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N1 </w:t>
            </w:r>
          </w:p>
        </w:tc>
        <w:tc>
          <w:tcPr>
            <w:tcW w:w="0" w:type="auto"/>
            <w:tcBorders>
              <w:top w:val="nil"/>
              <w:left w:val="nil"/>
              <w:bottom w:val="single" w:sz="8" w:space="0" w:color="auto"/>
              <w:right w:val="single" w:sz="8" w:space="0" w:color="auto"/>
            </w:tcBorders>
            <w:shd w:val="clear" w:color="auto" w:fill="auto"/>
            <w:vAlign w:val="center"/>
            <w:hideMark/>
          </w:tcPr>
          <w:p w14:paraId="468C2EA0"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Dunwoodie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0AE598C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2523C0CC"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Dunwoodie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67A8212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6DB52C7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302E56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N2 </w:t>
            </w:r>
          </w:p>
        </w:tc>
        <w:tc>
          <w:tcPr>
            <w:tcW w:w="0" w:type="auto"/>
            <w:tcBorders>
              <w:top w:val="nil"/>
              <w:left w:val="nil"/>
              <w:bottom w:val="single" w:sz="8" w:space="0" w:color="auto"/>
              <w:right w:val="single" w:sz="8" w:space="0" w:color="auto"/>
            </w:tcBorders>
            <w:shd w:val="clear" w:color="auto" w:fill="auto"/>
            <w:vAlign w:val="center"/>
            <w:hideMark/>
          </w:tcPr>
          <w:p w14:paraId="0127D227"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Dunwoodie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6FB5CFF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2CF77672"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Dunwoodie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2C87B84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6066C7A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A78E08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S1 </w:t>
            </w:r>
          </w:p>
        </w:tc>
        <w:tc>
          <w:tcPr>
            <w:tcW w:w="0" w:type="auto"/>
            <w:tcBorders>
              <w:top w:val="nil"/>
              <w:left w:val="nil"/>
              <w:bottom w:val="single" w:sz="8" w:space="0" w:color="auto"/>
              <w:right w:val="single" w:sz="8" w:space="0" w:color="auto"/>
            </w:tcBorders>
            <w:shd w:val="clear" w:color="auto" w:fill="auto"/>
            <w:vAlign w:val="center"/>
            <w:hideMark/>
          </w:tcPr>
          <w:p w14:paraId="6A4A4D2B"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Dunwoodie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3F7F585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136BF245"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Dunwoodie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2F3A088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6E017C4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2059DD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BK S2 </w:t>
            </w:r>
          </w:p>
        </w:tc>
        <w:tc>
          <w:tcPr>
            <w:tcW w:w="0" w:type="auto"/>
            <w:tcBorders>
              <w:top w:val="nil"/>
              <w:left w:val="nil"/>
              <w:bottom w:val="single" w:sz="8" w:space="0" w:color="auto"/>
              <w:right w:val="single" w:sz="8" w:space="0" w:color="auto"/>
            </w:tcBorders>
            <w:shd w:val="clear" w:color="auto" w:fill="auto"/>
            <w:vAlign w:val="center"/>
            <w:hideMark/>
          </w:tcPr>
          <w:p w14:paraId="0C844075"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Dunwoodie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48A980B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29BB35B6"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Dunwoodie</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0E08431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DDEE6E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A0983D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262</w:t>
            </w:r>
          </w:p>
        </w:tc>
        <w:tc>
          <w:tcPr>
            <w:tcW w:w="0" w:type="auto"/>
            <w:tcBorders>
              <w:top w:val="nil"/>
              <w:left w:val="nil"/>
              <w:bottom w:val="single" w:sz="8" w:space="0" w:color="auto"/>
              <w:right w:val="single" w:sz="8" w:space="0" w:color="auto"/>
            </w:tcBorders>
            <w:shd w:val="clear" w:color="auto" w:fill="auto"/>
            <w:vAlign w:val="center"/>
            <w:hideMark/>
          </w:tcPr>
          <w:p w14:paraId="6A1487A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Garden City </w:t>
            </w:r>
          </w:p>
        </w:tc>
        <w:tc>
          <w:tcPr>
            <w:tcW w:w="0" w:type="auto"/>
            <w:tcBorders>
              <w:top w:val="nil"/>
              <w:left w:val="nil"/>
              <w:bottom w:val="single" w:sz="8" w:space="0" w:color="auto"/>
              <w:right w:val="single" w:sz="8" w:space="0" w:color="auto"/>
            </w:tcBorders>
            <w:shd w:val="clear" w:color="auto" w:fill="auto"/>
            <w:vAlign w:val="center"/>
            <w:hideMark/>
          </w:tcPr>
          <w:p w14:paraId="30A41D3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23022FE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Valley Stream </w:t>
            </w:r>
          </w:p>
        </w:tc>
        <w:tc>
          <w:tcPr>
            <w:tcW w:w="0" w:type="auto"/>
            <w:tcBorders>
              <w:top w:val="nil"/>
              <w:left w:val="nil"/>
              <w:bottom w:val="single" w:sz="8" w:space="0" w:color="auto"/>
              <w:right w:val="single" w:sz="8" w:space="0" w:color="auto"/>
            </w:tcBorders>
            <w:shd w:val="clear" w:color="auto" w:fill="auto"/>
            <w:vAlign w:val="center"/>
            <w:hideMark/>
          </w:tcPr>
          <w:p w14:paraId="25F5B2F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6DDE9A5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B4DD2F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261</w:t>
            </w:r>
          </w:p>
        </w:tc>
        <w:tc>
          <w:tcPr>
            <w:tcW w:w="0" w:type="auto"/>
            <w:tcBorders>
              <w:top w:val="nil"/>
              <w:left w:val="nil"/>
              <w:bottom w:val="single" w:sz="8" w:space="0" w:color="auto"/>
              <w:right w:val="single" w:sz="8" w:space="0" w:color="auto"/>
            </w:tcBorders>
            <w:shd w:val="clear" w:color="auto" w:fill="auto"/>
            <w:vAlign w:val="center"/>
            <w:hideMark/>
          </w:tcPr>
          <w:p w14:paraId="03A3F2E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Garden City </w:t>
            </w:r>
          </w:p>
        </w:tc>
        <w:tc>
          <w:tcPr>
            <w:tcW w:w="0" w:type="auto"/>
            <w:tcBorders>
              <w:top w:val="nil"/>
              <w:left w:val="nil"/>
              <w:bottom w:val="single" w:sz="8" w:space="0" w:color="auto"/>
              <w:right w:val="single" w:sz="8" w:space="0" w:color="auto"/>
            </w:tcBorders>
            <w:shd w:val="clear" w:color="auto" w:fill="auto"/>
            <w:vAlign w:val="center"/>
            <w:hideMark/>
          </w:tcPr>
          <w:p w14:paraId="43AB3EB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1B9203C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Valley Stream </w:t>
            </w:r>
          </w:p>
        </w:tc>
        <w:tc>
          <w:tcPr>
            <w:tcW w:w="0" w:type="auto"/>
            <w:tcBorders>
              <w:top w:val="nil"/>
              <w:left w:val="nil"/>
              <w:bottom w:val="single" w:sz="8" w:space="0" w:color="auto"/>
              <w:right w:val="single" w:sz="8" w:space="0" w:color="auto"/>
            </w:tcBorders>
            <w:shd w:val="clear" w:color="auto" w:fill="auto"/>
            <w:vAlign w:val="center"/>
            <w:hideMark/>
          </w:tcPr>
          <w:p w14:paraId="4BA757C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2C2E964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FD41F4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362</w:t>
            </w:r>
          </w:p>
        </w:tc>
        <w:tc>
          <w:tcPr>
            <w:tcW w:w="0" w:type="auto"/>
            <w:tcBorders>
              <w:top w:val="nil"/>
              <w:left w:val="nil"/>
              <w:bottom w:val="single" w:sz="8" w:space="0" w:color="auto"/>
              <w:right w:val="single" w:sz="8" w:space="0" w:color="auto"/>
            </w:tcBorders>
            <w:shd w:val="clear" w:color="auto" w:fill="auto"/>
            <w:vAlign w:val="center"/>
            <w:hideMark/>
          </w:tcPr>
          <w:p w14:paraId="57BFA8B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Garden City </w:t>
            </w:r>
          </w:p>
        </w:tc>
        <w:tc>
          <w:tcPr>
            <w:tcW w:w="0" w:type="auto"/>
            <w:tcBorders>
              <w:top w:val="nil"/>
              <w:left w:val="nil"/>
              <w:bottom w:val="single" w:sz="8" w:space="0" w:color="auto"/>
              <w:right w:val="single" w:sz="8" w:space="0" w:color="auto"/>
            </w:tcBorders>
            <w:shd w:val="clear" w:color="auto" w:fill="auto"/>
            <w:vAlign w:val="center"/>
            <w:hideMark/>
          </w:tcPr>
          <w:p w14:paraId="6EB7BBA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19A80E8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Roslyn </w:t>
            </w:r>
          </w:p>
        </w:tc>
        <w:tc>
          <w:tcPr>
            <w:tcW w:w="0" w:type="auto"/>
            <w:tcBorders>
              <w:top w:val="nil"/>
              <w:left w:val="nil"/>
              <w:bottom w:val="single" w:sz="8" w:space="0" w:color="auto"/>
              <w:right w:val="single" w:sz="8" w:space="0" w:color="auto"/>
            </w:tcBorders>
            <w:shd w:val="clear" w:color="auto" w:fill="auto"/>
            <w:vAlign w:val="center"/>
            <w:hideMark/>
          </w:tcPr>
          <w:p w14:paraId="5F43194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3570D14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247426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462</w:t>
            </w:r>
          </w:p>
        </w:tc>
        <w:tc>
          <w:tcPr>
            <w:tcW w:w="0" w:type="auto"/>
            <w:tcBorders>
              <w:top w:val="nil"/>
              <w:left w:val="nil"/>
              <w:bottom w:val="single" w:sz="8" w:space="0" w:color="auto"/>
              <w:right w:val="single" w:sz="8" w:space="0" w:color="auto"/>
            </w:tcBorders>
            <w:shd w:val="clear" w:color="auto" w:fill="auto"/>
            <w:vAlign w:val="center"/>
            <w:hideMark/>
          </w:tcPr>
          <w:p w14:paraId="52CB873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Garden City </w:t>
            </w:r>
          </w:p>
        </w:tc>
        <w:tc>
          <w:tcPr>
            <w:tcW w:w="0" w:type="auto"/>
            <w:tcBorders>
              <w:top w:val="nil"/>
              <w:left w:val="nil"/>
              <w:bottom w:val="single" w:sz="8" w:space="0" w:color="auto"/>
              <w:right w:val="single" w:sz="8" w:space="0" w:color="auto"/>
            </w:tcBorders>
            <w:shd w:val="clear" w:color="auto" w:fill="auto"/>
            <w:vAlign w:val="center"/>
            <w:hideMark/>
          </w:tcPr>
          <w:p w14:paraId="650F375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13CB408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Newbridge Road </w:t>
            </w:r>
          </w:p>
        </w:tc>
        <w:tc>
          <w:tcPr>
            <w:tcW w:w="0" w:type="auto"/>
            <w:tcBorders>
              <w:top w:val="nil"/>
              <w:left w:val="nil"/>
              <w:bottom w:val="single" w:sz="8" w:space="0" w:color="auto"/>
              <w:right w:val="single" w:sz="8" w:space="0" w:color="auto"/>
            </w:tcBorders>
            <w:shd w:val="clear" w:color="auto" w:fill="auto"/>
            <w:vAlign w:val="center"/>
            <w:hideMark/>
          </w:tcPr>
          <w:p w14:paraId="777743C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3C2654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418BD6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463</w:t>
            </w:r>
          </w:p>
        </w:tc>
        <w:tc>
          <w:tcPr>
            <w:tcW w:w="0" w:type="auto"/>
            <w:tcBorders>
              <w:top w:val="nil"/>
              <w:left w:val="nil"/>
              <w:bottom w:val="single" w:sz="8" w:space="0" w:color="auto"/>
              <w:right w:val="single" w:sz="8" w:space="0" w:color="auto"/>
            </w:tcBorders>
            <w:shd w:val="clear" w:color="auto" w:fill="auto"/>
            <w:vAlign w:val="center"/>
            <w:hideMark/>
          </w:tcPr>
          <w:p w14:paraId="0426C58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Garden City </w:t>
            </w:r>
          </w:p>
        </w:tc>
        <w:tc>
          <w:tcPr>
            <w:tcW w:w="0" w:type="auto"/>
            <w:tcBorders>
              <w:top w:val="nil"/>
              <w:left w:val="nil"/>
              <w:bottom w:val="single" w:sz="8" w:space="0" w:color="auto"/>
              <w:right w:val="single" w:sz="8" w:space="0" w:color="auto"/>
            </w:tcBorders>
            <w:shd w:val="clear" w:color="auto" w:fill="auto"/>
            <w:vAlign w:val="center"/>
            <w:hideMark/>
          </w:tcPr>
          <w:p w14:paraId="5E748CD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384C8BF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Newbridge Road </w:t>
            </w:r>
          </w:p>
        </w:tc>
        <w:tc>
          <w:tcPr>
            <w:tcW w:w="0" w:type="auto"/>
            <w:tcBorders>
              <w:top w:val="nil"/>
              <w:left w:val="nil"/>
              <w:bottom w:val="single" w:sz="8" w:space="0" w:color="auto"/>
              <w:right w:val="single" w:sz="8" w:space="0" w:color="auto"/>
            </w:tcBorders>
            <w:shd w:val="clear" w:color="auto" w:fill="auto"/>
            <w:vAlign w:val="center"/>
            <w:hideMark/>
          </w:tcPr>
          <w:p w14:paraId="6BA27DD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33CF430E"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3B4AD1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465</w:t>
            </w:r>
          </w:p>
        </w:tc>
        <w:tc>
          <w:tcPr>
            <w:tcW w:w="0" w:type="auto"/>
            <w:tcBorders>
              <w:top w:val="nil"/>
              <w:left w:val="nil"/>
              <w:bottom w:val="single" w:sz="8" w:space="0" w:color="auto"/>
              <w:right w:val="single" w:sz="8" w:space="0" w:color="auto"/>
            </w:tcBorders>
            <w:shd w:val="clear" w:color="auto" w:fill="auto"/>
            <w:vAlign w:val="center"/>
            <w:hideMark/>
          </w:tcPr>
          <w:p w14:paraId="2561F43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Garden City </w:t>
            </w:r>
          </w:p>
        </w:tc>
        <w:tc>
          <w:tcPr>
            <w:tcW w:w="0" w:type="auto"/>
            <w:tcBorders>
              <w:top w:val="nil"/>
              <w:left w:val="nil"/>
              <w:bottom w:val="single" w:sz="8" w:space="0" w:color="auto"/>
              <w:right w:val="single" w:sz="8" w:space="0" w:color="auto"/>
            </w:tcBorders>
            <w:shd w:val="clear" w:color="auto" w:fill="auto"/>
            <w:vAlign w:val="center"/>
            <w:hideMark/>
          </w:tcPr>
          <w:p w14:paraId="39E2FB8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53D78B0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Newbridge Road </w:t>
            </w:r>
          </w:p>
        </w:tc>
        <w:tc>
          <w:tcPr>
            <w:tcW w:w="0" w:type="auto"/>
            <w:tcBorders>
              <w:top w:val="nil"/>
              <w:left w:val="nil"/>
              <w:bottom w:val="single" w:sz="8" w:space="0" w:color="auto"/>
              <w:right w:val="single" w:sz="8" w:space="0" w:color="auto"/>
            </w:tcBorders>
            <w:shd w:val="clear" w:color="auto" w:fill="auto"/>
            <w:vAlign w:val="center"/>
            <w:hideMark/>
          </w:tcPr>
          <w:p w14:paraId="0EFDA5D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2ABA65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14C3AC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467</w:t>
            </w:r>
          </w:p>
        </w:tc>
        <w:tc>
          <w:tcPr>
            <w:tcW w:w="0" w:type="auto"/>
            <w:tcBorders>
              <w:top w:val="nil"/>
              <w:left w:val="nil"/>
              <w:bottom w:val="single" w:sz="8" w:space="0" w:color="auto"/>
              <w:right w:val="single" w:sz="8" w:space="0" w:color="auto"/>
            </w:tcBorders>
            <w:shd w:val="clear" w:color="auto" w:fill="auto"/>
            <w:vAlign w:val="center"/>
            <w:hideMark/>
          </w:tcPr>
          <w:p w14:paraId="547834E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 Garden City </w:t>
            </w:r>
          </w:p>
        </w:tc>
        <w:tc>
          <w:tcPr>
            <w:tcW w:w="0" w:type="auto"/>
            <w:tcBorders>
              <w:top w:val="nil"/>
              <w:left w:val="nil"/>
              <w:bottom w:val="single" w:sz="8" w:space="0" w:color="auto"/>
              <w:right w:val="single" w:sz="8" w:space="0" w:color="auto"/>
            </w:tcBorders>
            <w:shd w:val="clear" w:color="auto" w:fill="auto"/>
            <w:vAlign w:val="center"/>
            <w:hideMark/>
          </w:tcPr>
          <w:p w14:paraId="2292030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568B8C4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Newbridge Road </w:t>
            </w:r>
          </w:p>
        </w:tc>
        <w:tc>
          <w:tcPr>
            <w:tcW w:w="0" w:type="auto"/>
            <w:tcBorders>
              <w:top w:val="nil"/>
              <w:left w:val="nil"/>
              <w:bottom w:val="single" w:sz="8" w:space="0" w:color="auto"/>
              <w:right w:val="single" w:sz="8" w:space="0" w:color="auto"/>
            </w:tcBorders>
            <w:shd w:val="clear" w:color="auto" w:fill="auto"/>
            <w:vAlign w:val="center"/>
            <w:hideMark/>
          </w:tcPr>
          <w:p w14:paraId="429113A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12549F8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E18313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893</w:t>
            </w:r>
          </w:p>
        </w:tc>
        <w:tc>
          <w:tcPr>
            <w:tcW w:w="0" w:type="auto"/>
            <w:tcBorders>
              <w:top w:val="nil"/>
              <w:left w:val="nil"/>
              <w:bottom w:val="single" w:sz="8" w:space="0" w:color="auto"/>
              <w:right w:val="single" w:sz="8" w:space="0" w:color="auto"/>
            </w:tcBorders>
            <w:shd w:val="clear" w:color="auto" w:fill="auto"/>
            <w:vAlign w:val="center"/>
            <w:hideMark/>
          </w:tcPr>
          <w:p w14:paraId="2123EE6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Edward Ave </w:t>
            </w:r>
          </w:p>
        </w:tc>
        <w:tc>
          <w:tcPr>
            <w:tcW w:w="0" w:type="auto"/>
            <w:tcBorders>
              <w:top w:val="nil"/>
              <w:left w:val="nil"/>
              <w:bottom w:val="single" w:sz="8" w:space="0" w:color="auto"/>
              <w:right w:val="single" w:sz="8" w:space="0" w:color="auto"/>
            </w:tcBorders>
            <w:shd w:val="clear" w:color="auto" w:fill="auto"/>
            <w:vAlign w:val="center"/>
            <w:hideMark/>
          </w:tcPr>
          <w:p w14:paraId="7A7CE74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24C2CD5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Riverhead </w:t>
            </w:r>
          </w:p>
        </w:tc>
        <w:tc>
          <w:tcPr>
            <w:tcW w:w="0" w:type="auto"/>
            <w:tcBorders>
              <w:top w:val="nil"/>
              <w:left w:val="nil"/>
              <w:bottom w:val="single" w:sz="8" w:space="0" w:color="auto"/>
              <w:right w:val="single" w:sz="8" w:space="0" w:color="auto"/>
            </w:tcBorders>
            <w:shd w:val="clear" w:color="auto" w:fill="auto"/>
            <w:vAlign w:val="center"/>
            <w:hideMark/>
          </w:tcPr>
          <w:p w14:paraId="604D58C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1F5F5C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3786C2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673</w:t>
            </w:r>
          </w:p>
        </w:tc>
        <w:tc>
          <w:tcPr>
            <w:tcW w:w="0" w:type="auto"/>
            <w:tcBorders>
              <w:top w:val="nil"/>
              <w:left w:val="nil"/>
              <w:bottom w:val="single" w:sz="8" w:space="0" w:color="auto"/>
              <w:right w:val="single" w:sz="8" w:space="0" w:color="auto"/>
            </w:tcBorders>
            <w:shd w:val="clear" w:color="auto" w:fill="auto"/>
            <w:vAlign w:val="center"/>
            <w:hideMark/>
          </w:tcPr>
          <w:p w14:paraId="4DD944B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Elwood </w:t>
            </w:r>
          </w:p>
        </w:tc>
        <w:tc>
          <w:tcPr>
            <w:tcW w:w="0" w:type="auto"/>
            <w:tcBorders>
              <w:top w:val="nil"/>
              <w:left w:val="nil"/>
              <w:bottom w:val="single" w:sz="8" w:space="0" w:color="auto"/>
              <w:right w:val="single" w:sz="8" w:space="0" w:color="auto"/>
            </w:tcBorders>
            <w:shd w:val="clear" w:color="auto" w:fill="auto"/>
            <w:vAlign w:val="center"/>
            <w:hideMark/>
          </w:tcPr>
          <w:p w14:paraId="232F188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60CD7F6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Greenlawn </w:t>
            </w:r>
          </w:p>
        </w:tc>
        <w:tc>
          <w:tcPr>
            <w:tcW w:w="0" w:type="auto"/>
            <w:tcBorders>
              <w:top w:val="nil"/>
              <w:left w:val="nil"/>
              <w:bottom w:val="single" w:sz="8" w:space="0" w:color="auto"/>
              <w:right w:val="single" w:sz="8" w:space="0" w:color="auto"/>
            </w:tcBorders>
            <w:shd w:val="clear" w:color="auto" w:fill="auto"/>
            <w:vAlign w:val="center"/>
            <w:hideMark/>
          </w:tcPr>
          <w:p w14:paraId="469EB79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6B50B08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3E25F3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674</w:t>
            </w:r>
          </w:p>
        </w:tc>
        <w:tc>
          <w:tcPr>
            <w:tcW w:w="0" w:type="auto"/>
            <w:tcBorders>
              <w:top w:val="nil"/>
              <w:left w:val="nil"/>
              <w:bottom w:val="single" w:sz="8" w:space="0" w:color="auto"/>
              <w:right w:val="single" w:sz="8" w:space="0" w:color="auto"/>
            </w:tcBorders>
            <w:shd w:val="clear" w:color="auto" w:fill="auto"/>
            <w:vAlign w:val="center"/>
            <w:hideMark/>
          </w:tcPr>
          <w:p w14:paraId="7E6B498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Elwood </w:t>
            </w:r>
          </w:p>
        </w:tc>
        <w:tc>
          <w:tcPr>
            <w:tcW w:w="0" w:type="auto"/>
            <w:tcBorders>
              <w:top w:val="nil"/>
              <w:left w:val="nil"/>
              <w:bottom w:val="single" w:sz="8" w:space="0" w:color="auto"/>
              <w:right w:val="single" w:sz="8" w:space="0" w:color="auto"/>
            </w:tcBorders>
            <w:shd w:val="clear" w:color="auto" w:fill="auto"/>
            <w:vAlign w:val="center"/>
            <w:hideMark/>
          </w:tcPr>
          <w:p w14:paraId="74F0684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45DD5A7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Oakwood </w:t>
            </w:r>
          </w:p>
        </w:tc>
        <w:tc>
          <w:tcPr>
            <w:tcW w:w="0" w:type="auto"/>
            <w:tcBorders>
              <w:top w:val="nil"/>
              <w:left w:val="nil"/>
              <w:bottom w:val="single" w:sz="8" w:space="0" w:color="auto"/>
              <w:right w:val="single" w:sz="8" w:space="0" w:color="auto"/>
            </w:tcBorders>
            <w:shd w:val="clear" w:color="auto" w:fill="auto"/>
            <w:vAlign w:val="center"/>
            <w:hideMark/>
          </w:tcPr>
          <w:p w14:paraId="57E445A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2AD84F6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191AA0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678</w:t>
            </w:r>
          </w:p>
        </w:tc>
        <w:tc>
          <w:tcPr>
            <w:tcW w:w="0" w:type="auto"/>
            <w:tcBorders>
              <w:top w:val="nil"/>
              <w:left w:val="nil"/>
              <w:bottom w:val="single" w:sz="8" w:space="0" w:color="auto"/>
              <w:right w:val="single" w:sz="8" w:space="0" w:color="auto"/>
            </w:tcBorders>
            <w:shd w:val="clear" w:color="auto" w:fill="auto"/>
            <w:vAlign w:val="center"/>
            <w:hideMark/>
          </w:tcPr>
          <w:p w14:paraId="1C3486D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Elwood </w:t>
            </w:r>
          </w:p>
        </w:tc>
        <w:tc>
          <w:tcPr>
            <w:tcW w:w="0" w:type="auto"/>
            <w:tcBorders>
              <w:top w:val="nil"/>
              <w:left w:val="nil"/>
              <w:bottom w:val="single" w:sz="8" w:space="0" w:color="auto"/>
              <w:right w:val="single" w:sz="8" w:space="0" w:color="auto"/>
            </w:tcBorders>
            <w:shd w:val="clear" w:color="auto" w:fill="auto"/>
            <w:vAlign w:val="center"/>
            <w:hideMark/>
          </w:tcPr>
          <w:p w14:paraId="2624C33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6B61CCC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Northport </w:t>
            </w:r>
          </w:p>
        </w:tc>
        <w:tc>
          <w:tcPr>
            <w:tcW w:w="0" w:type="auto"/>
            <w:tcBorders>
              <w:top w:val="nil"/>
              <w:left w:val="nil"/>
              <w:bottom w:val="single" w:sz="8" w:space="0" w:color="auto"/>
              <w:right w:val="single" w:sz="8" w:space="0" w:color="auto"/>
            </w:tcBorders>
            <w:shd w:val="clear" w:color="auto" w:fill="auto"/>
            <w:vAlign w:val="center"/>
            <w:hideMark/>
          </w:tcPr>
          <w:p w14:paraId="21FABAA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8687E2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76AB9A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681</w:t>
            </w:r>
          </w:p>
        </w:tc>
        <w:tc>
          <w:tcPr>
            <w:tcW w:w="0" w:type="auto"/>
            <w:tcBorders>
              <w:top w:val="nil"/>
              <w:left w:val="nil"/>
              <w:bottom w:val="single" w:sz="8" w:space="0" w:color="auto"/>
              <w:right w:val="single" w:sz="8" w:space="0" w:color="auto"/>
            </w:tcBorders>
            <w:shd w:val="clear" w:color="auto" w:fill="auto"/>
            <w:vAlign w:val="center"/>
            <w:hideMark/>
          </w:tcPr>
          <w:p w14:paraId="6460D49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Elwood </w:t>
            </w:r>
          </w:p>
        </w:tc>
        <w:tc>
          <w:tcPr>
            <w:tcW w:w="0" w:type="auto"/>
            <w:tcBorders>
              <w:top w:val="nil"/>
              <w:left w:val="nil"/>
              <w:bottom w:val="single" w:sz="8" w:space="0" w:color="auto"/>
              <w:right w:val="single" w:sz="8" w:space="0" w:color="auto"/>
            </w:tcBorders>
            <w:shd w:val="clear" w:color="auto" w:fill="auto"/>
            <w:vAlign w:val="center"/>
            <w:hideMark/>
          </w:tcPr>
          <w:p w14:paraId="71C99DE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5EBB34A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Northport </w:t>
            </w:r>
          </w:p>
        </w:tc>
        <w:tc>
          <w:tcPr>
            <w:tcW w:w="0" w:type="auto"/>
            <w:tcBorders>
              <w:top w:val="nil"/>
              <w:left w:val="nil"/>
              <w:bottom w:val="single" w:sz="8" w:space="0" w:color="auto"/>
              <w:right w:val="single" w:sz="8" w:space="0" w:color="auto"/>
            </w:tcBorders>
            <w:shd w:val="clear" w:color="auto" w:fill="auto"/>
            <w:vAlign w:val="center"/>
            <w:hideMark/>
          </w:tcPr>
          <w:p w14:paraId="4EDEE79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126C18C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BBC6B4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461</w:t>
            </w:r>
          </w:p>
        </w:tc>
        <w:tc>
          <w:tcPr>
            <w:tcW w:w="0" w:type="auto"/>
            <w:tcBorders>
              <w:top w:val="nil"/>
              <w:left w:val="nil"/>
              <w:bottom w:val="single" w:sz="8" w:space="0" w:color="auto"/>
              <w:right w:val="single" w:sz="8" w:space="0" w:color="auto"/>
            </w:tcBorders>
            <w:shd w:val="clear" w:color="auto" w:fill="auto"/>
            <w:vAlign w:val="center"/>
            <w:hideMark/>
          </w:tcPr>
          <w:p w14:paraId="466C0C6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Freeport </w:t>
            </w:r>
          </w:p>
        </w:tc>
        <w:tc>
          <w:tcPr>
            <w:tcW w:w="0" w:type="auto"/>
            <w:tcBorders>
              <w:top w:val="nil"/>
              <w:left w:val="nil"/>
              <w:bottom w:val="single" w:sz="8" w:space="0" w:color="auto"/>
              <w:right w:val="single" w:sz="8" w:space="0" w:color="auto"/>
            </w:tcBorders>
            <w:shd w:val="clear" w:color="auto" w:fill="auto"/>
            <w:vAlign w:val="center"/>
            <w:hideMark/>
          </w:tcPr>
          <w:p w14:paraId="3A23EF0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0F95E12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Newbridge Road </w:t>
            </w:r>
          </w:p>
        </w:tc>
        <w:tc>
          <w:tcPr>
            <w:tcW w:w="0" w:type="auto"/>
            <w:tcBorders>
              <w:top w:val="nil"/>
              <w:left w:val="nil"/>
              <w:bottom w:val="single" w:sz="8" w:space="0" w:color="auto"/>
              <w:right w:val="single" w:sz="8" w:space="0" w:color="auto"/>
            </w:tcBorders>
            <w:shd w:val="clear" w:color="auto" w:fill="auto"/>
            <w:vAlign w:val="center"/>
            <w:hideMark/>
          </w:tcPr>
          <w:p w14:paraId="03EC119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6961B1B4"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7FEC62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PAR1 </w:t>
            </w:r>
          </w:p>
        </w:tc>
        <w:tc>
          <w:tcPr>
            <w:tcW w:w="0" w:type="auto"/>
            <w:tcBorders>
              <w:top w:val="nil"/>
              <w:left w:val="nil"/>
              <w:bottom w:val="single" w:sz="8" w:space="0" w:color="auto"/>
              <w:right w:val="single" w:sz="8" w:space="0" w:color="auto"/>
            </w:tcBorders>
            <w:shd w:val="clear" w:color="auto" w:fill="auto"/>
            <w:vAlign w:val="center"/>
            <w:hideMark/>
          </w:tcPr>
          <w:p w14:paraId="6405CEA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Fresh Kills (AK) </w:t>
            </w:r>
          </w:p>
        </w:tc>
        <w:tc>
          <w:tcPr>
            <w:tcW w:w="0" w:type="auto"/>
            <w:tcBorders>
              <w:top w:val="nil"/>
              <w:left w:val="nil"/>
              <w:bottom w:val="single" w:sz="8" w:space="0" w:color="auto"/>
              <w:right w:val="single" w:sz="8" w:space="0" w:color="auto"/>
            </w:tcBorders>
            <w:shd w:val="clear" w:color="auto" w:fill="auto"/>
            <w:vAlign w:val="center"/>
            <w:hideMark/>
          </w:tcPr>
          <w:p w14:paraId="4DD5540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0C0654D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Fresh Kills PAR </w:t>
            </w:r>
          </w:p>
        </w:tc>
        <w:tc>
          <w:tcPr>
            <w:tcW w:w="0" w:type="auto"/>
            <w:tcBorders>
              <w:top w:val="nil"/>
              <w:left w:val="nil"/>
              <w:bottom w:val="single" w:sz="8" w:space="0" w:color="auto"/>
              <w:right w:val="single" w:sz="8" w:space="0" w:color="auto"/>
            </w:tcBorders>
            <w:shd w:val="clear" w:color="auto" w:fill="auto"/>
            <w:vAlign w:val="center"/>
            <w:hideMark/>
          </w:tcPr>
          <w:p w14:paraId="69F14E9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30BC198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3EB29F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PAR2 </w:t>
            </w:r>
          </w:p>
        </w:tc>
        <w:tc>
          <w:tcPr>
            <w:tcW w:w="0" w:type="auto"/>
            <w:tcBorders>
              <w:top w:val="nil"/>
              <w:left w:val="nil"/>
              <w:bottom w:val="single" w:sz="8" w:space="0" w:color="auto"/>
              <w:right w:val="single" w:sz="8" w:space="0" w:color="auto"/>
            </w:tcBorders>
            <w:shd w:val="clear" w:color="auto" w:fill="auto"/>
            <w:vAlign w:val="center"/>
            <w:hideMark/>
          </w:tcPr>
          <w:p w14:paraId="4FB5F84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Fresh Kills (AK) </w:t>
            </w:r>
          </w:p>
        </w:tc>
        <w:tc>
          <w:tcPr>
            <w:tcW w:w="0" w:type="auto"/>
            <w:tcBorders>
              <w:top w:val="nil"/>
              <w:left w:val="nil"/>
              <w:bottom w:val="single" w:sz="8" w:space="0" w:color="auto"/>
              <w:right w:val="single" w:sz="8" w:space="0" w:color="auto"/>
            </w:tcBorders>
            <w:shd w:val="clear" w:color="auto" w:fill="auto"/>
            <w:vAlign w:val="center"/>
            <w:hideMark/>
          </w:tcPr>
          <w:p w14:paraId="13032FF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7C54AF1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Fresh Kills PAR </w:t>
            </w:r>
          </w:p>
        </w:tc>
        <w:tc>
          <w:tcPr>
            <w:tcW w:w="0" w:type="auto"/>
            <w:tcBorders>
              <w:top w:val="nil"/>
              <w:left w:val="nil"/>
              <w:bottom w:val="single" w:sz="8" w:space="0" w:color="auto"/>
              <w:right w:val="single" w:sz="8" w:space="0" w:color="auto"/>
            </w:tcBorders>
            <w:shd w:val="clear" w:color="auto" w:fill="auto"/>
            <w:vAlign w:val="center"/>
            <w:hideMark/>
          </w:tcPr>
          <w:p w14:paraId="57CEB9D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4075B84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B2C91F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365</w:t>
            </w:r>
          </w:p>
        </w:tc>
        <w:tc>
          <w:tcPr>
            <w:tcW w:w="0" w:type="auto"/>
            <w:tcBorders>
              <w:top w:val="nil"/>
              <w:left w:val="nil"/>
              <w:bottom w:val="single" w:sz="8" w:space="0" w:color="auto"/>
              <w:right w:val="single" w:sz="8" w:space="0" w:color="auto"/>
            </w:tcBorders>
            <w:shd w:val="clear" w:color="auto" w:fill="auto"/>
            <w:vAlign w:val="center"/>
            <w:hideMark/>
          </w:tcPr>
          <w:p w14:paraId="37E8412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Glenwood </w:t>
            </w:r>
          </w:p>
        </w:tc>
        <w:tc>
          <w:tcPr>
            <w:tcW w:w="0" w:type="auto"/>
            <w:tcBorders>
              <w:top w:val="nil"/>
              <w:left w:val="nil"/>
              <w:bottom w:val="single" w:sz="8" w:space="0" w:color="auto"/>
              <w:right w:val="single" w:sz="8" w:space="0" w:color="auto"/>
            </w:tcBorders>
            <w:shd w:val="clear" w:color="auto" w:fill="auto"/>
            <w:vAlign w:val="center"/>
            <w:hideMark/>
          </w:tcPr>
          <w:p w14:paraId="6417D37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0117C6A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Shore Road </w:t>
            </w:r>
          </w:p>
        </w:tc>
        <w:tc>
          <w:tcPr>
            <w:tcW w:w="0" w:type="auto"/>
            <w:tcBorders>
              <w:top w:val="nil"/>
              <w:left w:val="nil"/>
              <w:bottom w:val="single" w:sz="8" w:space="0" w:color="auto"/>
              <w:right w:val="single" w:sz="8" w:space="0" w:color="auto"/>
            </w:tcBorders>
            <w:shd w:val="clear" w:color="auto" w:fill="auto"/>
            <w:vAlign w:val="center"/>
            <w:hideMark/>
          </w:tcPr>
          <w:p w14:paraId="082CF9B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0ACAF29"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F2B615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366-1 </w:t>
            </w:r>
          </w:p>
        </w:tc>
        <w:tc>
          <w:tcPr>
            <w:tcW w:w="0" w:type="auto"/>
            <w:tcBorders>
              <w:top w:val="nil"/>
              <w:left w:val="nil"/>
              <w:bottom w:val="single" w:sz="8" w:space="0" w:color="auto"/>
              <w:right w:val="single" w:sz="8" w:space="0" w:color="auto"/>
            </w:tcBorders>
            <w:shd w:val="clear" w:color="auto" w:fill="auto"/>
            <w:vAlign w:val="center"/>
            <w:hideMark/>
          </w:tcPr>
          <w:p w14:paraId="3E42D53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Glenwood </w:t>
            </w:r>
          </w:p>
        </w:tc>
        <w:tc>
          <w:tcPr>
            <w:tcW w:w="0" w:type="auto"/>
            <w:tcBorders>
              <w:top w:val="nil"/>
              <w:left w:val="nil"/>
              <w:bottom w:val="single" w:sz="8" w:space="0" w:color="auto"/>
              <w:right w:val="single" w:sz="8" w:space="0" w:color="auto"/>
            </w:tcBorders>
            <w:shd w:val="clear" w:color="auto" w:fill="auto"/>
            <w:vAlign w:val="center"/>
            <w:hideMark/>
          </w:tcPr>
          <w:p w14:paraId="24FBAF0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66764A8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Shore Road </w:t>
            </w:r>
          </w:p>
        </w:tc>
        <w:tc>
          <w:tcPr>
            <w:tcW w:w="0" w:type="auto"/>
            <w:tcBorders>
              <w:top w:val="nil"/>
              <w:left w:val="nil"/>
              <w:bottom w:val="single" w:sz="8" w:space="0" w:color="auto"/>
              <w:right w:val="single" w:sz="8" w:space="0" w:color="auto"/>
            </w:tcBorders>
            <w:shd w:val="clear" w:color="auto" w:fill="auto"/>
            <w:vAlign w:val="center"/>
            <w:hideMark/>
          </w:tcPr>
          <w:p w14:paraId="6316E71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672502A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BC85BC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366-2 </w:t>
            </w:r>
          </w:p>
        </w:tc>
        <w:tc>
          <w:tcPr>
            <w:tcW w:w="0" w:type="auto"/>
            <w:tcBorders>
              <w:top w:val="nil"/>
              <w:left w:val="nil"/>
              <w:bottom w:val="single" w:sz="8" w:space="0" w:color="auto"/>
              <w:right w:val="single" w:sz="8" w:space="0" w:color="auto"/>
            </w:tcBorders>
            <w:shd w:val="clear" w:color="auto" w:fill="auto"/>
            <w:vAlign w:val="center"/>
            <w:hideMark/>
          </w:tcPr>
          <w:p w14:paraId="5076081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Glenwood </w:t>
            </w:r>
          </w:p>
        </w:tc>
        <w:tc>
          <w:tcPr>
            <w:tcW w:w="0" w:type="auto"/>
            <w:tcBorders>
              <w:top w:val="nil"/>
              <w:left w:val="nil"/>
              <w:bottom w:val="single" w:sz="8" w:space="0" w:color="auto"/>
              <w:right w:val="single" w:sz="8" w:space="0" w:color="auto"/>
            </w:tcBorders>
            <w:shd w:val="clear" w:color="auto" w:fill="auto"/>
            <w:vAlign w:val="center"/>
            <w:hideMark/>
          </w:tcPr>
          <w:p w14:paraId="5B20FFB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1C000E5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Glenwood GT </w:t>
            </w:r>
          </w:p>
        </w:tc>
        <w:tc>
          <w:tcPr>
            <w:tcW w:w="0" w:type="auto"/>
            <w:tcBorders>
              <w:top w:val="nil"/>
              <w:left w:val="nil"/>
              <w:bottom w:val="single" w:sz="8" w:space="0" w:color="auto"/>
              <w:right w:val="single" w:sz="8" w:space="0" w:color="auto"/>
            </w:tcBorders>
            <w:shd w:val="clear" w:color="auto" w:fill="auto"/>
            <w:vAlign w:val="center"/>
            <w:hideMark/>
          </w:tcPr>
          <w:p w14:paraId="4933E6A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CF5646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1E3233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364</w:t>
            </w:r>
          </w:p>
        </w:tc>
        <w:tc>
          <w:tcPr>
            <w:tcW w:w="0" w:type="auto"/>
            <w:tcBorders>
              <w:top w:val="nil"/>
              <w:left w:val="nil"/>
              <w:bottom w:val="single" w:sz="8" w:space="0" w:color="auto"/>
              <w:right w:val="single" w:sz="8" w:space="0" w:color="auto"/>
            </w:tcBorders>
            <w:shd w:val="clear" w:color="auto" w:fill="auto"/>
            <w:vAlign w:val="center"/>
            <w:hideMark/>
          </w:tcPr>
          <w:p w14:paraId="51CB0CC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Glenwood GT </w:t>
            </w:r>
          </w:p>
        </w:tc>
        <w:tc>
          <w:tcPr>
            <w:tcW w:w="0" w:type="auto"/>
            <w:tcBorders>
              <w:top w:val="nil"/>
              <w:left w:val="nil"/>
              <w:bottom w:val="single" w:sz="8" w:space="0" w:color="auto"/>
              <w:right w:val="single" w:sz="8" w:space="0" w:color="auto"/>
            </w:tcBorders>
            <w:shd w:val="clear" w:color="auto" w:fill="auto"/>
            <w:vAlign w:val="center"/>
            <w:hideMark/>
          </w:tcPr>
          <w:p w14:paraId="75B6550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6EE80D5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Roslyn </w:t>
            </w:r>
          </w:p>
        </w:tc>
        <w:tc>
          <w:tcPr>
            <w:tcW w:w="0" w:type="auto"/>
            <w:tcBorders>
              <w:top w:val="nil"/>
              <w:left w:val="nil"/>
              <w:bottom w:val="single" w:sz="8" w:space="0" w:color="auto"/>
              <w:right w:val="single" w:sz="8" w:space="0" w:color="auto"/>
            </w:tcBorders>
            <w:shd w:val="clear" w:color="auto" w:fill="auto"/>
            <w:vAlign w:val="center"/>
            <w:hideMark/>
          </w:tcPr>
          <w:p w14:paraId="57546D6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73C8BD3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D18A8E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676</w:t>
            </w:r>
          </w:p>
        </w:tc>
        <w:tc>
          <w:tcPr>
            <w:tcW w:w="0" w:type="auto"/>
            <w:tcBorders>
              <w:top w:val="nil"/>
              <w:left w:val="nil"/>
              <w:bottom w:val="single" w:sz="8" w:space="0" w:color="auto"/>
              <w:right w:val="single" w:sz="8" w:space="0" w:color="auto"/>
            </w:tcBorders>
            <w:shd w:val="clear" w:color="auto" w:fill="auto"/>
            <w:vAlign w:val="center"/>
            <w:hideMark/>
          </w:tcPr>
          <w:p w14:paraId="4615046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Greenlawn </w:t>
            </w:r>
          </w:p>
        </w:tc>
        <w:tc>
          <w:tcPr>
            <w:tcW w:w="0" w:type="auto"/>
            <w:tcBorders>
              <w:top w:val="nil"/>
              <w:left w:val="nil"/>
              <w:bottom w:val="single" w:sz="8" w:space="0" w:color="auto"/>
              <w:right w:val="single" w:sz="8" w:space="0" w:color="auto"/>
            </w:tcBorders>
            <w:shd w:val="clear" w:color="auto" w:fill="auto"/>
            <w:vAlign w:val="center"/>
            <w:hideMark/>
          </w:tcPr>
          <w:p w14:paraId="2F55E23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0CD538A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Syosset </w:t>
            </w:r>
          </w:p>
        </w:tc>
        <w:tc>
          <w:tcPr>
            <w:tcW w:w="0" w:type="auto"/>
            <w:tcBorders>
              <w:top w:val="nil"/>
              <w:left w:val="nil"/>
              <w:bottom w:val="single" w:sz="8" w:space="0" w:color="auto"/>
              <w:right w:val="single" w:sz="8" w:space="0" w:color="auto"/>
            </w:tcBorders>
            <w:shd w:val="clear" w:color="auto" w:fill="auto"/>
            <w:vAlign w:val="center"/>
            <w:hideMark/>
          </w:tcPr>
          <w:p w14:paraId="6AEBD14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74D9A6C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70F4C1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871</w:t>
            </w:r>
          </w:p>
        </w:tc>
        <w:tc>
          <w:tcPr>
            <w:tcW w:w="0" w:type="auto"/>
            <w:tcBorders>
              <w:top w:val="nil"/>
              <w:left w:val="nil"/>
              <w:bottom w:val="single" w:sz="8" w:space="0" w:color="auto"/>
              <w:right w:val="single" w:sz="8" w:space="0" w:color="auto"/>
            </w:tcBorders>
            <w:shd w:val="clear" w:color="auto" w:fill="auto"/>
            <w:vAlign w:val="center"/>
            <w:hideMark/>
          </w:tcPr>
          <w:p w14:paraId="20E6938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Hauppauge </w:t>
            </w:r>
          </w:p>
        </w:tc>
        <w:tc>
          <w:tcPr>
            <w:tcW w:w="0" w:type="auto"/>
            <w:tcBorders>
              <w:top w:val="nil"/>
              <w:left w:val="nil"/>
              <w:bottom w:val="single" w:sz="8" w:space="0" w:color="auto"/>
              <w:right w:val="single" w:sz="8" w:space="0" w:color="auto"/>
            </w:tcBorders>
            <w:shd w:val="clear" w:color="auto" w:fill="auto"/>
            <w:vAlign w:val="center"/>
            <w:hideMark/>
          </w:tcPr>
          <w:p w14:paraId="48B66A0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190F3D8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Pilgrim </w:t>
            </w:r>
          </w:p>
        </w:tc>
        <w:tc>
          <w:tcPr>
            <w:tcW w:w="0" w:type="auto"/>
            <w:tcBorders>
              <w:top w:val="nil"/>
              <w:left w:val="nil"/>
              <w:bottom w:val="single" w:sz="8" w:space="0" w:color="auto"/>
              <w:right w:val="single" w:sz="8" w:space="0" w:color="auto"/>
            </w:tcBorders>
            <w:shd w:val="clear" w:color="auto" w:fill="auto"/>
            <w:vAlign w:val="center"/>
            <w:hideMark/>
          </w:tcPr>
          <w:p w14:paraId="78B9395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34A1F9C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CDF268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872</w:t>
            </w:r>
          </w:p>
        </w:tc>
        <w:tc>
          <w:tcPr>
            <w:tcW w:w="0" w:type="auto"/>
            <w:tcBorders>
              <w:top w:val="nil"/>
              <w:left w:val="nil"/>
              <w:bottom w:val="single" w:sz="8" w:space="0" w:color="auto"/>
              <w:right w:val="single" w:sz="8" w:space="0" w:color="auto"/>
            </w:tcBorders>
            <w:shd w:val="clear" w:color="auto" w:fill="auto"/>
            <w:vAlign w:val="center"/>
            <w:hideMark/>
          </w:tcPr>
          <w:p w14:paraId="77D6295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Holbrook </w:t>
            </w:r>
          </w:p>
        </w:tc>
        <w:tc>
          <w:tcPr>
            <w:tcW w:w="0" w:type="auto"/>
            <w:tcBorders>
              <w:top w:val="nil"/>
              <w:left w:val="nil"/>
              <w:bottom w:val="single" w:sz="8" w:space="0" w:color="auto"/>
              <w:right w:val="single" w:sz="8" w:space="0" w:color="auto"/>
            </w:tcBorders>
            <w:shd w:val="clear" w:color="auto" w:fill="auto"/>
            <w:vAlign w:val="center"/>
            <w:hideMark/>
          </w:tcPr>
          <w:p w14:paraId="6DFBD03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706F5BB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Sills Road </w:t>
            </w:r>
          </w:p>
        </w:tc>
        <w:tc>
          <w:tcPr>
            <w:tcW w:w="0" w:type="auto"/>
            <w:tcBorders>
              <w:top w:val="nil"/>
              <w:left w:val="nil"/>
              <w:bottom w:val="single" w:sz="8" w:space="0" w:color="auto"/>
              <w:right w:val="single" w:sz="8" w:space="0" w:color="auto"/>
            </w:tcBorders>
            <w:shd w:val="clear" w:color="auto" w:fill="auto"/>
            <w:vAlign w:val="center"/>
            <w:hideMark/>
          </w:tcPr>
          <w:p w14:paraId="7B1D786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7DB92CE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4F88E8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884</w:t>
            </w:r>
          </w:p>
        </w:tc>
        <w:tc>
          <w:tcPr>
            <w:tcW w:w="0" w:type="auto"/>
            <w:tcBorders>
              <w:top w:val="nil"/>
              <w:left w:val="nil"/>
              <w:bottom w:val="single" w:sz="8" w:space="0" w:color="auto"/>
              <w:right w:val="single" w:sz="8" w:space="0" w:color="auto"/>
            </w:tcBorders>
            <w:shd w:val="clear" w:color="auto" w:fill="auto"/>
            <w:vAlign w:val="center"/>
            <w:hideMark/>
          </w:tcPr>
          <w:p w14:paraId="0E80AA3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Holbrook </w:t>
            </w:r>
          </w:p>
        </w:tc>
        <w:tc>
          <w:tcPr>
            <w:tcW w:w="0" w:type="auto"/>
            <w:tcBorders>
              <w:top w:val="nil"/>
              <w:left w:val="nil"/>
              <w:bottom w:val="single" w:sz="8" w:space="0" w:color="auto"/>
              <w:right w:val="single" w:sz="8" w:space="0" w:color="auto"/>
            </w:tcBorders>
            <w:shd w:val="clear" w:color="auto" w:fill="auto"/>
            <w:vAlign w:val="center"/>
            <w:hideMark/>
          </w:tcPr>
          <w:p w14:paraId="790E92E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3F27D94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North Shore Beach </w:t>
            </w:r>
          </w:p>
        </w:tc>
        <w:tc>
          <w:tcPr>
            <w:tcW w:w="0" w:type="auto"/>
            <w:tcBorders>
              <w:top w:val="nil"/>
              <w:left w:val="nil"/>
              <w:bottom w:val="single" w:sz="8" w:space="0" w:color="auto"/>
              <w:right w:val="single" w:sz="8" w:space="0" w:color="auto"/>
            </w:tcBorders>
            <w:shd w:val="clear" w:color="auto" w:fill="auto"/>
            <w:vAlign w:val="center"/>
            <w:hideMark/>
          </w:tcPr>
          <w:p w14:paraId="76C8503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2C6D23A9"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3FBC63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885</w:t>
            </w:r>
          </w:p>
        </w:tc>
        <w:tc>
          <w:tcPr>
            <w:tcW w:w="0" w:type="auto"/>
            <w:tcBorders>
              <w:top w:val="nil"/>
              <w:left w:val="nil"/>
              <w:bottom w:val="single" w:sz="8" w:space="0" w:color="auto"/>
              <w:right w:val="single" w:sz="8" w:space="0" w:color="auto"/>
            </w:tcBorders>
            <w:shd w:val="clear" w:color="auto" w:fill="auto"/>
            <w:vAlign w:val="center"/>
            <w:hideMark/>
          </w:tcPr>
          <w:p w14:paraId="2CF056B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Holbrook </w:t>
            </w:r>
          </w:p>
        </w:tc>
        <w:tc>
          <w:tcPr>
            <w:tcW w:w="0" w:type="auto"/>
            <w:tcBorders>
              <w:top w:val="nil"/>
              <w:left w:val="nil"/>
              <w:bottom w:val="single" w:sz="8" w:space="0" w:color="auto"/>
              <w:right w:val="single" w:sz="8" w:space="0" w:color="auto"/>
            </w:tcBorders>
            <w:shd w:val="clear" w:color="auto" w:fill="auto"/>
            <w:vAlign w:val="center"/>
            <w:hideMark/>
          </w:tcPr>
          <w:p w14:paraId="1B3C8F4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7D51E2A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Miller Place </w:t>
            </w:r>
          </w:p>
        </w:tc>
        <w:tc>
          <w:tcPr>
            <w:tcW w:w="0" w:type="auto"/>
            <w:tcBorders>
              <w:top w:val="nil"/>
              <w:left w:val="nil"/>
              <w:bottom w:val="single" w:sz="8" w:space="0" w:color="auto"/>
              <w:right w:val="single" w:sz="8" w:space="0" w:color="auto"/>
            </w:tcBorders>
            <w:shd w:val="clear" w:color="auto" w:fill="auto"/>
            <w:vAlign w:val="center"/>
            <w:hideMark/>
          </w:tcPr>
          <w:p w14:paraId="4971C3B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1737D2E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1FDD35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888</w:t>
            </w:r>
          </w:p>
        </w:tc>
        <w:tc>
          <w:tcPr>
            <w:tcW w:w="0" w:type="auto"/>
            <w:tcBorders>
              <w:top w:val="nil"/>
              <w:left w:val="nil"/>
              <w:bottom w:val="single" w:sz="8" w:space="0" w:color="auto"/>
              <w:right w:val="single" w:sz="8" w:space="0" w:color="auto"/>
            </w:tcBorders>
            <w:shd w:val="clear" w:color="auto" w:fill="auto"/>
            <w:vAlign w:val="center"/>
            <w:hideMark/>
          </w:tcPr>
          <w:p w14:paraId="31A2E09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Holbrook </w:t>
            </w:r>
          </w:p>
        </w:tc>
        <w:tc>
          <w:tcPr>
            <w:tcW w:w="0" w:type="auto"/>
            <w:tcBorders>
              <w:top w:val="nil"/>
              <w:left w:val="nil"/>
              <w:bottom w:val="single" w:sz="8" w:space="0" w:color="auto"/>
              <w:right w:val="single" w:sz="8" w:space="0" w:color="auto"/>
            </w:tcBorders>
            <w:shd w:val="clear" w:color="auto" w:fill="auto"/>
            <w:vAlign w:val="center"/>
            <w:hideMark/>
          </w:tcPr>
          <w:p w14:paraId="508DFAA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71D5F30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West Bus </w:t>
            </w:r>
          </w:p>
        </w:tc>
        <w:tc>
          <w:tcPr>
            <w:tcW w:w="0" w:type="auto"/>
            <w:tcBorders>
              <w:top w:val="nil"/>
              <w:left w:val="nil"/>
              <w:bottom w:val="single" w:sz="8" w:space="0" w:color="auto"/>
              <w:right w:val="single" w:sz="8" w:space="0" w:color="auto"/>
            </w:tcBorders>
            <w:shd w:val="clear" w:color="auto" w:fill="auto"/>
            <w:vAlign w:val="center"/>
            <w:hideMark/>
          </w:tcPr>
          <w:p w14:paraId="37D8E78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CC5584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3A1E69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862</w:t>
            </w:r>
          </w:p>
        </w:tc>
        <w:tc>
          <w:tcPr>
            <w:tcW w:w="0" w:type="auto"/>
            <w:tcBorders>
              <w:top w:val="nil"/>
              <w:left w:val="nil"/>
              <w:bottom w:val="single" w:sz="8" w:space="0" w:color="auto"/>
              <w:right w:val="single" w:sz="8" w:space="0" w:color="auto"/>
            </w:tcBorders>
            <w:shd w:val="clear" w:color="auto" w:fill="auto"/>
            <w:vAlign w:val="center"/>
            <w:hideMark/>
          </w:tcPr>
          <w:p w14:paraId="05181B6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Holbrook </w:t>
            </w:r>
          </w:p>
        </w:tc>
        <w:tc>
          <w:tcPr>
            <w:tcW w:w="0" w:type="auto"/>
            <w:tcBorders>
              <w:top w:val="nil"/>
              <w:left w:val="nil"/>
              <w:bottom w:val="single" w:sz="8" w:space="0" w:color="auto"/>
              <w:right w:val="single" w:sz="8" w:space="0" w:color="auto"/>
            </w:tcBorders>
            <w:shd w:val="clear" w:color="auto" w:fill="auto"/>
            <w:vAlign w:val="center"/>
            <w:hideMark/>
          </w:tcPr>
          <w:p w14:paraId="08E1060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3BB0334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Port Jefferson </w:t>
            </w:r>
          </w:p>
        </w:tc>
        <w:tc>
          <w:tcPr>
            <w:tcW w:w="0" w:type="auto"/>
            <w:tcBorders>
              <w:top w:val="nil"/>
              <w:left w:val="nil"/>
              <w:bottom w:val="single" w:sz="8" w:space="0" w:color="auto"/>
              <w:right w:val="single" w:sz="8" w:space="0" w:color="auto"/>
            </w:tcBorders>
            <w:shd w:val="clear" w:color="auto" w:fill="auto"/>
            <w:vAlign w:val="center"/>
            <w:hideMark/>
          </w:tcPr>
          <w:p w14:paraId="71ACC9C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3BFB0049"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9D8107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875</w:t>
            </w:r>
          </w:p>
        </w:tc>
        <w:tc>
          <w:tcPr>
            <w:tcW w:w="0" w:type="auto"/>
            <w:tcBorders>
              <w:top w:val="nil"/>
              <w:left w:val="nil"/>
              <w:bottom w:val="single" w:sz="8" w:space="0" w:color="auto"/>
              <w:right w:val="single" w:sz="8" w:space="0" w:color="auto"/>
            </w:tcBorders>
            <w:shd w:val="clear" w:color="auto" w:fill="auto"/>
            <w:vAlign w:val="center"/>
            <w:hideMark/>
          </w:tcPr>
          <w:p w14:paraId="40FD081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Holbrook </w:t>
            </w:r>
          </w:p>
        </w:tc>
        <w:tc>
          <w:tcPr>
            <w:tcW w:w="0" w:type="auto"/>
            <w:tcBorders>
              <w:top w:val="nil"/>
              <w:left w:val="nil"/>
              <w:bottom w:val="single" w:sz="8" w:space="0" w:color="auto"/>
              <w:right w:val="single" w:sz="8" w:space="0" w:color="auto"/>
            </w:tcBorders>
            <w:shd w:val="clear" w:color="auto" w:fill="auto"/>
            <w:vAlign w:val="center"/>
            <w:hideMark/>
          </w:tcPr>
          <w:p w14:paraId="462D1AA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4B65260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Ronkonkoma </w:t>
            </w:r>
          </w:p>
        </w:tc>
        <w:tc>
          <w:tcPr>
            <w:tcW w:w="0" w:type="auto"/>
            <w:tcBorders>
              <w:top w:val="nil"/>
              <w:left w:val="nil"/>
              <w:bottom w:val="single" w:sz="8" w:space="0" w:color="auto"/>
              <w:right w:val="single" w:sz="8" w:space="0" w:color="auto"/>
            </w:tcBorders>
            <w:shd w:val="clear" w:color="auto" w:fill="auto"/>
            <w:vAlign w:val="center"/>
            <w:hideMark/>
          </w:tcPr>
          <w:p w14:paraId="0270C9D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63EADB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746D48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882</w:t>
            </w:r>
          </w:p>
        </w:tc>
        <w:tc>
          <w:tcPr>
            <w:tcW w:w="0" w:type="auto"/>
            <w:tcBorders>
              <w:top w:val="nil"/>
              <w:left w:val="nil"/>
              <w:bottom w:val="single" w:sz="8" w:space="0" w:color="auto"/>
              <w:right w:val="single" w:sz="8" w:space="0" w:color="auto"/>
            </w:tcBorders>
            <w:shd w:val="clear" w:color="auto" w:fill="auto"/>
            <w:vAlign w:val="center"/>
            <w:hideMark/>
          </w:tcPr>
          <w:p w14:paraId="6355028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Holbrook </w:t>
            </w:r>
          </w:p>
        </w:tc>
        <w:tc>
          <w:tcPr>
            <w:tcW w:w="0" w:type="auto"/>
            <w:tcBorders>
              <w:top w:val="nil"/>
              <w:left w:val="nil"/>
              <w:bottom w:val="single" w:sz="8" w:space="0" w:color="auto"/>
              <w:right w:val="single" w:sz="8" w:space="0" w:color="auto"/>
            </w:tcBorders>
            <w:shd w:val="clear" w:color="auto" w:fill="auto"/>
            <w:vAlign w:val="center"/>
            <w:hideMark/>
          </w:tcPr>
          <w:p w14:paraId="4F4E148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0176A76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Ruland Road </w:t>
            </w:r>
          </w:p>
        </w:tc>
        <w:tc>
          <w:tcPr>
            <w:tcW w:w="0" w:type="auto"/>
            <w:tcBorders>
              <w:top w:val="nil"/>
              <w:left w:val="nil"/>
              <w:bottom w:val="single" w:sz="8" w:space="0" w:color="auto"/>
              <w:right w:val="single" w:sz="8" w:space="0" w:color="auto"/>
            </w:tcBorders>
            <w:shd w:val="clear" w:color="auto" w:fill="auto"/>
            <w:vAlign w:val="center"/>
            <w:hideMark/>
          </w:tcPr>
          <w:p w14:paraId="4001203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7A74135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D9BE7F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886</w:t>
            </w:r>
          </w:p>
        </w:tc>
        <w:tc>
          <w:tcPr>
            <w:tcW w:w="0" w:type="auto"/>
            <w:tcBorders>
              <w:top w:val="nil"/>
              <w:left w:val="nil"/>
              <w:bottom w:val="single" w:sz="8" w:space="0" w:color="auto"/>
              <w:right w:val="single" w:sz="8" w:space="0" w:color="auto"/>
            </w:tcBorders>
            <w:shd w:val="clear" w:color="auto" w:fill="auto"/>
            <w:vAlign w:val="center"/>
            <w:hideMark/>
          </w:tcPr>
          <w:p w14:paraId="511F442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Holbrook </w:t>
            </w:r>
          </w:p>
        </w:tc>
        <w:tc>
          <w:tcPr>
            <w:tcW w:w="0" w:type="auto"/>
            <w:tcBorders>
              <w:top w:val="nil"/>
              <w:left w:val="nil"/>
              <w:bottom w:val="single" w:sz="8" w:space="0" w:color="auto"/>
              <w:right w:val="single" w:sz="8" w:space="0" w:color="auto"/>
            </w:tcBorders>
            <w:shd w:val="clear" w:color="auto" w:fill="auto"/>
            <w:vAlign w:val="center"/>
            <w:hideMark/>
          </w:tcPr>
          <w:p w14:paraId="3785657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1391E73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Port Jefferson </w:t>
            </w:r>
          </w:p>
        </w:tc>
        <w:tc>
          <w:tcPr>
            <w:tcW w:w="0" w:type="auto"/>
            <w:tcBorders>
              <w:top w:val="nil"/>
              <w:left w:val="nil"/>
              <w:bottom w:val="single" w:sz="8" w:space="0" w:color="auto"/>
              <w:right w:val="single" w:sz="8" w:space="0" w:color="auto"/>
            </w:tcBorders>
            <w:shd w:val="clear" w:color="auto" w:fill="auto"/>
            <w:vAlign w:val="center"/>
            <w:hideMark/>
          </w:tcPr>
          <w:p w14:paraId="5F5FD4D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3444230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217D4E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818</w:t>
            </w:r>
          </w:p>
        </w:tc>
        <w:tc>
          <w:tcPr>
            <w:tcW w:w="0" w:type="auto"/>
            <w:tcBorders>
              <w:top w:val="nil"/>
              <w:left w:val="nil"/>
              <w:bottom w:val="single" w:sz="8" w:space="0" w:color="auto"/>
              <w:right w:val="single" w:sz="8" w:space="0" w:color="auto"/>
            </w:tcBorders>
            <w:shd w:val="clear" w:color="auto" w:fill="auto"/>
            <w:vAlign w:val="center"/>
            <w:hideMark/>
          </w:tcPr>
          <w:p w14:paraId="774EFD4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Holtsville </w:t>
            </w:r>
          </w:p>
        </w:tc>
        <w:tc>
          <w:tcPr>
            <w:tcW w:w="0" w:type="auto"/>
            <w:tcBorders>
              <w:top w:val="nil"/>
              <w:left w:val="nil"/>
              <w:bottom w:val="single" w:sz="8" w:space="0" w:color="auto"/>
              <w:right w:val="single" w:sz="8" w:space="0" w:color="auto"/>
            </w:tcBorders>
            <w:shd w:val="clear" w:color="auto" w:fill="auto"/>
            <w:vAlign w:val="center"/>
            <w:hideMark/>
          </w:tcPr>
          <w:p w14:paraId="2C576D7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310EBAE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Union Ave </w:t>
            </w:r>
          </w:p>
        </w:tc>
        <w:tc>
          <w:tcPr>
            <w:tcW w:w="0" w:type="auto"/>
            <w:tcBorders>
              <w:top w:val="nil"/>
              <w:left w:val="nil"/>
              <w:bottom w:val="single" w:sz="8" w:space="0" w:color="auto"/>
              <w:right w:val="single" w:sz="8" w:space="0" w:color="auto"/>
            </w:tcBorders>
            <w:shd w:val="clear" w:color="auto" w:fill="auto"/>
            <w:vAlign w:val="center"/>
            <w:hideMark/>
          </w:tcPr>
          <w:p w14:paraId="1D251FD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1E0D1CA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4FF75F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876</w:t>
            </w:r>
          </w:p>
        </w:tc>
        <w:tc>
          <w:tcPr>
            <w:tcW w:w="0" w:type="auto"/>
            <w:tcBorders>
              <w:top w:val="nil"/>
              <w:left w:val="nil"/>
              <w:bottom w:val="single" w:sz="8" w:space="0" w:color="auto"/>
              <w:right w:val="single" w:sz="8" w:space="0" w:color="auto"/>
            </w:tcBorders>
            <w:shd w:val="clear" w:color="auto" w:fill="auto"/>
            <w:vAlign w:val="center"/>
            <w:hideMark/>
          </w:tcPr>
          <w:p w14:paraId="475C683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Holtsville </w:t>
            </w:r>
          </w:p>
        </w:tc>
        <w:tc>
          <w:tcPr>
            <w:tcW w:w="0" w:type="auto"/>
            <w:tcBorders>
              <w:top w:val="nil"/>
              <w:left w:val="nil"/>
              <w:bottom w:val="single" w:sz="8" w:space="0" w:color="auto"/>
              <w:right w:val="single" w:sz="8" w:space="0" w:color="auto"/>
            </w:tcBorders>
            <w:shd w:val="clear" w:color="auto" w:fill="auto"/>
            <w:vAlign w:val="center"/>
            <w:hideMark/>
          </w:tcPr>
          <w:p w14:paraId="3F1681E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5D838F0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West Bus </w:t>
            </w:r>
          </w:p>
        </w:tc>
        <w:tc>
          <w:tcPr>
            <w:tcW w:w="0" w:type="auto"/>
            <w:tcBorders>
              <w:top w:val="nil"/>
              <w:left w:val="nil"/>
              <w:bottom w:val="single" w:sz="8" w:space="0" w:color="auto"/>
              <w:right w:val="single" w:sz="8" w:space="0" w:color="auto"/>
            </w:tcBorders>
            <w:shd w:val="clear" w:color="auto" w:fill="auto"/>
            <w:vAlign w:val="center"/>
            <w:hideMark/>
          </w:tcPr>
          <w:p w14:paraId="1B1209C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4F30CEB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81065C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877</w:t>
            </w:r>
          </w:p>
        </w:tc>
        <w:tc>
          <w:tcPr>
            <w:tcW w:w="0" w:type="auto"/>
            <w:tcBorders>
              <w:top w:val="nil"/>
              <w:left w:val="nil"/>
              <w:bottom w:val="single" w:sz="8" w:space="0" w:color="auto"/>
              <w:right w:val="single" w:sz="8" w:space="0" w:color="auto"/>
            </w:tcBorders>
            <w:shd w:val="clear" w:color="auto" w:fill="auto"/>
            <w:vAlign w:val="center"/>
            <w:hideMark/>
          </w:tcPr>
          <w:p w14:paraId="281DE8A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Holtsville </w:t>
            </w:r>
          </w:p>
        </w:tc>
        <w:tc>
          <w:tcPr>
            <w:tcW w:w="0" w:type="auto"/>
            <w:tcBorders>
              <w:top w:val="nil"/>
              <w:left w:val="nil"/>
              <w:bottom w:val="single" w:sz="8" w:space="0" w:color="auto"/>
              <w:right w:val="single" w:sz="8" w:space="0" w:color="auto"/>
            </w:tcBorders>
            <w:shd w:val="clear" w:color="auto" w:fill="auto"/>
            <w:vAlign w:val="center"/>
            <w:hideMark/>
          </w:tcPr>
          <w:p w14:paraId="1E73024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3D2BD6D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West Bus </w:t>
            </w:r>
          </w:p>
        </w:tc>
        <w:tc>
          <w:tcPr>
            <w:tcW w:w="0" w:type="auto"/>
            <w:tcBorders>
              <w:top w:val="nil"/>
              <w:left w:val="nil"/>
              <w:bottom w:val="single" w:sz="8" w:space="0" w:color="auto"/>
              <w:right w:val="single" w:sz="8" w:space="0" w:color="auto"/>
            </w:tcBorders>
            <w:shd w:val="clear" w:color="auto" w:fill="auto"/>
            <w:vAlign w:val="center"/>
            <w:hideMark/>
          </w:tcPr>
          <w:p w14:paraId="55DE60B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7BE15BB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E77A0A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903</w:t>
            </w:r>
          </w:p>
        </w:tc>
        <w:tc>
          <w:tcPr>
            <w:tcW w:w="0" w:type="auto"/>
            <w:tcBorders>
              <w:top w:val="nil"/>
              <w:left w:val="nil"/>
              <w:bottom w:val="single" w:sz="8" w:space="0" w:color="auto"/>
              <w:right w:val="single" w:sz="8" w:space="0" w:color="auto"/>
            </w:tcBorders>
            <w:shd w:val="clear" w:color="auto" w:fill="auto"/>
            <w:vAlign w:val="center"/>
            <w:hideMark/>
          </w:tcPr>
          <w:p w14:paraId="6E5AA31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Jamaica </w:t>
            </w:r>
          </w:p>
        </w:tc>
        <w:tc>
          <w:tcPr>
            <w:tcW w:w="0" w:type="auto"/>
            <w:tcBorders>
              <w:top w:val="nil"/>
              <w:left w:val="nil"/>
              <w:bottom w:val="single" w:sz="8" w:space="0" w:color="auto"/>
              <w:right w:val="single" w:sz="8" w:space="0" w:color="auto"/>
            </w:tcBorders>
            <w:shd w:val="clear" w:color="auto" w:fill="auto"/>
            <w:vAlign w:val="center"/>
            <w:hideMark/>
          </w:tcPr>
          <w:p w14:paraId="262ECE2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6CA81F5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Lake Success </w:t>
            </w:r>
          </w:p>
        </w:tc>
        <w:tc>
          <w:tcPr>
            <w:tcW w:w="0" w:type="auto"/>
            <w:tcBorders>
              <w:top w:val="nil"/>
              <w:left w:val="nil"/>
              <w:bottom w:val="single" w:sz="8" w:space="0" w:color="auto"/>
              <w:right w:val="single" w:sz="8" w:space="0" w:color="auto"/>
            </w:tcBorders>
            <w:shd w:val="clear" w:color="auto" w:fill="auto"/>
            <w:vAlign w:val="center"/>
            <w:hideMark/>
          </w:tcPr>
          <w:p w14:paraId="08C8012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654B6C5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F890CF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lastRenderedPageBreak/>
              <w:t xml:space="preserve">901 L&amp;M </w:t>
            </w:r>
          </w:p>
        </w:tc>
        <w:tc>
          <w:tcPr>
            <w:tcW w:w="0" w:type="auto"/>
            <w:tcBorders>
              <w:top w:val="nil"/>
              <w:left w:val="nil"/>
              <w:bottom w:val="single" w:sz="8" w:space="0" w:color="auto"/>
              <w:right w:val="single" w:sz="8" w:space="0" w:color="auto"/>
            </w:tcBorders>
            <w:shd w:val="clear" w:color="auto" w:fill="auto"/>
            <w:vAlign w:val="center"/>
            <w:hideMark/>
          </w:tcPr>
          <w:p w14:paraId="17C35FA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Jamaica </w:t>
            </w:r>
          </w:p>
        </w:tc>
        <w:tc>
          <w:tcPr>
            <w:tcW w:w="0" w:type="auto"/>
            <w:tcBorders>
              <w:top w:val="nil"/>
              <w:left w:val="nil"/>
              <w:bottom w:val="single" w:sz="8" w:space="0" w:color="auto"/>
              <w:right w:val="single" w:sz="8" w:space="0" w:color="auto"/>
            </w:tcBorders>
            <w:shd w:val="clear" w:color="auto" w:fill="auto"/>
            <w:vAlign w:val="center"/>
            <w:hideMark/>
          </w:tcPr>
          <w:p w14:paraId="3D38A60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4145AAF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Valley Stream </w:t>
            </w:r>
          </w:p>
        </w:tc>
        <w:tc>
          <w:tcPr>
            <w:tcW w:w="0" w:type="auto"/>
            <w:tcBorders>
              <w:top w:val="nil"/>
              <w:left w:val="nil"/>
              <w:bottom w:val="single" w:sz="8" w:space="0" w:color="auto"/>
              <w:right w:val="single" w:sz="8" w:space="0" w:color="auto"/>
            </w:tcBorders>
            <w:shd w:val="clear" w:color="auto" w:fill="auto"/>
            <w:vAlign w:val="center"/>
            <w:hideMark/>
          </w:tcPr>
          <w:p w14:paraId="28BC927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41F01CD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9883DA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367</w:t>
            </w:r>
          </w:p>
        </w:tc>
        <w:tc>
          <w:tcPr>
            <w:tcW w:w="0" w:type="auto"/>
            <w:tcBorders>
              <w:top w:val="nil"/>
              <w:left w:val="nil"/>
              <w:bottom w:val="single" w:sz="8" w:space="0" w:color="auto"/>
              <w:right w:val="single" w:sz="8" w:space="0" w:color="auto"/>
            </w:tcBorders>
            <w:shd w:val="clear" w:color="auto" w:fill="auto"/>
            <w:vAlign w:val="center"/>
            <w:hideMark/>
          </w:tcPr>
          <w:p w14:paraId="1AB195F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Lake Success </w:t>
            </w:r>
          </w:p>
        </w:tc>
        <w:tc>
          <w:tcPr>
            <w:tcW w:w="0" w:type="auto"/>
            <w:tcBorders>
              <w:top w:val="nil"/>
              <w:left w:val="nil"/>
              <w:bottom w:val="single" w:sz="8" w:space="0" w:color="auto"/>
              <w:right w:val="single" w:sz="8" w:space="0" w:color="auto"/>
            </w:tcBorders>
            <w:shd w:val="clear" w:color="auto" w:fill="auto"/>
            <w:vAlign w:val="center"/>
            <w:hideMark/>
          </w:tcPr>
          <w:p w14:paraId="29D3195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227F2A8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Shore Road </w:t>
            </w:r>
          </w:p>
        </w:tc>
        <w:tc>
          <w:tcPr>
            <w:tcW w:w="0" w:type="auto"/>
            <w:tcBorders>
              <w:top w:val="nil"/>
              <w:left w:val="nil"/>
              <w:bottom w:val="single" w:sz="8" w:space="0" w:color="auto"/>
              <w:right w:val="single" w:sz="8" w:space="0" w:color="auto"/>
            </w:tcBorders>
            <w:shd w:val="clear" w:color="auto" w:fill="auto"/>
            <w:vAlign w:val="center"/>
            <w:hideMark/>
          </w:tcPr>
          <w:p w14:paraId="038FE27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4298578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38F38A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368</w:t>
            </w:r>
          </w:p>
        </w:tc>
        <w:tc>
          <w:tcPr>
            <w:tcW w:w="0" w:type="auto"/>
            <w:tcBorders>
              <w:top w:val="nil"/>
              <w:left w:val="nil"/>
              <w:bottom w:val="single" w:sz="8" w:space="0" w:color="auto"/>
              <w:right w:val="single" w:sz="8" w:space="0" w:color="auto"/>
            </w:tcBorders>
            <w:shd w:val="clear" w:color="auto" w:fill="auto"/>
            <w:vAlign w:val="center"/>
            <w:hideMark/>
          </w:tcPr>
          <w:p w14:paraId="187C27C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Lake Success </w:t>
            </w:r>
          </w:p>
        </w:tc>
        <w:tc>
          <w:tcPr>
            <w:tcW w:w="0" w:type="auto"/>
            <w:tcBorders>
              <w:top w:val="nil"/>
              <w:left w:val="nil"/>
              <w:bottom w:val="single" w:sz="8" w:space="0" w:color="auto"/>
              <w:right w:val="single" w:sz="8" w:space="0" w:color="auto"/>
            </w:tcBorders>
            <w:shd w:val="clear" w:color="auto" w:fill="auto"/>
            <w:vAlign w:val="center"/>
            <w:hideMark/>
          </w:tcPr>
          <w:p w14:paraId="6E0E7BA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3CAA42E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Shore Road </w:t>
            </w:r>
          </w:p>
        </w:tc>
        <w:tc>
          <w:tcPr>
            <w:tcW w:w="0" w:type="auto"/>
            <w:tcBorders>
              <w:top w:val="nil"/>
              <w:left w:val="nil"/>
              <w:bottom w:val="single" w:sz="8" w:space="0" w:color="auto"/>
              <w:right w:val="single" w:sz="8" w:space="0" w:color="auto"/>
            </w:tcBorders>
            <w:shd w:val="clear" w:color="auto" w:fill="auto"/>
            <w:vAlign w:val="center"/>
            <w:hideMark/>
          </w:tcPr>
          <w:p w14:paraId="6AD6842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28C8FCB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963D3C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PAR </w:t>
            </w:r>
          </w:p>
        </w:tc>
        <w:tc>
          <w:tcPr>
            <w:tcW w:w="0" w:type="auto"/>
            <w:tcBorders>
              <w:top w:val="nil"/>
              <w:left w:val="nil"/>
              <w:bottom w:val="single" w:sz="8" w:space="0" w:color="auto"/>
              <w:right w:val="single" w:sz="8" w:space="0" w:color="auto"/>
            </w:tcBorders>
            <w:shd w:val="clear" w:color="auto" w:fill="auto"/>
            <w:vAlign w:val="center"/>
            <w:hideMark/>
          </w:tcPr>
          <w:p w14:paraId="35C14AE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Lake Success </w:t>
            </w:r>
          </w:p>
        </w:tc>
        <w:tc>
          <w:tcPr>
            <w:tcW w:w="0" w:type="auto"/>
            <w:tcBorders>
              <w:top w:val="nil"/>
              <w:left w:val="nil"/>
              <w:bottom w:val="single" w:sz="8" w:space="0" w:color="auto"/>
              <w:right w:val="single" w:sz="8" w:space="0" w:color="auto"/>
            </w:tcBorders>
            <w:shd w:val="clear" w:color="auto" w:fill="auto"/>
            <w:vAlign w:val="center"/>
            <w:hideMark/>
          </w:tcPr>
          <w:p w14:paraId="5364055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3F2DD0F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Lake Success PAR </w:t>
            </w:r>
          </w:p>
        </w:tc>
        <w:tc>
          <w:tcPr>
            <w:tcW w:w="0" w:type="auto"/>
            <w:tcBorders>
              <w:top w:val="nil"/>
              <w:left w:val="nil"/>
              <w:bottom w:val="single" w:sz="8" w:space="0" w:color="auto"/>
              <w:right w:val="single" w:sz="8" w:space="0" w:color="auto"/>
            </w:tcBorders>
            <w:shd w:val="clear" w:color="auto" w:fill="auto"/>
            <w:vAlign w:val="center"/>
            <w:hideMark/>
          </w:tcPr>
          <w:p w14:paraId="5BB779D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7433DAF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1942F1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558</w:t>
            </w:r>
          </w:p>
        </w:tc>
        <w:tc>
          <w:tcPr>
            <w:tcW w:w="0" w:type="auto"/>
            <w:tcBorders>
              <w:top w:val="nil"/>
              <w:left w:val="nil"/>
              <w:bottom w:val="single" w:sz="8" w:space="0" w:color="auto"/>
              <w:right w:val="single" w:sz="8" w:space="0" w:color="auto"/>
            </w:tcBorders>
            <w:shd w:val="clear" w:color="auto" w:fill="auto"/>
            <w:vAlign w:val="center"/>
            <w:hideMark/>
          </w:tcPr>
          <w:p w14:paraId="6CDF055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Locust Grove </w:t>
            </w:r>
          </w:p>
        </w:tc>
        <w:tc>
          <w:tcPr>
            <w:tcW w:w="0" w:type="auto"/>
            <w:tcBorders>
              <w:top w:val="nil"/>
              <w:left w:val="nil"/>
              <w:bottom w:val="single" w:sz="8" w:space="0" w:color="auto"/>
              <w:right w:val="single" w:sz="8" w:space="0" w:color="auto"/>
            </w:tcBorders>
            <w:shd w:val="clear" w:color="auto" w:fill="auto"/>
            <w:vAlign w:val="center"/>
            <w:hideMark/>
          </w:tcPr>
          <w:p w14:paraId="42DD4DE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3F02424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Newbridge </w:t>
            </w:r>
          </w:p>
        </w:tc>
        <w:tc>
          <w:tcPr>
            <w:tcW w:w="0" w:type="auto"/>
            <w:tcBorders>
              <w:top w:val="nil"/>
              <w:left w:val="nil"/>
              <w:bottom w:val="single" w:sz="8" w:space="0" w:color="auto"/>
              <w:right w:val="single" w:sz="8" w:space="0" w:color="auto"/>
            </w:tcBorders>
            <w:shd w:val="clear" w:color="auto" w:fill="auto"/>
            <w:vAlign w:val="center"/>
            <w:hideMark/>
          </w:tcPr>
          <w:p w14:paraId="54B6645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4E2CD3C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464C1A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559</w:t>
            </w:r>
          </w:p>
        </w:tc>
        <w:tc>
          <w:tcPr>
            <w:tcW w:w="0" w:type="auto"/>
            <w:tcBorders>
              <w:top w:val="nil"/>
              <w:left w:val="nil"/>
              <w:bottom w:val="single" w:sz="8" w:space="0" w:color="auto"/>
              <w:right w:val="single" w:sz="8" w:space="0" w:color="auto"/>
            </w:tcBorders>
            <w:shd w:val="clear" w:color="auto" w:fill="auto"/>
            <w:vAlign w:val="center"/>
            <w:hideMark/>
          </w:tcPr>
          <w:p w14:paraId="2866D24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Locust Grove </w:t>
            </w:r>
          </w:p>
        </w:tc>
        <w:tc>
          <w:tcPr>
            <w:tcW w:w="0" w:type="auto"/>
            <w:tcBorders>
              <w:top w:val="nil"/>
              <w:left w:val="nil"/>
              <w:bottom w:val="single" w:sz="8" w:space="0" w:color="auto"/>
              <w:right w:val="single" w:sz="8" w:space="0" w:color="auto"/>
            </w:tcBorders>
            <w:shd w:val="clear" w:color="auto" w:fill="auto"/>
            <w:vAlign w:val="center"/>
            <w:hideMark/>
          </w:tcPr>
          <w:p w14:paraId="0B9EC69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65364B6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Syosset </w:t>
            </w:r>
          </w:p>
        </w:tc>
        <w:tc>
          <w:tcPr>
            <w:tcW w:w="0" w:type="auto"/>
            <w:tcBorders>
              <w:top w:val="nil"/>
              <w:left w:val="nil"/>
              <w:bottom w:val="single" w:sz="8" w:space="0" w:color="auto"/>
              <w:right w:val="single" w:sz="8" w:space="0" w:color="auto"/>
            </w:tcBorders>
            <w:shd w:val="clear" w:color="auto" w:fill="auto"/>
            <w:vAlign w:val="center"/>
            <w:hideMark/>
          </w:tcPr>
          <w:p w14:paraId="6EF87EF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B54578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8C55CB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879</w:t>
            </w:r>
          </w:p>
        </w:tc>
        <w:tc>
          <w:tcPr>
            <w:tcW w:w="0" w:type="auto"/>
            <w:tcBorders>
              <w:top w:val="nil"/>
              <w:left w:val="nil"/>
              <w:bottom w:val="single" w:sz="8" w:space="0" w:color="auto"/>
              <w:right w:val="single" w:sz="8" w:space="0" w:color="auto"/>
            </w:tcBorders>
            <w:shd w:val="clear" w:color="auto" w:fill="auto"/>
            <w:vAlign w:val="center"/>
            <w:hideMark/>
          </w:tcPr>
          <w:p w14:paraId="3683007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Miller Place </w:t>
            </w:r>
          </w:p>
        </w:tc>
        <w:tc>
          <w:tcPr>
            <w:tcW w:w="0" w:type="auto"/>
            <w:tcBorders>
              <w:top w:val="nil"/>
              <w:left w:val="nil"/>
              <w:bottom w:val="single" w:sz="8" w:space="0" w:color="auto"/>
              <w:right w:val="single" w:sz="8" w:space="0" w:color="auto"/>
            </w:tcBorders>
            <w:shd w:val="clear" w:color="auto" w:fill="auto"/>
            <w:vAlign w:val="center"/>
            <w:hideMark/>
          </w:tcPr>
          <w:p w14:paraId="5AB5DE9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0E28853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Shoreham </w:t>
            </w:r>
          </w:p>
        </w:tc>
        <w:tc>
          <w:tcPr>
            <w:tcW w:w="0" w:type="auto"/>
            <w:tcBorders>
              <w:top w:val="nil"/>
              <w:left w:val="nil"/>
              <w:bottom w:val="single" w:sz="8" w:space="0" w:color="auto"/>
              <w:right w:val="single" w:sz="8" w:space="0" w:color="auto"/>
            </w:tcBorders>
            <w:shd w:val="clear" w:color="auto" w:fill="auto"/>
            <w:vAlign w:val="center"/>
            <w:hideMark/>
          </w:tcPr>
          <w:p w14:paraId="438B8AB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7C65E5D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DADDA5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561</w:t>
            </w:r>
          </w:p>
        </w:tc>
        <w:tc>
          <w:tcPr>
            <w:tcW w:w="0" w:type="auto"/>
            <w:tcBorders>
              <w:top w:val="nil"/>
              <w:left w:val="nil"/>
              <w:bottom w:val="single" w:sz="8" w:space="0" w:color="auto"/>
              <w:right w:val="single" w:sz="8" w:space="0" w:color="auto"/>
            </w:tcBorders>
            <w:shd w:val="clear" w:color="auto" w:fill="auto"/>
            <w:vAlign w:val="center"/>
            <w:hideMark/>
          </w:tcPr>
          <w:p w14:paraId="219DF35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Newbridge Road </w:t>
            </w:r>
          </w:p>
        </w:tc>
        <w:tc>
          <w:tcPr>
            <w:tcW w:w="0" w:type="auto"/>
            <w:tcBorders>
              <w:top w:val="nil"/>
              <w:left w:val="nil"/>
              <w:bottom w:val="single" w:sz="8" w:space="0" w:color="auto"/>
              <w:right w:val="single" w:sz="8" w:space="0" w:color="auto"/>
            </w:tcBorders>
            <w:shd w:val="clear" w:color="auto" w:fill="auto"/>
            <w:vAlign w:val="center"/>
            <w:hideMark/>
          </w:tcPr>
          <w:p w14:paraId="438DA2E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2BB0592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Ruland Road </w:t>
            </w:r>
          </w:p>
        </w:tc>
        <w:tc>
          <w:tcPr>
            <w:tcW w:w="0" w:type="auto"/>
            <w:tcBorders>
              <w:top w:val="nil"/>
              <w:left w:val="nil"/>
              <w:bottom w:val="single" w:sz="8" w:space="0" w:color="auto"/>
              <w:right w:val="single" w:sz="8" w:space="0" w:color="auto"/>
            </w:tcBorders>
            <w:shd w:val="clear" w:color="auto" w:fill="auto"/>
            <w:vAlign w:val="center"/>
            <w:hideMark/>
          </w:tcPr>
          <w:p w14:paraId="27582A9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4C35021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C309D1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562</w:t>
            </w:r>
          </w:p>
        </w:tc>
        <w:tc>
          <w:tcPr>
            <w:tcW w:w="0" w:type="auto"/>
            <w:tcBorders>
              <w:top w:val="nil"/>
              <w:left w:val="nil"/>
              <w:bottom w:val="single" w:sz="8" w:space="0" w:color="auto"/>
              <w:right w:val="single" w:sz="8" w:space="0" w:color="auto"/>
            </w:tcBorders>
            <w:shd w:val="clear" w:color="auto" w:fill="auto"/>
            <w:vAlign w:val="center"/>
            <w:hideMark/>
          </w:tcPr>
          <w:p w14:paraId="20083A2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Newbridge Road </w:t>
            </w:r>
          </w:p>
        </w:tc>
        <w:tc>
          <w:tcPr>
            <w:tcW w:w="0" w:type="auto"/>
            <w:tcBorders>
              <w:top w:val="nil"/>
              <w:left w:val="nil"/>
              <w:bottom w:val="single" w:sz="8" w:space="0" w:color="auto"/>
              <w:right w:val="single" w:sz="8" w:space="0" w:color="auto"/>
            </w:tcBorders>
            <w:shd w:val="clear" w:color="auto" w:fill="auto"/>
            <w:vAlign w:val="center"/>
            <w:hideMark/>
          </w:tcPr>
          <w:p w14:paraId="76ACA5B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585D4CD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Ruland Road </w:t>
            </w:r>
          </w:p>
        </w:tc>
        <w:tc>
          <w:tcPr>
            <w:tcW w:w="0" w:type="auto"/>
            <w:tcBorders>
              <w:top w:val="nil"/>
              <w:left w:val="nil"/>
              <w:bottom w:val="single" w:sz="8" w:space="0" w:color="auto"/>
              <w:right w:val="single" w:sz="8" w:space="0" w:color="auto"/>
            </w:tcBorders>
            <w:shd w:val="clear" w:color="auto" w:fill="auto"/>
            <w:vAlign w:val="center"/>
            <w:hideMark/>
          </w:tcPr>
          <w:p w14:paraId="0E5ACB4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666EA53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89EE98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567</w:t>
            </w:r>
          </w:p>
        </w:tc>
        <w:tc>
          <w:tcPr>
            <w:tcW w:w="0" w:type="auto"/>
            <w:tcBorders>
              <w:top w:val="nil"/>
              <w:left w:val="nil"/>
              <w:bottom w:val="single" w:sz="8" w:space="0" w:color="auto"/>
              <w:right w:val="single" w:sz="8" w:space="0" w:color="auto"/>
            </w:tcBorders>
            <w:shd w:val="clear" w:color="auto" w:fill="auto"/>
            <w:vAlign w:val="center"/>
            <w:hideMark/>
          </w:tcPr>
          <w:p w14:paraId="7371B57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Newbridge Road </w:t>
            </w:r>
          </w:p>
        </w:tc>
        <w:tc>
          <w:tcPr>
            <w:tcW w:w="0" w:type="auto"/>
            <w:tcBorders>
              <w:top w:val="nil"/>
              <w:left w:val="nil"/>
              <w:bottom w:val="single" w:sz="8" w:space="0" w:color="auto"/>
              <w:right w:val="single" w:sz="8" w:space="0" w:color="auto"/>
            </w:tcBorders>
            <w:shd w:val="clear" w:color="auto" w:fill="auto"/>
            <w:vAlign w:val="center"/>
            <w:hideMark/>
          </w:tcPr>
          <w:p w14:paraId="6C4B4C6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1FBEF1D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Ruland Road </w:t>
            </w:r>
          </w:p>
        </w:tc>
        <w:tc>
          <w:tcPr>
            <w:tcW w:w="0" w:type="auto"/>
            <w:tcBorders>
              <w:top w:val="nil"/>
              <w:left w:val="nil"/>
              <w:bottom w:val="single" w:sz="8" w:space="0" w:color="auto"/>
              <w:right w:val="single" w:sz="8" w:space="0" w:color="auto"/>
            </w:tcBorders>
            <w:shd w:val="clear" w:color="auto" w:fill="auto"/>
            <w:vAlign w:val="center"/>
            <w:hideMark/>
          </w:tcPr>
          <w:p w14:paraId="7B50D0F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14DA3B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DC451F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878</w:t>
            </w:r>
          </w:p>
        </w:tc>
        <w:tc>
          <w:tcPr>
            <w:tcW w:w="0" w:type="auto"/>
            <w:tcBorders>
              <w:top w:val="nil"/>
              <w:left w:val="nil"/>
              <w:bottom w:val="single" w:sz="8" w:space="0" w:color="auto"/>
              <w:right w:val="single" w:sz="8" w:space="0" w:color="auto"/>
            </w:tcBorders>
            <w:shd w:val="clear" w:color="auto" w:fill="auto"/>
            <w:vAlign w:val="center"/>
            <w:hideMark/>
          </w:tcPr>
          <w:p w14:paraId="2F8A6D8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North Shore Beach </w:t>
            </w:r>
          </w:p>
        </w:tc>
        <w:tc>
          <w:tcPr>
            <w:tcW w:w="0" w:type="auto"/>
            <w:tcBorders>
              <w:top w:val="nil"/>
              <w:left w:val="nil"/>
              <w:bottom w:val="single" w:sz="8" w:space="0" w:color="auto"/>
              <w:right w:val="single" w:sz="8" w:space="0" w:color="auto"/>
            </w:tcBorders>
            <w:shd w:val="clear" w:color="auto" w:fill="auto"/>
            <w:vAlign w:val="center"/>
            <w:hideMark/>
          </w:tcPr>
          <w:p w14:paraId="6C983E8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27A408F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Wading River </w:t>
            </w:r>
          </w:p>
        </w:tc>
        <w:tc>
          <w:tcPr>
            <w:tcW w:w="0" w:type="auto"/>
            <w:tcBorders>
              <w:top w:val="nil"/>
              <w:left w:val="nil"/>
              <w:bottom w:val="single" w:sz="8" w:space="0" w:color="auto"/>
              <w:right w:val="single" w:sz="8" w:space="0" w:color="auto"/>
            </w:tcBorders>
            <w:shd w:val="clear" w:color="auto" w:fill="auto"/>
            <w:vAlign w:val="center"/>
            <w:hideMark/>
          </w:tcPr>
          <w:p w14:paraId="5AF843C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BA7CDA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A8E0BE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w:t>
            </w:r>
          </w:p>
        </w:tc>
        <w:tc>
          <w:tcPr>
            <w:tcW w:w="0" w:type="auto"/>
            <w:tcBorders>
              <w:top w:val="nil"/>
              <w:left w:val="nil"/>
              <w:bottom w:val="single" w:sz="8" w:space="0" w:color="auto"/>
              <w:right w:val="single" w:sz="8" w:space="0" w:color="auto"/>
            </w:tcBorders>
            <w:shd w:val="clear" w:color="auto" w:fill="auto"/>
            <w:vAlign w:val="center"/>
            <w:hideMark/>
          </w:tcPr>
          <w:p w14:paraId="566A884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Northport </w:t>
            </w:r>
          </w:p>
        </w:tc>
        <w:tc>
          <w:tcPr>
            <w:tcW w:w="0" w:type="auto"/>
            <w:tcBorders>
              <w:top w:val="nil"/>
              <w:left w:val="nil"/>
              <w:bottom w:val="single" w:sz="8" w:space="0" w:color="auto"/>
              <w:right w:val="single" w:sz="8" w:space="0" w:color="auto"/>
            </w:tcBorders>
            <w:shd w:val="clear" w:color="auto" w:fill="auto"/>
            <w:vAlign w:val="center"/>
            <w:hideMark/>
          </w:tcPr>
          <w:p w14:paraId="4FFA494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4FDAA76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Northport #1 </w:t>
            </w:r>
          </w:p>
        </w:tc>
        <w:tc>
          <w:tcPr>
            <w:tcW w:w="0" w:type="auto"/>
            <w:tcBorders>
              <w:top w:val="nil"/>
              <w:left w:val="nil"/>
              <w:bottom w:val="single" w:sz="8" w:space="0" w:color="auto"/>
              <w:right w:val="single" w:sz="8" w:space="0" w:color="auto"/>
            </w:tcBorders>
            <w:shd w:val="clear" w:color="auto" w:fill="auto"/>
            <w:vAlign w:val="center"/>
            <w:hideMark/>
          </w:tcPr>
          <w:p w14:paraId="1254D62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22</w:t>
            </w:r>
          </w:p>
        </w:tc>
      </w:tr>
      <w:tr w:rsidR="00FF49F1" w:rsidRPr="00FF49F1" w14:paraId="66AB09B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F88C6A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w:t>
            </w:r>
          </w:p>
        </w:tc>
        <w:tc>
          <w:tcPr>
            <w:tcW w:w="0" w:type="auto"/>
            <w:tcBorders>
              <w:top w:val="nil"/>
              <w:left w:val="nil"/>
              <w:bottom w:val="single" w:sz="8" w:space="0" w:color="auto"/>
              <w:right w:val="single" w:sz="8" w:space="0" w:color="auto"/>
            </w:tcBorders>
            <w:shd w:val="clear" w:color="auto" w:fill="auto"/>
            <w:vAlign w:val="center"/>
            <w:hideMark/>
          </w:tcPr>
          <w:p w14:paraId="4D399F6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Northport </w:t>
            </w:r>
          </w:p>
        </w:tc>
        <w:tc>
          <w:tcPr>
            <w:tcW w:w="0" w:type="auto"/>
            <w:tcBorders>
              <w:top w:val="nil"/>
              <w:left w:val="nil"/>
              <w:bottom w:val="single" w:sz="8" w:space="0" w:color="auto"/>
              <w:right w:val="single" w:sz="8" w:space="0" w:color="auto"/>
            </w:tcBorders>
            <w:shd w:val="clear" w:color="auto" w:fill="auto"/>
            <w:vAlign w:val="center"/>
            <w:hideMark/>
          </w:tcPr>
          <w:p w14:paraId="36A4143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4FA97DB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Northport #2 </w:t>
            </w:r>
          </w:p>
        </w:tc>
        <w:tc>
          <w:tcPr>
            <w:tcW w:w="0" w:type="auto"/>
            <w:tcBorders>
              <w:top w:val="nil"/>
              <w:left w:val="nil"/>
              <w:bottom w:val="single" w:sz="8" w:space="0" w:color="auto"/>
              <w:right w:val="single" w:sz="8" w:space="0" w:color="auto"/>
            </w:tcBorders>
            <w:shd w:val="clear" w:color="auto" w:fill="auto"/>
            <w:vAlign w:val="center"/>
            <w:hideMark/>
          </w:tcPr>
          <w:p w14:paraId="3448C49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22</w:t>
            </w:r>
          </w:p>
        </w:tc>
      </w:tr>
      <w:tr w:rsidR="00FF49F1" w:rsidRPr="00FF49F1" w14:paraId="2264B35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AA1373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w:t>
            </w:r>
          </w:p>
        </w:tc>
        <w:tc>
          <w:tcPr>
            <w:tcW w:w="0" w:type="auto"/>
            <w:tcBorders>
              <w:top w:val="nil"/>
              <w:left w:val="nil"/>
              <w:bottom w:val="single" w:sz="8" w:space="0" w:color="auto"/>
              <w:right w:val="single" w:sz="8" w:space="0" w:color="auto"/>
            </w:tcBorders>
            <w:shd w:val="clear" w:color="auto" w:fill="auto"/>
            <w:vAlign w:val="center"/>
            <w:hideMark/>
          </w:tcPr>
          <w:p w14:paraId="25CFB1C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Northport </w:t>
            </w:r>
          </w:p>
        </w:tc>
        <w:tc>
          <w:tcPr>
            <w:tcW w:w="0" w:type="auto"/>
            <w:tcBorders>
              <w:top w:val="nil"/>
              <w:left w:val="nil"/>
              <w:bottom w:val="single" w:sz="8" w:space="0" w:color="auto"/>
              <w:right w:val="single" w:sz="8" w:space="0" w:color="auto"/>
            </w:tcBorders>
            <w:shd w:val="clear" w:color="auto" w:fill="auto"/>
            <w:vAlign w:val="center"/>
            <w:hideMark/>
          </w:tcPr>
          <w:p w14:paraId="2BE45B7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7294B55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Northport #3 </w:t>
            </w:r>
          </w:p>
        </w:tc>
        <w:tc>
          <w:tcPr>
            <w:tcW w:w="0" w:type="auto"/>
            <w:tcBorders>
              <w:top w:val="nil"/>
              <w:left w:val="nil"/>
              <w:bottom w:val="single" w:sz="8" w:space="0" w:color="auto"/>
              <w:right w:val="single" w:sz="8" w:space="0" w:color="auto"/>
            </w:tcBorders>
            <w:shd w:val="clear" w:color="auto" w:fill="auto"/>
            <w:vAlign w:val="center"/>
            <w:hideMark/>
          </w:tcPr>
          <w:p w14:paraId="4DFDF31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22</w:t>
            </w:r>
          </w:p>
        </w:tc>
      </w:tr>
      <w:tr w:rsidR="00FF49F1" w:rsidRPr="00FF49F1" w14:paraId="59DDDA2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C42057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4</w:t>
            </w:r>
          </w:p>
        </w:tc>
        <w:tc>
          <w:tcPr>
            <w:tcW w:w="0" w:type="auto"/>
            <w:tcBorders>
              <w:top w:val="nil"/>
              <w:left w:val="nil"/>
              <w:bottom w:val="single" w:sz="8" w:space="0" w:color="auto"/>
              <w:right w:val="single" w:sz="8" w:space="0" w:color="auto"/>
            </w:tcBorders>
            <w:shd w:val="clear" w:color="auto" w:fill="auto"/>
            <w:vAlign w:val="center"/>
            <w:hideMark/>
          </w:tcPr>
          <w:p w14:paraId="5BD7E09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Northport </w:t>
            </w:r>
          </w:p>
        </w:tc>
        <w:tc>
          <w:tcPr>
            <w:tcW w:w="0" w:type="auto"/>
            <w:tcBorders>
              <w:top w:val="nil"/>
              <w:left w:val="nil"/>
              <w:bottom w:val="single" w:sz="8" w:space="0" w:color="auto"/>
              <w:right w:val="single" w:sz="8" w:space="0" w:color="auto"/>
            </w:tcBorders>
            <w:shd w:val="clear" w:color="auto" w:fill="auto"/>
            <w:vAlign w:val="center"/>
            <w:hideMark/>
          </w:tcPr>
          <w:p w14:paraId="03D1176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077C2DA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Northport #4 </w:t>
            </w:r>
          </w:p>
        </w:tc>
        <w:tc>
          <w:tcPr>
            <w:tcW w:w="0" w:type="auto"/>
            <w:tcBorders>
              <w:top w:val="nil"/>
              <w:left w:val="nil"/>
              <w:bottom w:val="single" w:sz="8" w:space="0" w:color="auto"/>
              <w:right w:val="single" w:sz="8" w:space="0" w:color="auto"/>
            </w:tcBorders>
            <w:shd w:val="clear" w:color="auto" w:fill="auto"/>
            <w:vAlign w:val="center"/>
            <w:hideMark/>
          </w:tcPr>
          <w:p w14:paraId="41F11C7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22</w:t>
            </w:r>
          </w:p>
        </w:tc>
      </w:tr>
      <w:tr w:rsidR="00FF49F1" w:rsidRPr="00FF49F1" w14:paraId="17DD0B2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F0794C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672</w:t>
            </w:r>
          </w:p>
        </w:tc>
        <w:tc>
          <w:tcPr>
            <w:tcW w:w="0" w:type="auto"/>
            <w:tcBorders>
              <w:top w:val="nil"/>
              <w:left w:val="nil"/>
              <w:bottom w:val="single" w:sz="8" w:space="0" w:color="auto"/>
              <w:right w:val="single" w:sz="8" w:space="0" w:color="auto"/>
            </w:tcBorders>
            <w:shd w:val="clear" w:color="auto" w:fill="auto"/>
            <w:vAlign w:val="center"/>
            <w:hideMark/>
          </w:tcPr>
          <w:p w14:paraId="50E2E15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Northport </w:t>
            </w:r>
          </w:p>
        </w:tc>
        <w:tc>
          <w:tcPr>
            <w:tcW w:w="0" w:type="auto"/>
            <w:tcBorders>
              <w:top w:val="nil"/>
              <w:left w:val="nil"/>
              <w:bottom w:val="single" w:sz="8" w:space="0" w:color="auto"/>
              <w:right w:val="single" w:sz="8" w:space="0" w:color="auto"/>
            </w:tcBorders>
            <w:shd w:val="clear" w:color="auto" w:fill="auto"/>
            <w:vAlign w:val="center"/>
            <w:hideMark/>
          </w:tcPr>
          <w:p w14:paraId="2AEAD08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0D4E4DF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Pilgrim </w:t>
            </w:r>
          </w:p>
        </w:tc>
        <w:tc>
          <w:tcPr>
            <w:tcW w:w="0" w:type="auto"/>
            <w:tcBorders>
              <w:top w:val="nil"/>
              <w:left w:val="nil"/>
              <w:bottom w:val="single" w:sz="8" w:space="0" w:color="auto"/>
              <w:right w:val="single" w:sz="8" w:space="0" w:color="auto"/>
            </w:tcBorders>
            <w:shd w:val="clear" w:color="auto" w:fill="auto"/>
            <w:vAlign w:val="center"/>
            <w:hideMark/>
          </w:tcPr>
          <w:p w14:paraId="1011D9C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733FE11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60198C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677</w:t>
            </w:r>
          </w:p>
        </w:tc>
        <w:tc>
          <w:tcPr>
            <w:tcW w:w="0" w:type="auto"/>
            <w:tcBorders>
              <w:top w:val="nil"/>
              <w:left w:val="nil"/>
              <w:bottom w:val="single" w:sz="8" w:space="0" w:color="auto"/>
              <w:right w:val="single" w:sz="8" w:space="0" w:color="auto"/>
            </w:tcBorders>
            <w:shd w:val="clear" w:color="auto" w:fill="auto"/>
            <w:vAlign w:val="center"/>
            <w:hideMark/>
          </w:tcPr>
          <w:p w14:paraId="564FF52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Northport </w:t>
            </w:r>
          </w:p>
        </w:tc>
        <w:tc>
          <w:tcPr>
            <w:tcW w:w="0" w:type="auto"/>
            <w:tcBorders>
              <w:top w:val="nil"/>
              <w:left w:val="nil"/>
              <w:bottom w:val="single" w:sz="8" w:space="0" w:color="auto"/>
              <w:right w:val="single" w:sz="8" w:space="0" w:color="auto"/>
            </w:tcBorders>
            <w:shd w:val="clear" w:color="auto" w:fill="auto"/>
            <w:vAlign w:val="center"/>
            <w:hideMark/>
          </w:tcPr>
          <w:p w14:paraId="547D66C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69DC0F2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Pilgrim </w:t>
            </w:r>
          </w:p>
        </w:tc>
        <w:tc>
          <w:tcPr>
            <w:tcW w:w="0" w:type="auto"/>
            <w:tcBorders>
              <w:top w:val="nil"/>
              <w:left w:val="nil"/>
              <w:bottom w:val="single" w:sz="8" w:space="0" w:color="auto"/>
              <w:right w:val="single" w:sz="8" w:space="0" w:color="auto"/>
            </w:tcBorders>
            <w:shd w:val="clear" w:color="auto" w:fill="auto"/>
            <w:vAlign w:val="center"/>
            <w:hideMark/>
          </w:tcPr>
          <w:p w14:paraId="3A3DE32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7730141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4AA7F8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679</w:t>
            </w:r>
          </w:p>
        </w:tc>
        <w:tc>
          <w:tcPr>
            <w:tcW w:w="0" w:type="auto"/>
            <w:tcBorders>
              <w:top w:val="nil"/>
              <w:left w:val="nil"/>
              <w:bottom w:val="single" w:sz="8" w:space="0" w:color="auto"/>
              <w:right w:val="single" w:sz="8" w:space="0" w:color="auto"/>
            </w:tcBorders>
            <w:shd w:val="clear" w:color="auto" w:fill="auto"/>
            <w:vAlign w:val="center"/>
            <w:hideMark/>
          </w:tcPr>
          <w:p w14:paraId="4BEC228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Northport </w:t>
            </w:r>
          </w:p>
        </w:tc>
        <w:tc>
          <w:tcPr>
            <w:tcW w:w="0" w:type="auto"/>
            <w:tcBorders>
              <w:top w:val="nil"/>
              <w:left w:val="nil"/>
              <w:bottom w:val="single" w:sz="8" w:space="0" w:color="auto"/>
              <w:right w:val="single" w:sz="8" w:space="0" w:color="auto"/>
            </w:tcBorders>
            <w:shd w:val="clear" w:color="auto" w:fill="auto"/>
            <w:vAlign w:val="center"/>
            <w:hideMark/>
          </w:tcPr>
          <w:p w14:paraId="3CF695C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5ADDA8B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Pilgrim </w:t>
            </w:r>
          </w:p>
        </w:tc>
        <w:tc>
          <w:tcPr>
            <w:tcW w:w="0" w:type="auto"/>
            <w:tcBorders>
              <w:top w:val="nil"/>
              <w:left w:val="nil"/>
              <w:bottom w:val="single" w:sz="8" w:space="0" w:color="auto"/>
              <w:right w:val="single" w:sz="8" w:space="0" w:color="auto"/>
            </w:tcBorders>
            <w:shd w:val="clear" w:color="auto" w:fill="auto"/>
            <w:vAlign w:val="center"/>
            <w:hideMark/>
          </w:tcPr>
          <w:p w14:paraId="049F87F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2197236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A800F9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1385 (601, 602, 603) </w:t>
            </w:r>
          </w:p>
        </w:tc>
        <w:tc>
          <w:tcPr>
            <w:tcW w:w="0" w:type="auto"/>
            <w:tcBorders>
              <w:top w:val="nil"/>
              <w:left w:val="nil"/>
              <w:bottom w:val="single" w:sz="8" w:space="0" w:color="auto"/>
              <w:right w:val="single" w:sz="8" w:space="0" w:color="auto"/>
            </w:tcBorders>
            <w:shd w:val="clear" w:color="auto" w:fill="auto"/>
            <w:vAlign w:val="center"/>
            <w:hideMark/>
          </w:tcPr>
          <w:p w14:paraId="6DE2440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Northport </w:t>
            </w:r>
          </w:p>
        </w:tc>
        <w:tc>
          <w:tcPr>
            <w:tcW w:w="0" w:type="auto"/>
            <w:tcBorders>
              <w:top w:val="nil"/>
              <w:left w:val="nil"/>
              <w:bottom w:val="single" w:sz="8" w:space="0" w:color="auto"/>
              <w:right w:val="single" w:sz="8" w:space="0" w:color="auto"/>
            </w:tcBorders>
            <w:shd w:val="clear" w:color="auto" w:fill="auto"/>
            <w:vAlign w:val="center"/>
            <w:hideMark/>
          </w:tcPr>
          <w:p w14:paraId="1C59BC2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39931F5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Norwalk Harbor </w:t>
            </w:r>
          </w:p>
        </w:tc>
        <w:tc>
          <w:tcPr>
            <w:tcW w:w="0" w:type="auto"/>
            <w:tcBorders>
              <w:top w:val="nil"/>
              <w:left w:val="nil"/>
              <w:bottom w:val="single" w:sz="8" w:space="0" w:color="auto"/>
              <w:right w:val="single" w:sz="8" w:space="0" w:color="auto"/>
            </w:tcBorders>
            <w:shd w:val="clear" w:color="auto" w:fill="auto"/>
            <w:vAlign w:val="center"/>
            <w:hideMark/>
          </w:tcPr>
          <w:p w14:paraId="5C2564C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38A8446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E35A70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PAR 1 </w:t>
            </w:r>
          </w:p>
        </w:tc>
        <w:tc>
          <w:tcPr>
            <w:tcW w:w="0" w:type="auto"/>
            <w:tcBorders>
              <w:top w:val="nil"/>
              <w:left w:val="nil"/>
              <w:bottom w:val="single" w:sz="8" w:space="0" w:color="auto"/>
              <w:right w:val="single" w:sz="8" w:space="0" w:color="auto"/>
            </w:tcBorders>
            <w:shd w:val="clear" w:color="auto" w:fill="auto"/>
            <w:vAlign w:val="center"/>
            <w:hideMark/>
          </w:tcPr>
          <w:p w14:paraId="2B552FA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Northport </w:t>
            </w:r>
          </w:p>
        </w:tc>
        <w:tc>
          <w:tcPr>
            <w:tcW w:w="0" w:type="auto"/>
            <w:tcBorders>
              <w:top w:val="nil"/>
              <w:left w:val="nil"/>
              <w:bottom w:val="single" w:sz="8" w:space="0" w:color="auto"/>
              <w:right w:val="single" w:sz="8" w:space="0" w:color="auto"/>
            </w:tcBorders>
            <w:shd w:val="clear" w:color="auto" w:fill="auto"/>
            <w:vAlign w:val="center"/>
            <w:hideMark/>
          </w:tcPr>
          <w:p w14:paraId="7E12D6E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33CBAB6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Northport </w:t>
            </w:r>
          </w:p>
        </w:tc>
        <w:tc>
          <w:tcPr>
            <w:tcW w:w="0" w:type="auto"/>
            <w:tcBorders>
              <w:top w:val="nil"/>
              <w:left w:val="nil"/>
              <w:bottom w:val="single" w:sz="8" w:space="0" w:color="auto"/>
              <w:right w:val="single" w:sz="8" w:space="0" w:color="auto"/>
            </w:tcBorders>
            <w:shd w:val="clear" w:color="auto" w:fill="auto"/>
            <w:vAlign w:val="center"/>
            <w:hideMark/>
          </w:tcPr>
          <w:p w14:paraId="277B1A2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96E3F0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A5520A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PS2 </w:t>
            </w:r>
          </w:p>
        </w:tc>
        <w:tc>
          <w:tcPr>
            <w:tcW w:w="0" w:type="auto"/>
            <w:tcBorders>
              <w:top w:val="nil"/>
              <w:left w:val="nil"/>
              <w:bottom w:val="single" w:sz="8" w:space="0" w:color="auto"/>
              <w:right w:val="single" w:sz="8" w:space="0" w:color="auto"/>
            </w:tcBorders>
            <w:shd w:val="clear" w:color="auto" w:fill="auto"/>
            <w:vAlign w:val="center"/>
            <w:hideMark/>
          </w:tcPr>
          <w:p w14:paraId="1ED1619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Northport </w:t>
            </w:r>
          </w:p>
        </w:tc>
        <w:tc>
          <w:tcPr>
            <w:tcW w:w="0" w:type="auto"/>
            <w:tcBorders>
              <w:top w:val="nil"/>
              <w:left w:val="nil"/>
              <w:bottom w:val="single" w:sz="8" w:space="0" w:color="auto"/>
              <w:right w:val="single" w:sz="8" w:space="0" w:color="auto"/>
            </w:tcBorders>
            <w:shd w:val="clear" w:color="auto" w:fill="auto"/>
            <w:vAlign w:val="center"/>
            <w:hideMark/>
          </w:tcPr>
          <w:p w14:paraId="619A5C1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79CB9D9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Northport </w:t>
            </w:r>
          </w:p>
        </w:tc>
        <w:tc>
          <w:tcPr>
            <w:tcW w:w="0" w:type="auto"/>
            <w:tcBorders>
              <w:top w:val="nil"/>
              <w:left w:val="nil"/>
              <w:bottom w:val="single" w:sz="8" w:space="0" w:color="auto"/>
              <w:right w:val="single" w:sz="8" w:space="0" w:color="auto"/>
            </w:tcBorders>
            <w:shd w:val="clear" w:color="auto" w:fill="auto"/>
            <w:vAlign w:val="center"/>
            <w:hideMark/>
          </w:tcPr>
          <w:p w14:paraId="1369B5C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3784321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5748C7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675</w:t>
            </w:r>
          </w:p>
        </w:tc>
        <w:tc>
          <w:tcPr>
            <w:tcW w:w="0" w:type="auto"/>
            <w:tcBorders>
              <w:top w:val="nil"/>
              <w:left w:val="nil"/>
              <w:bottom w:val="single" w:sz="8" w:space="0" w:color="auto"/>
              <w:right w:val="single" w:sz="8" w:space="0" w:color="auto"/>
            </w:tcBorders>
            <w:shd w:val="clear" w:color="auto" w:fill="auto"/>
            <w:vAlign w:val="center"/>
            <w:hideMark/>
          </w:tcPr>
          <w:p w14:paraId="133D8F6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Oakwood </w:t>
            </w:r>
          </w:p>
        </w:tc>
        <w:tc>
          <w:tcPr>
            <w:tcW w:w="0" w:type="auto"/>
            <w:tcBorders>
              <w:top w:val="nil"/>
              <w:left w:val="nil"/>
              <w:bottom w:val="single" w:sz="8" w:space="0" w:color="auto"/>
              <w:right w:val="single" w:sz="8" w:space="0" w:color="auto"/>
            </w:tcBorders>
            <w:shd w:val="clear" w:color="auto" w:fill="auto"/>
            <w:vAlign w:val="center"/>
            <w:hideMark/>
          </w:tcPr>
          <w:p w14:paraId="3BB3BBC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7937E58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Syosset </w:t>
            </w:r>
          </w:p>
        </w:tc>
        <w:tc>
          <w:tcPr>
            <w:tcW w:w="0" w:type="auto"/>
            <w:tcBorders>
              <w:top w:val="nil"/>
              <w:left w:val="nil"/>
              <w:bottom w:val="single" w:sz="8" w:space="0" w:color="auto"/>
              <w:right w:val="single" w:sz="8" w:space="0" w:color="auto"/>
            </w:tcBorders>
            <w:shd w:val="clear" w:color="auto" w:fill="auto"/>
            <w:vAlign w:val="center"/>
            <w:hideMark/>
          </w:tcPr>
          <w:p w14:paraId="706D989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658C651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581CC8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661</w:t>
            </w:r>
          </w:p>
        </w:tc>
        <w:tc>
          <w:tcPr>
            <w:tcW w:w="0" w:type="auto"/>
            <w:tcBorders>
              <w:top w:val="nil"/>
              <w:left w:val="nil"/>
              <w:bottom w:val="single" w:sz="8" w:space="0" w:color="auto"/>
              <w:right w:val="single" w:sz="8" w:space="0" w:color="auto"/>
            </w:tcBorders>
            <w:shd w:val="clear" w:color="auto" w:fill="auto"/>
            <w:vAlign w:val="center"/>
            <w:hideMark/>
          </w:tcPr>
          <w:p w14:paraId="3F9152A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Pilgrim </w:t>
            </w:r>
          </w:p>
        </w:tc>
        <w:tc>
          <w:tcPr>
            <w:tcW w:w="0" w:type="auto"/>
            <w:tcBorders>
              <w:top w:val="nil"/>
              <w:left w:val="nil"/>
              <w:bottom w:val="single" w:sz="8" w:space="0" w:color="auto"/>
              <w:right w:val="single" w:sz="8" w:space="0" w:color="auto"/>
            </w:tcBorders>
            <w:shd w:val="clear" w:color="auto" w:fill="auto"/>
            <w:vAlign w:val="center"/>
            <w:hideMark/>
          </w:tcPr>
          <w:p w14:paraId="451BCBA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56614F8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Ruland Road </w:t>
            </w:r>
          </w:p>
        </w:tc>
        <w:tc>
          <w:tcPr>
            <w:tcW w:w="0" w:type="auto"/>
            <w:tcBorders>
              <w:top w:val="nil"/>
              <w:left w:val="nil"/>
              <w:bottom w:val="single" w:sz="8" w:space="0" w:color="auto"/>
              <w:right w:val="single" w:sz="8" w:space="0" w:color="auto"/>
            </w:tcBorders>
            <w:shd w:val="clear" w:color="auto" w:fill="auto"/>
            <w:vAlign w:val="center"/>
            <w:hideMark/>
          </w:tcPr>
          <w:p w14:paraId="6E34401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16CBDE2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60FD59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662</w:t>
            </w:r>
          </w:p>
        </w:tc>
        <w:tc>
          <w:tcPr>
            <w:tcW w:w="0" w:type="auto"/>
            <w:tcBorders>
              <w:top w:val="nil"/>
              <w:left w:val="nil"/>
              <w:bottom w:val="single" w:sz="8" w:space="0" w:color="auto"/>
              <w:right w:val="single" w:sz="8" w:space="0" w:color="auto"/>
            </w:tcBorders>
            <w:shd w:val="clear" w:color="auto" w:fill="auto"/>
            <w:vAlign w:val="center"/>
            <w:hideMark/>
          </w:tcPr>
          <w:p w14:paraId="3881C35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Pilgrim </w:t>
            </w:r>
          </w:p>
        </w:tc>
        <w:tc>
          <w:tcPr>
            <w:tcW w:w="0" w:type="auto"/>
            <w:tcBorders>
              <w:top w:val="nil"/>
              <w:left w:val="nil"/>
              <w:bottom w:val="single" w:sz="8" w:space="0" w:color="auto"/>
              <w:right w:val="single" w:sz="8" w:space="0" w:color="auto"/>
            </w:tcBorders>
            <w:shd w:val="clear" w:color="auto" w:fill="auto"/>
            <w:vAlign w:val="center"/>
            <w:hideMark/>
          </w:tcPr>
          <w:p w14:paraId="652FD75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7766072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Ruland Road </w:t>
            </w:r>
          </w:p>
        </w:tc>
        <w:tc>
          <w:tcPr>
            <w:tcW w:w="0" w:type="auto"/>
            <w:tcBorders>
              <w:top w:val="nil"/>
              <w:left w:val="nil"/>
              <w:bottom w:val="single" w:sz="8" w:space="0" w:color="auto"/>
              <w:right w:val="single" w:sz="8" w:space="0" w:color="auto"/>
            </w:tcBorders>
            <w:shd w:val="clear" w:color="auto" w:fill="auto"/>
            <w:vAlign w:val="center"/>
            <w:hideMark/>
          </w:tcPr>
          <w:p w14:paraId="202DC42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34051E0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617001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881</w:t>
            </w:r>
          </w:p>
        </w:tc>
        <w:tc>
          <w:tcPr>
            <w:tcW w:w="0" w:type="auto"/>
            <w:tcBorders>
              <w:top w:val="nil"/>
              <w:left w:val="nil"/>
              <w:bottom w:val="single" w:sz="8" w:space="0" w:color="auto"/>
              <w:right w:val="single" w:sz="8" w:space="0" w:color="auto"/>
            </w:tcBorders>
            <w:shd w:val="clear" w:color="auto" w:fill="auto"/>
            <w:vAlign w:val="center"/>
            <w:hideMark/>
          </w:tcPr>
          <w:p w14:paraId="5B6A945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Pilgrim </w:t>
            </w:r>
          </w:p>
        </w:tc>
        <w:tc>
          <w:tcPr>
            <w:tcW w:w="0" w:type="auto"/>
            <w:tcBorders>
              <w:top w:val="nil"/>
              <w:left w:val="nil"/>
              <w:bottom w:val="single" w:sz="8" w:space="0" w:color="auto"/>
              <w:right w:val="single" w:sz="8" w:space="0" w:color="auto"/>
            </w:tcBorders>
            <w:shd w:val="clear" w:color="auto" w:fill="auto"/>
            <w:vAlign w:val="center"/>
            <w:hideMark/>
          </w:tcPr>
          <w:p w14:paraId="22C8E93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10A73A7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West Bus </w:t>
            </w:r>
          </w:p>
        </w:tc>
        <w:tc>
          <w:tcPr>
            <w:tcW w:w="0" w:type="auto"/>
            <w:tcBorders>
              <w:top w:val="nil"/>
              <w:left w:val="nil"/>
              <w:bottom w:val="single" w:sz="8" w:space="0" w:color="auto"/>
              <w:right w:val="single" w:sz="8" w:space="0" w:color="auto"/>
            </w:tcBorders>
            <w:shd w:val="clear" w:color="auto" w:fill="auto"/>
            <w:vAlign w:val="center"/>
            <w:hideMark/>
          </w:tcPr>
          <w:p w14:paraId="7A79F6F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32DDCEF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35CDAF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PAR </w:t>
            </w:r>
          </w:p>
        </w:tc>
        <w:tc>
          <w:tcPr>
            <w:tcW w:w="0" w:type="auto"/>
            <w:tcBorders>
              <w:top w:val="nil"/>
              <w:left w:val="nil"/>
              <w:bottom w:val="single" w:sz="8" w:space="0" w:color="auto"/>
              <w:right w:val="single" w:sz="8" w:space="0" w:color="auto"/>
            </w:tcBorders>
            <w:shd w:val="clear" w:color="auto" w:fill="auto"/>
            <w:vAlign w:val="center"/>
            <w:hideMark/>
          </w:tcPr>
          <w:p w14:paraId="5C48FDF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Pilgrim </w:t>
            </w:r>
          </w:p>
        </w:tc>
        <w:tc>
          <w:tcPr>
            <w:tcW w:w="0" w:type="auto"/>
            <w:tcBorders>
              <w:top w:val="nil"/>
              <w:left w:val="nil"/>
              <w:bottom w:val="single" w:sz="8" w:space="0" w:color="auto"/>
              <w:right w:val="single" w:sz="8" w:space="0" w:color="auto"/>
            </w:tcBorders>
            <w:shd w:val="clear" w:color="auto" w:fill="auto"/>
            <w:vAlign w:val="center"/>
            <w:hideMark/>
          </w:tcPr>
          <w:p w14:paraId="7743A41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78FB5C3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Pilgrim PAR </w:t>
            </w:r>
          </w:p>
        </w:tc>
        <w:tc>
          <w:tcPr>
            <w:tcW w:w="0" w:type="auto"/>
            <w:tcBorders>
              <w:top w:val="nil"/>
              <w:left w:val="nil"/>
              <w:bottom w:val="single" w:sz="8" w:space="0" w:color="auto"/>
              <w:right w:val="single" w:sz="8" w:space="0" w:color="auto"/>
            </w:tcBorders>
            <w:shd w:val="clear" w:color="auto" w:fill="auto"/>
            <w:vAlign w:val="center"/>
            <w:hideMark/>
          </w:tcPr>
          <w:p w14:paraId="5E0CF9F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6EDB0FC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25ADFD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36311</w:t>
            </w:r>
          </w:p>
        </w:tc>
        <w:tc>
          <w:tcPr>
            <w:tcW w:w="0" w:type="auto"/>
            <w:tcBorders>
              <w:top w:val="nil"/>
              <w:left w:val="nil"/>
              <w:bottom w:val="single" w:sz="8" w:space="0" w:color="auto"/>
              <w:right w:val="single" w:sz="8" w:space="0" w:color="auto"/>
            </w:tcBorders>
            <w:shd w:val="clear" w:color="auto" w:fill="auto"/>
            <w:vAlign w:val="center"/>
            <w:hideMark/>
          </w:tcPr>
          <w:p w14:paraId="7348D38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4BE6C46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6F09410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Vernon </w:t>
            </w:r>
          </w:p>
        </w:tc>
        <w:tc>
          <w:tcPr>
            <w:tcW w:w="0" w:type="auto"/>
            <w:tcBorders>
              <w:top w:val="nil"/>
              <w:left w:val="nil"/>
              <w:bottom w:val="single" w:sz="8" w:space="0" w:color="auto"/>
              <w:right w:val="single" w:sz="8" w:space="0" w:color="auto"/>
            </w:tcBorders>
            <w:shd w:val="clear" w:color="auto" w:fill="auto"/>
            <w:vAlign w:val="center"/>
            <w:hideMark/>
          </w:tcPr>
          <w:p w14:paraId="511006A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4E4DB48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4F81A9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36312</w:t>
            </w:r>
          </w:p>
        </w:tc>
        <w:tc>
          <w:tcPr>
            <w:tcW w:w="0" w:type="auto"/>
            <w:tcBorders>
              <w:top w:val="nil"/>
              <w:left w:val="nil"/>
              <w:bottom w:val="single" w:sz="8" w:space="0" w:color="auto"/>
              <w:right w:val="single" w:sz="8" w:space="0" w:color="auto"/>
            </w:tcBorders>
            <w:shd w:val="clear" w:color="auto" w:fill="auto"/>
            <w:vAlign w:val="center"/>
            <w:hideMark/>
          </w:tcPr>
          <w:p w14:paraId="1D218ED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Rainey </w:t>
            </w:r>
          </w:p>
        </w:tc>
        <w:tc>
          <w:tcPr>
            <w:tcW w:w="0" w:type="auto"/>
            <w:tcBorders>
              <w:top w:val="nil"/>
              <w:left w:val="nil"/>
              <w:bottom w:val="single" w:sz="8" w:space="0" w:color="auto"/>
              <w:right w:val="single" w:sz="8" w:space="0" w:color="auto"/>
            </w:tcBorders>
            <w:shd w:val="clear" w:color="auto" w:fill="auto"/>
            <w:vAlign w:val="center"/>
            <w:hideMark/>
          </w:tcPr>
          <w:p w14:paraId="2B71A27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4172EA0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Vernon </w:t>
            </w:r>
          </w:p>
        </w:tc>
        <w:tc>
          <w:tcPr>
            <w:tcW w:w="0" w:type="auto"/>
            <w:tcBorders>
              <w:top w:val="nil"/>
              <w:left w:val="nil"/>
              <w:bottom w:val="single" w:sz="8" w:space="0" w:color="auto"/>
              <w:right w:val="single" w:sz="8" w:space="0" w:color="auto"/>
            </w:tcBorders>
            <w:shd w:val="clear" w:color="auto" w:fill="auto"/>
            <w:vAlign w:val="center"/>
            <w:hideMark/>
          </w:tcPr>
          <w:p w14:paraId="7088E1D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01BE13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6135F6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890</w:t>
            </w:r>
          </w:p>
        </w:tc>
        <w:tc>
          <w:tcPr>
            <w:tcW w:w="0" w:type="auto"/>
            <w:tcBorders>
              <w:top w:val="nil"/>
              <w:left w:val="nil"/>
              <w:bottom w:val="single" w:sz="8" w:space="0" w:color="auto"/>
              <w:right w:val="single" w:sz="8" w:space="0" w:color="auto"/>
            </w:tcBorders>
            <w:shd w:val="clear" w:color="auto" w:fill="auto"/>
            <w:vAlign w:val="center"/>
            <w:hideMark/>
          </w:tcPr>
          <w:p w14:paraId="003FF3C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Riverhead </w:t>
            </w:r>
          </w:p>
        </w:tc>
        <w:tc>
          <w:tcPr>
            <w:tcW w:w="0" w:type="auto"/>
            <w:tcBorders>
              <w:top w:val="nil"/>
              <w:left w:val="nil"/>
              <w:bottom w:val="single" w:sz="8" w:space="0" w:color="auto"/>
              <w:right w:val="single" w:sz="8" w:space="0" w:color="auto"/>
            </w:tcBorders>
            <w:shd w:val="clear" w:color="auto" w:fill="auto"/>
            <w:vAlign w:val="center"/>
            <w:hideMark/>
          </w:tcPr>
          <w:p w14:paraId="3076AD7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53EAA31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Wildwood </w:t>
            </w:r>
          </w:p>
        </w:tc>
        <w:tc>
          <w:tcPr>
            <w:tcW w:w="0" w:type="auto"/>
            <w:tcBorders>
              <w:top w:val="nil"/>
              <w:left w:val="nil"/>
              <w:bottom w:val="single" w:sz="8" w:space="0" w:color="auto"/>
              <w:right w:val="single" w:sz="8" w:space="0" w:color="auto"/>
            </w:tcBorders>
            <w:shd w:val="clear" w:color="auto" w:fill="auto"/>
            <w:vAlign w:val="center"/>
            <w:hideMark/>
          </w:tcPr>
          <w:p w14:paraId="6B7EF22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035F502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89BACF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863</w:t>
            </w:r>
          </w:p>
        </w:tc>
        <w:tc>
          <w:tcPr>
            <w:tcW w:w="0" w:type="auto"/>
            <w:tcBorders>
              <w:top w:val="nil"/>
              <w:left w:val="nil"/>
              <w:bottom w:val="single" w:sz="8" w:space="0" w:color="auto"/>
              <w:right w:val="single" w:sz="8" w:space="0" w:color="auto"/>
            </w:tcBorders>
            <w:shd w:val="clear" w:color="auto" w:fill="auto"/>
            <w:vAlign w:val="center"/>
            <w:hideMark/>
          </w:tcPr>
          <w:p w14:paraId="174712C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Shoreham </w:t>
            </w:r>
          </w:p>
        </w:tc>
        <w:tc>
          <w:tcPr>
            <w:tcW w:w="0" w:type="auto"/>
            <w:tcBorders>
              <w:top w:val="nil"/>
              <w:left w:val="nil"/>
              <w:bottom w:val="single" w:sz="8" w:space="0" w:color="auto"/>
              <w:right w:val="single" w:sz="8" w:space="0" w:color="auto"/>
            </w:tcBorders>
            <w:shd w:val="clear" w:color="auto" w:fill="auto"/>
            <w:vAlign w:val="center"/>
            <w:hideMark/>
          </w:tcPr>
          <w:p w14:paraId="1CA7B05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6823AEF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Wildwood </w:t>
            </w:r>
          </w:p>
        </w:tc>
        <w:tc>
          <w:tcPr>
            <w:tcW w:w="0" w:type="auto"/>
            <w:tcBorders>
              <w:top w:val="nil"/>
              <w:left w:val="nil"/>
              <w:bottom w:val="single" w:sz="8" w:space="0" w:color="auto"/>
              <w:right w:val="single" w:sz="8" w:space="0" w:color="auto"/>
            </w:tcBorders>
            <w:shd w:val="clear" w:color="auto" w:fill="auto"/>
            <w:vAlign w:val="center"/>
            <w:hideMark/>
          </w:tcPr>
          <w:p w14:paraId="3BFD66D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FEA6A4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A91A56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867</w:t>
            </w:r>
          </w:p>
        </w:tc>
        <w:tc>
          <w:tcPr>
            <w:tcW w:w="0" w:type="auto"/>
            <w:tcBorders>
              <w:top w:val="nil"/>
              <w:left w:val="nil"/>
              <w:bottom w:val="single" w:sz="8" w:space="0" w:color="auto"/>
              <w:right w:val="single" w:sz="8" w:space="0" w:color="auto"/>
            </w:tcBorders>
            <w:shd w:val="clear" w:color="auto" w:fill="auto"/>
            <w:vAlign w:val="center"/>
            <w:hideMark/>
          </w:tcPr>
          <w:p w14:paraId="4084439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Shoreham </w:t>
            </w:r>
          </w:p>
        </w:tc>
        <w:tc>
          <w:tcPr>
            <w:tcW w:w="0" w:type="auto"/>
            <w:tcBorders>
              <w:top w:val="nil"/>
              <w:left w:val="nil"/>
              <w:bottom w:val="single" w:sz="8" w:space="0" w:color="auto"/>
              <w:right w:val="single" w:sz="8" w:space="0" w:color="auto"/>
            </w:tcBorders>
            <w:shd w:val="clear" w:color="auto" w:fill="auto"/>
            <w:vAlign w:val="center"/>
            <w:hideMark/>
          </w:tcPr>
          <w:p w14:paraId="2D215DB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7414B38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Wildwood </w:t>
            </w:r>
          </w:p>
        </w:tc>
        <w:tc>
          <w:tcPr>
            <w:tcW w:w="0" w:type="auto"/>
            <w:tcBorders>
              <w:top w:val="nil"/>
              <w:left w:val="nil"/>
              <w:bottom w:val="single" w:sz="8" w:space="0" w:color="auto"/>
              <w:right w:val="single" w:sz="8" w:space="0" w:color="auto"/>
            </w:tcBorders>
            <w:shd w:val="clear" w:color="auto" w:fill="auto"/>
            <w:vAlign w:val="center"/>
            <w:hideMark/>
          </w:tcPr>
          <w:p w14:paraId="59384CE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C45B8CF"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EFBAFA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891</w:t>
            </w:r>
          </w:p>
        </w:tc>
        <w:tc>
          <w:tcPr>
            <w:tcW w:w="0" w:type="auto"/>
            <w:tcBorders>
              <w:top w:val="nil"/>
              <w:left w:val="nil"/>
              <w:bottom w:val="single" w:sz="8" w:space="0" w:color="auto"/>
              <w:right w:val="single" w:sz="8" w:space="0" w:color="auto"/>
            </w:tcBorders>
            <w:shd w:val="clear" w:color="auto" w:fill="auto"/>
            <w:vAlign w:val="center"/>
            <w:hideMark/>
          </w:tcPr>
          <w:p w14:paraId="588FA58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Shoreham </w:t>
            </w:r>
          </w:p>
        </w:tc>
        <w:tc>
          <w:tcPr>
            <w:tcW w:w="0" w:type="auto"/>
            <w:tcBorders>
              <w:top w:val="nil"/>
              <w:left w:val="nil"/>
              <w:bottom w:val="single" w:sz="8" w:space="0" w:color="auto"/>
              <w:right w:val="single" w:sz="8" w:space="0" w:color="auto"/>
            </w:tcBorders>
            <w:shd w:val="clear" w:color="auto" w:fill="auto"/>
            <w:vAlign w:val="center"/>
            <w:hideMark/>
          </w:tcPr>
          <w:p w14:paraId="19CD83B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7C43816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Wading River </w:t>
            </w:r>
          </w:p>
        </w:tc>
        <w:tc>
          <w:tcPr>
            <w:tcW w:w="0" w:type="auto"/>
            <w:tcBorders>
              <w:top w:val="nil"/>
              <w:left w:val="nil"/>
              <w:bottom w:val="single" w:sz="8" w:space="0" w:color="auto"/>
              <w:right w:val="single" w:sz="8" w:space="0" w:color="auto"/>
            </w:tcBorders>
            <w:shd w:val="clear" w:color="auto" w:fill="auto"/>
            <w:vAlign w:val="center"/>
            <w:hideMark/>
          </w:tcPr>
          <w:p w14:paraId="44C8893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4C594E7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9CFBA4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873</w:t>
            </w:r>
          </w:p>
        </w:tc>
        <w:tc>
          <w:tcPr>
            <w:tcW w:w="0" w:type="auto"/>
            <w:tcBorders>
              <w:top w:val="nil"/>
              <w:left w:val="nil"/>
              <w:bottom w:val="single" w:sz="8" w:space="0" w:color="auto"/>
              <w:right w:val="single" w:sz="8" w:space="0" w:color="auto"/>
            </w:tcBorders>
            <w:shd w:val="clear" w:color="auto" w:fill="auto"/>
            <w:vAlign w:val="center"/>
            <w:hideMark/>
          </w:tcPr>
          <w:p w14:paraId="312966B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Sills Road </w:t>
            </w:r>
          </w:p>
        </w:tc>
        <w:tc>
          <w:tcPr>
            <w:tcW w:w="0" w:type="auto"/>
            <w:tcBorders>
              <w:top w:val="nil"/>
              <w:left w:val="nil"/>
              <w:bottom w:val="single" w:sz="8" w:space="0" w:color="auto"/>
              <w:right w:val="single" w:sz="8" w:space="0" w:color="auto"/>
            </w:tcBorders>
            <w:shd w:val="clear" w:color="auto" w:fill="auto"/>
            <w:vAlign w:val="center"/>
            <w:hideMark/>
          </w:tcPr>
          <w:p w14:paraId="1C576F1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614DF76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West Bus </w:t>
            </w:r>
          </w:p>
        </w:tc>
        <w:tc>
          <w:tcPr>
            <w:tcW w:w="0" w:type="auto"/>
            <w:tcBorders>
              <w:top w:val="nil"/>
              <w:left w:val="nil"/>
              <w:bottom w:val="single" w:sz="8" w:space="0" w:color="auto"/>
              <w:right w:val="single" w:sz="8" w:space="0" w:color="auto"/>
            </w:tcBorders>
            <w:shd w:val="clear" w:color="auto" w:fill="auto"/>
            <w:vAlign w:val="center"/>
            <w:hideMark/>
          </w:tcPr>
          <w:p w14:paraId="07185AA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75F304C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923263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PAR11 </w:t>
            </w:r>
          </w:p>
        </w:tc>
        <w:tc>
          <w:tcPr>
            <w:tcW w:w="0" w:type="auto"/>
            <w:tcBorders>
              <w:top w:val="nil"/>
              <w:left w:val="nil"/>
              <w:bottom w:val="single" w:sz="8" w:space="0" w:color="auto"/>
              <w:right w:val="single" w:sz="8" w:space="0" w:color="auto"/>
            </w:tcBorders>
            <w:shd w:val="clear" w:color="auto" w:fill="auto"/>
            <w:vAlign w:val="center"/>
            <w:hideMark/>
          </w:tcPr>
          <w:p w14:paraId="747E95D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Tremont </w:t>
            </w:r>
          </w:p>
        </w:tc>
        <w:tc>
          <w:tcPr>
            <w:tcW w:w="0" w:type="auto"/>
            <w:tcBorders>
              <w:top w:val="nil"/>
              <w:left w:val="nil"/>
              <w:bottom w:val="single" w:sz="8" w:space="0" w:color="auto"/>
              <w:right w:val="single" w:sz="8" w:space="0" w:color="auto"/>
            </w:tcBorders>
            <w:shd w:val="clear" w:color="auto" w:fill="auto"/>
            <w:vAlign w:val="center"/>
            <w:hideMark/>
          </w:tcPr>
          <w:p w14:paraId="3746AB2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2D21AA0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Tremont PAR 11 </w:t>
            </w:r>
          </w:p>
        </w:tc>
        <w:tc>
          <w:tcPr>
            <w:tcW w:w="0" w:type="auto"/>
            <w:tcBorders>
              <w:top w:val="nil"/>
              <w:left w:val="nil"/>
              <w:bottom w:val="single" w:sz="8" w:space="0" w:color="auto"/>
              <w:right w:val="single" w:sz="8" w:space="0" w:color="auto"/>
            </w:tcBorders>
            <w:shd w:val="clear" w:color="auto" w:fill="auto"/>
            <w:vAlign w:val="center"/>
            <w:hideMark/>
          </w:tcPr>
          <w:p w14:paraId="7F8394D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1A8977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70C2BE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PAR12 </w:t>
            </w:r>
          </w:p>
        </w:tc>
        <w:tc>
          <w:tcPr>
            <w:tcW w:w="0" w:type="auto"/>
            <w:tcBorders>
              <w:top w:val="nil"/>
              <w:left w:val="nil"/>
              <w:bottom w:val="single" w:sz="8" w:space="0" w:color="auto"/>
              <w:right w:val="single" w:sz="8" w:space="0" w:color="auto"/>
            </w:tcBorders>
            <w:shd w:val="clear" w:color="auto" w:fill="auto"/>
            <w:vAlign w:val="center"/>
            <w:hideMark/>
          </w:tcPr>
          <w:p w14:paraId="78FDFBE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Tremont </w:t>
            </w:r>
          </w:p>
        </w:tc>
        <w:tc>
          <w:tcPr>
            <w:tcW w:w="0" w:type="auto"/>
            <w:tcBorders>
              <w:top w:val="nil"/>
              <w:left w:val="nil"/>
              <w:bottom w:val="single" w:sz="8" w:space="0" w:color="auto"/>
              <w:right w:val="single" w:sz="8" w:space="0" w:color="auto"/>
            </w:tcBorders>
            <w:shd w:val="clear" w:color="auto" w:fill="auto"/>
            <w:vAlign w:val="center"/>
            <w:hideMark/>
          </w:tcPr>
          <w:p w14:paraId="42B516A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38338AD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Tremont PAR 12 </w:t>
            </w:r>
          </w:p>
        </w:tc>
        <w:tc>
          <w:tcPr>
            <w:tcW w:w="0" w:type="auto"/>
            <w:tcBorders>
              <w:top w:val="nil"/>
              <w:left w:val="nil"/>
              <w:bottom w:val="single" w:sz="8" w:space="0" w:color="auto"/>
              <w:right w:val="single" w:sz="8" w:space="0" w:color="auto"/>
            </w:tcBorders>
            <w:shd w:val="clear" w:color="auto" w:fill="auto"/>
            <w:vAlign w:val="center"/>
            <w:hideMark/>
          </w:tcPr>
          <w:p w14:paraId="2C62497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2D9BDB2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BC7B68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PAR </w:t>
            </w:r>
          </w:p>
        </w:tc>
        <w:tc>
          <w:tcPr>
            <w:tcW w:w="0" w:type="auto"/>
            <w:tcBorders>
              <w:top w:val="nil"/>
              <w:left w:val="nil"/>
              <w:bottom w:val="single" w:sz="8" w:space="0" w:color="auto"/>
              <w:right w:val="single" w:sz="8" w:space="0" w:color="auto"/>
            </w:tcBorders>
            <w:shd w:val="clear" w:color="auto" w:fill="auto"/>
            <w:vAlign w:val="center"/>
            <w:hideMark/>
          </w:tcPr>
          <w:p w14:paraId="47B1398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Valley Stream </w:t>
            </w:r>
          </w:p>
        </w:tc>
        <w:tc>
          <w:tcPr>
            <w:tcW w:w="0" w:type="auto"/>
            <w:tcBorders>
              <w:top w:val="nil"/>
              <w:left w:val="nil"/>
              <w:bottom w:val="single" w:sz="8" w:space="0" w:color="auto"/>
              <w:right w:val="single" w:sz="8" w:space="0" w:color="auto"/>
            </w:tcBorders>
            <w:shd w:val="clear" w:color="auto" w:fill="auto"/>
            <w:vAlign w:val="center"/>
            <w:hideMark/>
          </w:tcPr>
          <w:p w14:paraId="74F8882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7D8CC63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Valley Stream </w:t>
            </w:r>
          </w:p>
        </w:tc>
        <w:tc>
          <w:tcPr>
            <w:tcW w:w="0" w:type="auto"/>
            <w:tcBorders>
              <w:top w:val="nil"/>
              <w:left w:val="nil"/>
              <w:bottom w:val="single" w:sz="8" w:space="0" w:color="auto"/>
              <w:right w:val="single" w:sz="8" w:space="0" w:color="auto"/>
            </w:tcBorders>
            <w:shd w:val="clear" w:color="auto" w:fill="auto"/>
            <w:vAlign w:val="center"/>
            <w:hideMark/>
          </w:tcPr>
          <w:p w14:paraId="1C9C274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r>
      <w:tr w:rsidR="00FF49F1" w:rsidRPr="00FF49F1" w14:paraId="59D6082B"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F32895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10</w:t>
            </w:r>
          </w:p>
        </w:tc>
        <w:tc>
          <w:tcPr>
            <w:tcW w:w="0" w:type="auto"/>
            <w:tcBorders>
              <w:top w:val="nil"/>
              <w:left w:val="nil"/>
              <w:bottom w:val="single" w:sz="8" w:space="0" w:color="auto"/>
              <w:right w:val="single" w:sz="8" w:space="0" w:color="auto"/>
            </w:tcBorders>
            <w:shd w:val="clear" w:color="auto" w:fill="auto"/>
            <w:vAlign w:val="center"/>
            <w:hideMark/>
          </w:tcPr>
          <w:p w14:paraId="60CC586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Vernon </w:t>
            </w:r>
          </w:p>
        </w:tc>
        <w:tc>
          <w:tcPr>
            <w:tcW w:w="0" w:type="auto"/>
            <w:tcBorders>
              <w:top w:val="nil"/>
              <w:left w:val="nil"/>
              <w:bottom w:val="single" w:sz="8" w:space="0" w:color="auto"/>
              <w:right w:val="single" w:sz="8" w:space="0" w:color="auto"/>
            </w:tcBorders>
            <w:shd w:val="clear" w:color="auto" w:fill="auto"/>
            <w:vAlign w:val="center"/>
            <w:hideMark/>
          </w:tcPr>
          <w:p w14:paraId="1A673F6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05F92FA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Ravenswood #1 </w:t>
            </w:r>
          </w:p>
        </w:tc>
        <w:tc>
          <w:tcPr>
            <w:tcW w:w="0" w:type="auto"/>
            <w:tcBorders>
              <w:top w:val="nil"/>
              <w:left w:val="nil"/>
              <w:bottom w:val="single" w:sz="8" w:space="0" w:color="auto"/>
              <w:right w:val="single" w:sz="8" w:space="0" w:color="auto"/>
            </w:tcBorders>
            <w:shd w:val="clear" w:color="auto" w:fill="auto"/>
            <w:vAlign w:val="center"/>
            <w:hideMark/>
          </w:tcPr>
          <w:p w14:paraId="43A631E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20</w:t>
            </w:r>
          </w:p>
        </w:tc>
      </w:tr>
      <w:tr w:rsidR="00FF49F1" w:rsidRPr="00FF49F1" w14:paraId="2C24EE8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30446D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20</w:t>
            </w:r>
          </w:p>
        </w:tc>
        <w:tc>
          <w:tcPr>
            <w:tcW w:w="0" w:type="auto"/>
            <w:tcBorders>
              <w:top w:val="nil"/>
              <w:left w:val="nil"/>
              <w:bottom w:val="single" w:sz="8" w:space="0" w:color="auto"/>
              <w:right w:val="single" w:sz="8" w:space="0" w:color="auto"/>
            </w:tcBorders>
            <w:shd w:val="clear" w:color="auto" w:fill="auto"/>
            <w:vAlign w:val="center"/>
            <w:hideMark/>
          </w:tcPr>
          <w:p w14:paraId="561F860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Vernon </w:t>
            </w:r>
          </w:p>
        </w:tc>
        <w:tc>
          <w:tcPr>
            <w:tcW w:w="0" w:type="auto"/>
            <w:tcBorders>
              <w:top w:val="nil"/>
              <w:left w:val="nil"/>
              <w:bottom w:val="single" w:sz="8" w:space="0" w:color="auto"/>
              <w:right w:val="single" w:sz="8" w:space="0" w:color="auto"/>
            </w:tcBorders>
            <w:shd w:val="clear" w:color="auto" w:fill="auto"/>
            <w:vAlign w:val="center"/>
            <w:hideMark/>
          </w:tcPr>
          <w:p w14:paraId="1266343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138</w:t>
            </w:r>
          </w:p>
        </w:tc>
        <w:tc>
          <w:tcPr>
            <w:tcW w:w="0" w:type="auto"/>
            <w:tcBorders>
              <w:top w:val="nil"/>
              <w:left w:val="nil"/>
              <w:bottom w:val="single" w:sz="8" w:space="0" w:color="auto"/>
              <w:right w:val="single" w:sz="8" w:space="0" w:color="auto"/>
            </w:tcBorders>
            <w:shd w:val="clear" w:color="auto" w:fill="auto"/>
            <w:vAlign w:val="center"/>
            <w:hideMark/>
          </w:tcPr>
          <w:p w14:paraId="75EDA86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Ravenswood #2 </w:t>
            </w:r>
          </w:p>
        </w:tc>
        <w:tc>
          <w:tcPr>
            <w:tcW w:w="0" w:type="auto"/>
            <w:tcBorders>
              <w:top w:val="nil"/>
              <w:left w:val="nil"/>
              <w:bottom w:val="single" w:sz="8" w:space="0" w:color="auto"/>
              <w:right w:val="single" w:sz="8" w:space="0" w:color="auto"/>
            </w:tcBorders>
            <w:shd w:val="clear" w:color="auto" w:fill="auto"/>
            <w:vAlign w:val="center"/>
            <w:hideMark/>
          </w:tcPr>
          <w:p w14:paraId="396328E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20</w:t>
            </w:r>
          </w:p>
        </w:tc>
      </w:tr>
      <w:tr w:rsidR="00FF49F1" w:rsidRPr="00FF49F1" w14:paraId="6E62FEA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FDF64E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1-BP </w:t>
            </w:r>
          </w:p>
        </w:tc>
        <w:tc>
          <w:tcPr>
            <w:tcW w:w="0" w:type="auto"/>
            <w:tcBorders>
              <w:top w:val="nil"/>
              <w:left w:val="nil"/>
              <w:bottom w:val="single" w:sz="8" w:space="0" w:color="auto"/>
              <w:right w:val="single" w:sz="8" w:space="0" w:color="auto"/>
            </w:tcBorders>
            <w:shd w:val="clear" w:color="auto" w:fill="auto"/>
            <w:vAlign w:val="center"/>
            <w:hideMark/>
          </w:tcPr>
          <w:p w14:paraId="582E735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Boonville </w:t>
            </w:r>
          </w:p>
        </w:tc>
        <w:tc>
          <w:tcPr>
            <w:tcW w:w="0" w:type="auto"/>
            <w:tcBorders>
              <w:top w:val="nil"/>
              <w:left w:val="nil"/>
              <w:bottom w:val="single" w:sz="8" w:space="0" w:color="auto"/>
              <w:right w:val="single" w:sz="8" w:space="0" w:color="auto"/>
            </w:tcBorders>
            <w:shd w:val="clear" w:color="auto" w:fill="auto"/>
            <w:vAlign w:val="center"/>
            <w:hideMark/>
          </w:tcPr>
          <w:p w14:paraId="090BBBC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222EAB3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Porter </w:t>
            </w:r>
          </w:p>
        </w:tc>
        <w:tc>
          <w:tcPr>
            <w:tcW w:w="0" w:type="auto"/>
            <w:tcBorders>
              <w:top w:val="nil"/>
              <w:left w:val="nil"/>
              <w:bottom w:val="single" w:sz="8" w:space="0" w:color="auto"/>
              <w:right w:val="single" w:sz="8" w:space="0" w:color="auto"/>
            </w:tcBorders>
            <w:shd w:val="clear" w:color="auto" w:fill="auto"/>
            <w:vAlign w:val="center"/>
            <w:hideMark/>
          </w:tcPr>
          <w:p w14:paraId="736B171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17568E1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6D0AA1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2-BP </w:t>
            </w:r>
          </w:p>
        </w:tc>
        <w:tc>
          <w:tcPr>
            <w:tcW w:w="0" w:type="auto"/>
            <w:tcBorders>
              <w:top w:val="nil"/>
              <w:left w:val="nil"/>
              <w:bottom w:val="single" w:sz="8" w:space="0" w:color="auto"/>
              <w:right w:val="single" w:sz="8" w:space="0" w:color="auto"/>
            </w:tcBorders>
            <w:shd w:val="clear" w:color="auto" w:fill="auto"/>
            <w:vAlign w:val="center"/>
            <w:hideMark/>
          </w:tcPr>
          <w:p w14:paraId="6E19B7E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Boonville </w:t>
            </w:r>
          </w:p>
        </w:tc>
        <w:tc>
          <w:tcPr>
            <w:tcW w:w="0" w:type="auto"/>
            <w:tcBorders>
              <w:top w:val="nil"/>
              <w:left w:val="nil"/>
              <w:bottom w:val="single" w:sz="8" w:space="0" w:color="auto"/>
              <w:right w:val="single" w:sz="8" w:space="0" w:color="auto"/>
            </w:tcBorders>
            <w:shd w:val="clear" w:color="auto" w:fill="auto"/>
            <w:vAlign w:val="center"/>
            <w:hideMark/>
          </w:tcPr>
          <w:p w14:paraId="6BAFFAD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59361A3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Porter </w:t>
            </w:r>
          </w:p>
        </w:tc>
        <w:tc>
          <w:tcPr>
            <w:tcW w:w="0" w:type="auto"/>
            <w:tcBorders>
              <w:top w:val="nil"/>
              <w:left w:val="nil"/>
              <w:bottom w:val="single" w:sz="8" w:space="0" w:color="auto"/>
              <w:right w:val="single" w:sz="8" w:space="0" w:color="auto"/>
            </w:tcBorders>
            <w:shd w:val="clear" w:color="auto" w:fill="auto"/>
            <w:vAlign w:val="center"/>
            <w:hideMark/>
          </w:tcPr>
          <w:p w14:paraId="0B9968C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04A7FD1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E95C75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lastRenderedPageBreak/>
              <w:t>3</w:t>
            </w:r>
          </w:p>
        </w:tc>
        <w:tc>
          <w:tcPr>
            <w:tcW w:w="0" w:type="auto"/>
            <w:tcBorders>
              <w:top w:val="nil"/>
              <w:left w:val="nil"/>
              <w:bottom w:val="single" w:sz="8" w:space="0" w:color="auto"/>
              <w:right w:val="single" w:sz="8" w:space="0" w:color="auto"/>
            </w:tcBorders>
            <w:shd w:val="clear" w:color="auto" w:fill="auto"/>
            <w:vAlign w:val="center"/>
            <w:hideMark/>
          </w:tcPr>
          <w:p w14:paraId="030E582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Clay </w:t>
            </w:r>
          </w:p>
        </w:tc>
        <w:tc>
          <w:tcPr>
            <w:tcW w:w="0" w:type="auto"/>
            <w:tcBorders>
              <w:top w:val="nil"/>
              <w:left w:val="nil"/>
              <w:bottom w:val="single" w:sz="8" w:space="0" w:color="auto"/>
              <w:right w:val="single" w:sz="8" w:space="0" w:color="auto"/>
            </w:tcBorders>
            <w:shd w:val="clear" w:color="auto" w:fill="auto"/>
            <w:vAlign w:val="center"/>
            <w:hideMark/>
          </w:tcPr>
          <w:p w14:paraId="5857FB4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424F8DF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Dewitt </w:t>
            </w:r>
          </w:p>
        </w:tc>
        <w:tc>
          <w:tcPr>
            <w:tcW w:w="0" w:type="auto"/>
            <w:tcBorders>
              <w:top w:val="nil"/>
              <w:left w:val="nil"/>
              <w:bottom w:val="single" w:sz="8" w:space="0" w:color="auto"/>
              <w:right w:val="single" w:sz="8" w:space="0" w:color="auto"/>
            </w:tcBorders>
            <w:shd w:val="clear" w:color="auto" w:fill="auto"/>
            <w:vAlign w:val="center"/>
            <w:hideMark/>
          </w:tcPr>
          <w:p w14:paraId="0107006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6791312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BA5044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4</w:t>
            </w:r>
          </w:p>
        </w:tc>
        <w:tc>
          <w:tcPr>
            <w:tcW w:w="0" w:type="auto"/>
            <w:tcBorders>
              <w:top w:val="nil"/>
              <w:left w:val="nil"/>
              <w:bottom w:val="single" w:sz="8" w:space="0" w:color="auto"/>
              <w:right w:val="single" w:sz="8" w:space="0" w:color="auto"/>
            </w:tcBorders>
            <w:shd w:val="clear" w:color="auto" w:fill="auto"/>
            <w:vAlign w:val="center"/>
            <w:hideMark/>
          </w:tcPr>
          <w:p w14:paraId="44A190C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Clay </w:t>
            </w:r>
          </w:p>
        </w:tc>
        <w:tc>
          <w:tcPr>
            <w:tcW w:w="0" w:type="auto"/>
            <w:tcBorders>
              <w:top w:val="nil"/>
              <w:left w:val="nil"/>
              <w:bottom w:val="single" w:sz="8" w:space="0" w:color="auto"/>
              <w:right w:val="single" w:sz="8" w:space="0" w:color="auto"/>
            </w:tcBorders>
            <w:shd w:val="clear" w:color="auto" w:fill="auto"/>
            <w:vAlign w:val="center"/>
            <w:hideMark/>
          </w:tcPr>
          <w:p w14:paraId="053C2EB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70D8BEB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South Oswego </w:t>
            </w:r>
          </w:p>
        </w:tc>
        <w:tc>
          <w:tcPr>
            <w:tcW w:w="0" w:type="auto"/>
            <w:tcBorders>
              <w:top w:val="nil"/>
              <w:left w:val="nil"/>
              <w:bottom w:val="single" w:sz="8" w:space="0" w:color="auto"/>
              <w:right w:val="single" w:sz="8" w:space="0" w:color="auto"/>
            </w:tcBorders>
            <w:shd w:val="clear" w:color="auto" w:fill="auto"/>
            <w:vAlign w:val="center"/>
            <w:hideMark/>
          </w:tcPr>
          <w:p w14:paraId="4619D1C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679EC62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816B28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5</w:t>
            </w:r>
          </w:p>
        </w:tc>
        <w:tc>
          <w:tcPr>
            <w:tcW w:w="0" w:type="auto"/>
            <w:tcBorders>
              <w:top w:val="nil"/>
              <w:left w:val="nil"/>
              <w:bottom w:val="single" w:sz="8" w:space="0" w:color="auto"/>
              <w:right w:val="single" w:sz="8" w:space="0" w:color="auto"/>
            </w:tcBorders>
            <w:shd w:val="clear" w:color="auto" w:fill="auto"/>
            <w:vAlign w:val="center"/>
            <w:hideMark/>
          </w:tcPr>
          <w:p w14:paraId="29CBC25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Clay </w:t>
            </w:r>
          </w:p>
        </w:tc>
        <w:tc>
          <w:tcPr>
            <w:tcW w:w="0" w:type="auto"/>
            <w:tcBorders>
              <w:top w:val="nil"/>
              <w:left w:val="nil"/>
              <w:bottom w:val="single" w:sz="8" w:space="0" w:color="auto"/>
              <w:right w:val="single" w:sz="8" w:space="0" w:color="auto"/>
            </w:tcBorders>
            <w:shd w:val="clear" w:color="auto" w:fill="auto"/>
            <w:vAlign w:val="center"/>
            <w:hideMark/>
          </w:tcPr>
          <w:p w14:paraId="08EAEFD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37FF4D4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Dewitt </w:t>
            </w:r>
          </w:p>
        </w:tc>
        <w:tc>
          <w:tcPr>
            <w:tcW w:w="0" w:type="auto"/>
            <w:tcBorders>
              <w:top w:val="nil"/>
              <w:left w:val="nil"/>
              <w:bottom w:val="single" w:sz="8" w:space="0" w:color="auto"/>
              <w:right w:val="single" w:sz="8" w:space="0" w:color="auto"/>
            </w:tcBorders>
            <w:shd w:val="clear" w:color="auto" w:fill="auto"/>
            <w:vAlign w:val="center"/>
            <w:hideMark/>
          </w:tcPr>
          <w:p w14:paraId="5844EF5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56CF19D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125A9E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10</w:t>
            </w:r>
          </w:p>
        </w:tc>
        <w:tc>
          <w:tcPr>
            <w:tcW w:w="0" w:type="auto"/>
            <w:tcBorders>
              <w:top w:val="nil"/>
              <w:left w:val="nil"/>
              <w:bottom w:val="single" w:sz="8" w:space="0" w:color="auto"/>
              <w:right w:val="single" w:sz="8" w:space="0" w:color="auto"/>
            </w:tcBorders>
            <w:shd w:val="clear" w:color="auto" w:fill="auto"/>
            <w:vAlign w:val="center"/>
            <w:hideMark/>
          </w:tcPr>
          <w:p w14:paraId="2CF4D36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Clay </w:t>
            </w:r>
          </w:p>
        </w:tc>
        <w:tc>
          <w:tcPr>
            <w:tcW w:w="0" w:type="auto"/>
            <w:tcBorders>
              <w:top w:val="nil"/>
              <w:left w:val="nil"/>
              <w:bottom w:val="single" w:sz="8" w:space="0" w:color="auto"/>
              <w:right w:val="single" w:sz="8" w:space="0" w:color="auto"/>
            </w:tcBorders>
            <w:shd w:val="clear" w:color="auto" w:fill="auto"/>
            <w:vAlign w:val="center"/>
            <w:hideMark/>
          </w:tcPr>
          <w:p w14:paraId="475FA66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3B7FCB42"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Teall</w:t>
            </w:r>
            <w:proofErr w:type="spellEnd"/>
            <w:r w:rsidRPr="00FF49F1">
              <w:rPr>
                <w:rFonts w:ascii="Calibri" w:hAnsi="Calibri" w:cs="Calibri"/>
                <w:color w:val="000000"/>
                <w:sz w:val="16"/>
                <w:szCs w:val="16"/>
                <w:lang w:bidi="ar-SA"/>
              </w:rPr>
              <w:t xml:space="preserve"> Ave. </w:t>
            </w:r>
          </w:p>
        </w:tc>
        <w:tc>
          <w:tcPr>
            <w:tcW w:w="0" w:type="auto"/>
            <w:tcBorders>
              <w:top w:val="nil"/>
              <w:left w:val="nil"/>
              <w:bottom w:val="single" w:sz="8" w:space="0" w:color="auto"/>
              <w:right w:val="single" w:sz="8" w:space="0" w:color="auto"/>
            </w:tcBorders>
            <w:shd w:val="clear" w:color="auto" w:fill="auto"/>
            <w:vAlign w:val="center"/>
            <w:hideMark/>
          </w:tcPr>
          <w:p w14:paraId="30A576E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20B46C93"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21E2C9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w:t>
            </w:r>
          </w:p>
        </w:tc>
        <w:tc>
          <w:tcPr>
            <w:tcW w:w="0" w:type="auto"/>
            <w:tcBorders>
              <w:top w:val="nil"/>
              <w:left w:val="nil"/>
              <w:bottom w:val="single" w:sz="8" w:space="0" w:color="auto"/>
              <w:right w:val="single" w:sz="8" w:space="0" w:color="auto"/>
            </w:tcBorders>
            <w:shd w:val="clear" w:color="auto" w:fill="auto"/>
            <w:vAlign w:val="center"/>
            <w:hideMark/>
          </w:tcPr>
          <w:p w14:paraId="3AA233A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Clay </w:t>
            </w:r>
          </w:p>
        </w:tc>
        <w:tc>
          <w:tcPr>
            <w:tcW w:w="0" w:type="auto"/>
            <w:tcBorders>
              <w:top w:val="nil"/>
              <w:left w:val="nil"/>
              <w:bottom w:val="single" w:sz="8" w:space="0" w:color="auto"/>
              <w:right w:val="single" w:sz="8" w:space="0" w:color="auto"/>
            </w:tcBorders>
            <w:shd w:val="clear" w:color="auto" w:fill="auto"/>
            <w:vAlign w:val="center"/>
            <w:hideMark/>
          </w:tcPr>
          <w:p w14:paraId="7BA4D62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7DB958E1"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Teall</w:t>
            </w:r>
            <w:proofErr w:type="spellEnd"/>
            <w:r w:rsidRPr="00FF49F1">
              <w:rPr>
                <w:rFonts w:ascii="Calibri" w:hAnsi="Calibri" w:cs="Calibri"/>
                <w:color w:val="000000"/>
                <w:sz w:val="16"/>
                <w:szCs w:val="16"/>
                <w:lang w:bidi="ar-SA"/>
              </w:rPr>
              <w:t xml:space="preserve"> Ave. </w:t>
            </w:r>
          </w:p>
        </w:tc>
        <w:tc>
          <w:tcPr>
            <w:tcW w:w="0" w:type="auto"/>
            <w:tcBorders>
              <w:top w:val="nil"/>
              <w:left w:val="nil"/>
              <w:bottom w:val="single" w:sz="8" w:space="0" w:color="auto"/>
              <w:right w:val="single" w:sz="8" w:space="0" w:color="auto"/>
            </w:tcBorders>
            <w:shd w:val="clear" w:color="auto" w:fill="auto"/>
            <w:vAlign w:val="center"/>
            <w:hideMark/>
          </w:tcPr>
          <w:p w14:paraId="4A93BC8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5A373669"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4B5FB99"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14</w:t>
            </w:r>
          </w:p>
        </w:tc>
        <w:tc>
          <w:tcPr>
            <w:tcW w:w="0" w:type="auto"/>
            <w:tcBorders>
              <w:top w:val="nil"/>
              <w:left w:val="nil"/>
              <w:bottom w:val="single" w:sz="8" w:space="0" w:color="auto"/>
              <w:right w:val="single" w:sz="8" w:space="0" w:color="auto"/>
            </w:tcBorders>
            <w:shd w:val="clear" w:color="auto" w:fill="auto"/>
            <w:vAlign w:val="center"/>
            <w:hideMark/>
          </w:tcPr>
          <w:p w14:paraId="1481FF4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Clay </w:t>
            </w:r>
          </w:p>
        </w:tc>
        <w:tc>
          <w:tcPr>
            <w:tcW w:w="0" w:type="auto"/>
            <w:tcBorders>
              <w:top w:val="nil"/>
              <w:left w:val="nil"/>
              <w:bottom w:val="single" w:sz="8" w:space="0" w:color="auto"/>
              <w:right w:val="single" w:sz="8" w:space="0" w:color="auto"/>
            </w:tcBorders>
            <w:shd w:val="clear" w:color="auto" w:fill="auto"/>
            <w:vAlign w:val="center"/>
            <w:hideMark/>
          </w:tcPr>
          <w:p w14:paraId="5A2A8FA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2DD592C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Lockheed (GE) </w:t>
            </w:r>
          </w:p>
        </w:tc>
        <w:tc>
          <w:tcPr>
            <w:tcW w:w="0" w:type="auto"/>
            <w:tcBorders>
              <w:top w:val="nil"/>
              <w:left w:val="nil"/>
              <w:bottom w:val="single" w:sz="8" w:space="0" w:color="auto"/>
              <w:right w:val="single" w:sz="8" w:space="0" w:color="auto"/>
            </w:tcBorders>
            <w:shd w:val="clear" w:color="auto" w:fill="auto"/>
            <w:vAlign w:val="center"/>
            <w:hideMark/>
          </w:tcPr>
          <w:p w14:paraId="756C63A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010B2AD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32F3E0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17</w:t>
            </w:r>
          </w:p>
        </w:tc>
        <w:tc>
          <w:tcPr>
            <w:tcW w:w="0" w:type="auto"/>
            <w:tcBorders>
              <w:top w:val="nil"/>
              <w:left w:val="nil"/>
              <w:bottom w:val="single" w:sz="8" w:space="0" w:color="auto"/>
              <w:right w:val="single" w:sz="8" w:space="0" w:color="auto"/>
            </w:tcBorders>
            <w:shd w:val="clear" w:color="auto" w:fill="auto"/>
            <w:vAlign w:val="center"/>
            <w:hideMark/>
          </w:tcPr>
          <w:p w14:paraId="166B4AE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Clay </w:t>
            </w:r>
          </w:p>
        </w:tc>
        <w:tc>
          <w:tcPr>
            <w:tcW w:w="0" w:type="auto"/>
            <w:tcBorders>
              <w:top w:val="nil"/>
              <w:left w:val="nil"/>
              <w:bottom w:val="single" w:sz="8" w:space="0" w:color="auto"/>
              <w:right w:val="single" w:sz="8" w:space="0" w:color="auto"/>
            </w:tcBorders>
            <w:shd w:val="clear" w:color="auto" w:fill="auto"/>
            <w:vAlign w:val="center"/>
            <w:hideMark/>
          </w:tcPr>
          <w:p w14:paraId="2D24D71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795C1AB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Woodard </w:t>
            </w:r>
          </w:p>
        </w:tc>
        <w:tc>
          <w:tcPr>
            <w:tcW w:w="0" w:type="auto"/>
            <w:tcBorders>
              <w:top w:val="nil"/>
              <w:left w:val="nil"/>
              <w:bottom w:val="single" w:sz="8" w:space="0" w:color="auto"/>
              <w:right w:val="single" w:sz="8" w:space="0" w:color="auto"/>
            </w:tcBorders>
            <w:shd w:val="clear" w:color="auto" w:fill="auto"/>
            <w:vAlign w:val="center"/>
            <w:hideMark/>
          </w:tcPr>
          <w:p w14:paraId="5D78DEE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31723291"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477506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7-CL </w:t>
            </w:r>
          </w:p>
        </w:tc>
        <w:tc>
          <w:tcPr>
            <w:tcW w:w="0" w:type="auto"/>
            <w:tcBorders>
              <w:top w:val="nil"/>
              <w:left w:val="nil"/>
              <w:bottom w:val="single" w:sz="8" w:space="0" w:color="auto"/>
              <w:right w:val="single" w:sz="8" w:space="0" w:color="auto"/>
            </w:tcBorders>
            <w:shd w:val="clear" w:color="auto" w:fill="auto"/>
            <w:vAlign w:val="center"/>
            <w:hideMark/>
          </w:tcPr>
          <w:p w14:paraId="105522A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Clay </w:t>
            </w:r>
          </w:p>
        </w:tc>
        <w:tc>
          <w:tcPr>
            <w:tcW w:w="0" w:type="auto"/>
            <w:tcBorders>
              <w:top w:val="nil"/>
              <w:left w:val="nil"/>
              <w:bottom w:val="single" w:sz="8" w:space="0" w:color="auto"/>
              <w:right w:val="single" w:sz="8" w:space="0" w:color="auto"/>
            </w:tcBorders>
            <w:shd w:val="clear" w:color="auto" w:fill="auto"/>
            <w:vAlign w:val="center"/>
            <w:hideMark/>
          </w:tcPr>
          <w:p w14:paraId="2D1FBA8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354371F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Lighthouse Hill </w:t>
            </w:r>
          </w:p>
        </w:tc>
        <w:tc>
          <w:tcPr>
            <w:tcW w:w="0" w:type="auto"/>
            <w:tcBorders>
              <w:top w:val="nil"/>
              <w:left w:val="nil"/>
              <w:bottom w:val="single" w:sz="8" w:space="0" w:color="auto"/>
              <w:right w:val="single" w:sz="8" w:space="0" w:color="auto"/>
            </w:tcBorders>
            <w:shd w:val="clear" w:color="auto" w:fill="auto"/>
            <w:vAlign w:val="center"/>
            <w:hideMark/>
          </w:tcPr>
          <w:p w14:paraId="7777292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1530B3C2"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50AB6E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8</w:t>
            </w:r>
          </w:p>
        </w:tc>
        <w:tc>
          <w:tcPr>
            <w:tcW w:w="0" w:type="auto"/>
            <w:tcBorders>
              <w:top w:val="nil"/>
              <w:left w:val="nil"/>
              <w:bottom w:val="single" w:sz="8" w:space="0" w:color="auto"/>
              <w:right w:val="single" w:sz="8" w:space="0" w:color="auto"/>
            </w:tcBorders>
            <w:shd w:val="clear" w:color="auto" w:fill="auto"/>
            <w:vAlign w:val="center"/>
            <w:hideMark/>
          </w:tcPr>
          <w:p w14:paraId="07166CD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Deerfield </w:t>
            </w:r>
          </w:p>
        </w:tc>
        <w:tc>
          <w:tcPr>
            <w:tcW w:w="0" w:type="auto"/>
            <w:tcBorders>
              <w:top w:val="nil"/>
              <w:left w:val="nil"/>
              <w:bottom w:val="single" w:sz="8" w:space="0" w:color="auto"/>
              <w:right w:val="single" w:sz="8" w:space="0" w:color="auto"/>
            </w:tcBorders>
            <w:shd w:val="clear" w:color="auto" w:fill="auto"/>
            <w:vAlign w:val="center"/>
            <w:hideMark/>
          </w:tcPr>
          <w:p w14:paraId="025965A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3A9E1F7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Porter </w:t>
            </w:r>
          </w:p>
        </w:tc>
        <w:tc>
          <w:tcPr>
            <w:tcW w:w="0" w:type="auto"/>
            <w:tcBorders>
              <w:top w:val="nil"/>
              <w:left w:val="nil"/>
              <w:bottom w:val="single" w:sz="8" w:space="0" w:color="auto"/>
              <w:right w:val="single" w:sz="8" w:space="0" w:color="auto"/>
            </w:tcBorders>
            <w:shd w:val="clear" w:color="auto" w:fill="auto"/>
            <w:vAlign w:val="center"/>
            <w:hideMark/>
          </w:tcPr>
          <w:p w14:paraId="5F2B24D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03A6717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86CCBA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9</w:t>
            </w:r>
          </w:p>
        </w:tc>
        <w:tc>
          <w:tcPr>
            <w:tcW w:w="0" w:type="auto"/>
            <w:tcBorders>
              <w:top w:val="nil"/>
              <w:left w:val="nil"/>
              <w:bottom w:val="single" w:sz="8" w:space="0" w:color="auto"/>
              <w:right w:val="single" w:sz="8" w:space="0" w:color="auto"/>
            </w:tcBorders>
            <w:shd w:val="clear" w:color="auto" w:fill="auto"/>
            <w:vAlign w:val="center"/>
            <w:hideMark/>
          </w:tcPr>
          <w:p w14:paraId="50CEA08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Deerfield </w:t>
            </w:r>
          </w:p>
        </w:tc>
        <w:tc>
          <w:tcPr>
            <w:tcW w:w="0" w:type="auto"/>
            <w:tcBorders>
              <w:top w:val="nil"/>
              <w:left w:val="nil"/>
              <w:bottom w:val="single" w:sz="8" w:space="0" w:color="auto"/>
              <w:right w:val="single" w:sz="8" w:space="0" w:color="auto"/>
            </w:tcBorders>
            <w:shd w:val="clear" w:color="auto" w:fill="auto"/>
            <w:vAlign w:val="center"/>
            <w:hideMark/>
          </w:tcPr>
          <w:p w14:paraId="21F0945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257688E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Porter </w:t>
            </w:r>
          </w:p>
        </w:tc>
        <w:tc>
          <w:tcPr>
            <w:tcW w:w="0" w:type="auto"/>
            <w:tcBorders>
              <w:top w:val="nil"/>
              <w:left w:val="nil"/>
              <w:bottom w:val="single" w:sz="8" w:space="0" w:color="auto"/>
              <w:right w:val="single" w:sz="8" w:space="0" w:color="auto"/>
            </w:tcBorders>
            <w:shd w:val="clear" w:color="auto" w:fill="auto"/>
            <w:vAlign w:val="center"/>
            <w:hideMark/>
          </w:tcPr>
          <w:p w14:paraId="4F6F80A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0C8CA83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35C897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20</w:t>
            </w:r>
          </w:p>
        </w:tc>
        <w:tc>
          <w:tcPr>
            <w:tcW w:w="0" w:type="auto"/>
            <w:tcBorders>
              <w:top w:val="nil"/>
              <w:left w:val="nil"/>
              <w:bottom w:val="single" w:sz="8" w:space="0" w:color="auto"/>
              <w:right w:val="single" w:sz="8" w:space="0" w:color="auto"/>
            </w:tcBorders>
            <w:shd w:val="clear" w:color="auto" w:fill="auto"/>
            <w:vAlign w:val="center"/>
            <w:hideMark/>
          </w:tcPr>
          <w:p w14:paraId="3011CDBB"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Edic</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360E475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5CD2B3B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Porter</w:t>
            </w:r>
          </w:p>
        </w:tc>
        <w:tc>
          <w:tcPr>
            <w:tcW w:w="0" w:type="auto"/>
            <w:tcBorders>
              <w:top w:val="nil"/>
              <w:left w:val="nil"/>
              <w:bottom w:val="single" w:sz="8" w:space="0" w:color="auto"/>
              <w:right w:val="single" w:sz="8" w:space="0" w:color="auto"/>
            </w:tcBorders>
            <w:shd w:val="clear" w:color="auto" w:fill="auto"/>
            <w:vAlign w:val="center"/>
            <w:hideMark/>
          </w:tcPr>
          <w:p w14:paraId="1A460DD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6FCD0287"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B1E6D6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w:t>
            </w:r>
          </w:p>
        </w:tc>
        <w:tc>
          <w:tcPr>
            <w:tcW w:w="0" w:type="auto"/>
            <w:tcBorders>
              <w:top w:val="nil"/>
              <w:left w:val="nil"/>
              <w:bottom w:val="single" w:sz="8" w:space="0" w:color="auto"/>
              <w:right w:val="single" w:sz="8" w:space="0" w:color="auto"/>
            </w:tcBorders>
            <w:shd w:val="clear" w:color="auto" w:fill="auto"/>
            <w:vAlign w:val="center"/>
            <w:hideMark/>
          </w:tcPr>
          <w:p w14:paraId="2956A71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Ginna</w:t>
            </w:r>
          </w:p>
        </w:tc>
        <w:tc>
          <w:tcPr>
            <w:tcW w:w="0" w:type="auto"/>
            <w:tcBorders>
              <w:top w:val="nil"/>
              <w:left w:val="nil"/>
              <w:bottom w:val="single" w:sz="8" w:space="0" w:color="auto"/>
              <w:right w:val="single" w:sz="8" w:space="0" w:color="auto"/>
            </w:tcBorders>
            <w:shd w:val="clear" w:color="auto" w:fill="auto"/>
            <w:vAlign w:val="center"/>
            <w:hideMark/>
          </w:tcPr>
          <w:p w14:paraId="7C55AF9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7E3E2C9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Ginna</w:t>
            </w:r>
          </w:p>
        </w:tc>
        <w:tc>
          <w:tcPr>
            <w:tcW w:w="0" w:type="auto"/>
            <w:tcBorders>
              <w:top w:val="nil"/>
              <w:left w:val="nil"/>
              <w:bottom w:val="single" w:sz="8" w:space="0" w:color="auto"/>
              <w:right w:val="single" w:sz="8" w:space="0" w:color="auto"/>
            </w:tcBorders>
            <w:shd w:val="clear" w:color="auto" w:fill="auto"/>
            <w:vAlign w:val="center"/>
            <w:hideMark/>
          </w:tcPr>
          <w:p w14:paraId="3240822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16</w:t>
            </w:r>
          </w:p>
        </w:tc>
      </w:tr>
      <w:tr w:rsidR="00FF49F1" w:rsidRPr="00FF49F1" w14:paraId="086981E5"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6E6ED6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912</w:t>
            </w:r>
          </w:p>
        </w:tc>
        <w:tc>
          <w:tcPr>
            <w:tcW w:w="0" w:type="auto"/>
            <w:tcBorders>
              <w:top w:val="nil"/>
              <w:left w:val="nil"/>
              <w:bottom w:val="single" w:sz="8" w:space="0" w:color="auto"/>
              <w:right w:val="single" w:sz="8" w:space="0" w:color="auto"/>
            </w:tcBorders>
            <w:shd w:val="clear" w:color="auto" w:fill="auto"/>
            <w:vAlign w:val="center"/>
            <w:hideMark/>
          </w:tcPr>
          <w:p w14:paraId="042D714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Ginna</w:t>
            </w:r>
          </w:p>
        </w:tc>
        <w:tc>
          <w:tcPr>
            <w:tcW w:w="0" w:type="auto"/>
            <w:tcBorders>
              <w:top w:val="nil"/>
              <w:left w:val="nil"/>
              <w:bottom w:val="single" w:sz="8" w:space="0" w:color="auto"/>
              <w:right w:val="single" w:sz="8" w:space="0" w:color="auto"/>
            </w:tcBorders>
            <w:shd w:val="clear" w:color="auto" w:fill="auto"/>
            <w:vAlign w:val="center"/>
            <w:hideMark/>
          </w:tcPr>
          <w:p w14:paraId="5E5FEF8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21762C5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Pannell Rd.</w:t>
            </w:r>
          </w:p>
        </w:tc>
        <w:tc>
          <w:tcPr>
            <w:tcW w:w="0" w:type="auto"/>
            <w:tcBorders>
              <w:top w:val="nil"/>
              <w:left w:val="nil"/>
              <w:bottom w:val="single" w:sz="8" w:space="0" w:color="auto"/>
              <w:right w:val="single" w:sz="8" w:space="0" w:color="auto"/>
            </w:tcBorders>
            <w:shd w:val="clear" w:color="auto" w:fill="auto"/>
            <w:vAlign w:val="center"/>
            <w:hideMark/>
          </w:tcPr>
          <w:p w14:paraId="4D8F2AC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2B101A28"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2A8E0F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908-1</w:t>
            </w:r>
          </w:p>
        </w:tc>
        <w:tc>
          <w:tcPr>
            <w:tcW w:w="0" w:type="auto"/>
            <w:tcBorders>
              <w:top w:val="nil"/>
              <w:left w:val="nil"/>
              <w:bottom w:val="single" w:sz="8" w:space="0" w:color="auto"/>
              <w:right w:val="single" w:sz="8" w:space="0" w:color="auto"/>
            </w:tcBorders>
            <w:shd w:val="clear" w:color="auto" w:fill="auto"/>
            <w:vAlign w:val="center"/>
            <w:hideMark/>
          </w:tcPr>
          <w:p w14:paraId="33CC4FF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Ginna</w:t>
            </w:r>
          </w:p>
        </w:tc>
        <w:tc>
          <w:tcPr>
            <w:tcW w:w="0" w:type="auto"/>
            <w:tcBorders>
              <w:top w:val="nil"/>
              <w:left w:val="nil"/>
              <w:bottom w:val="single" w:sz="8" w:space="0" w:color="auto"/>
              <w:right w:val="single" w:sz="8" w:space="0" w:color="auto"/>
            </w:tcBorders>
            <w:shd w:val="clear" w:color="auto" w:fill="auto"/>
            <w:vAlign w:val="center"/>
            <w:hideMark/>
          </w:tcPr>
          <w:p w14:paraId="4024421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4A096A1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Pannell Rd.</w:t>
            </w:r>
          </w:p>
        </w:tc>
        <w:tc>
          <w:tcPr>
            <w:tcW w:w="0" w:type="auto"/>
            <w:tcBorders>
              <w:top w:val="nil"/>
              <w:left w:val="nil"/>
              <w:bottom w:val="single" w:sz="8" w:space="0" w:color="auto"/>
              <w:right w:val="single" w:sz="8" w:space="0" w:color="auto"/>
            </w:tcBorders>
            <w:shd w:val="clear" w:color="auto" w:fill="auto"/>
            <w:vAlign w:val="center"/>
            <w:hideMark/>
          </w:tcPr>
          <w:p w14:paraId="6638C5F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33A4563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3C8408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7X8272</w:t>
            </w:r>
          </w:p>
        </w:tc>
        <w:tc>
          <w:tcPr>
            <w:tcW w:w="0" w:type="auto"/>
            <w:tcBorders>
              <w:top w:val="nil"/>
              <w:left w:val="nil"/>
              <w:bottom w:val="single" w:sz="8" w:space="0" w:color="auto"/>
              <w:right w:val="single" w:sz="8" w:space="0" w:color="auto"/>
            </w:tcBorders>
            <w:shd w:val="clear" w:color="auto" w:fill="auto"/>
            <w:vAlign w:val="center"/>
            <w:hideMark/>
          </w:tcPr>
          <w:p w14:paraId="5461612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Mortimer</w:t>
            </w:r>
          </w:p>
        </w:tc>
        <w:tc>
          <w:tcPr>
            <w:tcW w:w="0" w:type="auto"/>
            <w:tcBorders>
              <w:top w:val="nil"/>
              <w:left w:val="nil"/>
              <w:bottom w:val="single" w:sz="8" w:space="0" w:color="auto"/>
              <w:right w:val="single" w:sz="8" w:space="0" w:color="auto"/>
            </w:tcBorders>
            <w:shd w:val="clear" w:color="auto" w:fill="auto"/>
            <w:vAlign w:val="center"/>
            <w:hideMark/>
          </w:tcPr>
          <w:p w14:paraId="36D7E4C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1370DCE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Sta#82</w:t>
            </w:r>
          </w:p>
        </w:tc>
        <w:tc>
          <w:tcPr>
            <w:tcW w:w="0" w:type="auto"/>
            <w:tcBorders>
              <w:top w:val="nil"/>
              <w:left w:val="nil"/>
              <w:bottom w:val="single" w:sz="8" w:space="0" w:color="auto"/>
              <w:right w:val="single" w:sz="8" w:space="0" w:color="auto"/>
            </w:tcBorders>
            <w:shd w:val="clear" w:color="auto" w:fill="auto"/>
            <w:vAlign w:val="center"/>
            <w:hideMark/>
          </w:tcPr>
          <w:p w14:paraId="6BD709E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575F966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28C275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7</w:t>
            </w:r>
          </w:p>
        </w:tc>
        <w:tc>
          <w:tcPr>
            <w:tcW w:w="0" w:type="auto"/>
            <w:tcBorders>
              <w:top w:val="nil"/>
              <w:left w:val="nil"/>
              <w:bottom w:val="single" w:sz="8" w:space="0" w:color="auto"/>
              <w:right w:val="single" w:sz="8" w:space="0" w:color="auto"/>
            </w:tcBorders>
            <w:shd w:val="clear" w:color="auto" w:fill="auto"/>
            <w:vAlign w:val="center"/>
            <w:hideMark/>
          </w:tcPr>
          <w:p w14:paraId="15CEFB2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Oneida</w:t>
            </w:r>
          </w:p>
        </w:tc>
        <w:tc>
          <w:tcPr>
            <w:tcW w:w="0" w:type="auto"/>
            <w:tcBorders>
              <w:top w:val="nil"/>
              <w:left w:val="nil"/>
              <w:bottom w:val="single" w:sz="8" w:space="0" w:color="auto"/>
              <w:right w:val="single" w:sz="8" w:space="0" w:color="auto"/>
            </w:tcBorders>
            <w:shd w:val="clear" w:color="auto" w:fill="auto"/>
            <w:vAlign w:val="center"/>
            <w:hideMark/>
          </w:tcPr>
          <w:p w14:paraId="4085848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5D3ABAF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Porter</w:t>
            </w:r>
          </w:p>
        </w:tc>
        <w:tc>
          <w:tcPr>
            <w:tcW w:w="0" w:type="auto"/>
            <w:tcBorders>
              <w:top w:val="nil"/>
              <w:left w:val="nil"/>
              <w:bottom w:val="single" w:sz="8" w:space="0" w:color="auto"/>
              <w:right w:val="single" w:sz="8" w:space="0" w:color="auto"/>
            </w:tcBorders>
            <w:shd w:val="clear" w:color="auto" w:fill="auto"/>
            <w:vAlign w:val="center"/>
            <w:hideMark/>
          </w:tcPr>
          <w:p w14:paraId="3124445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32327FD0"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91AA9F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PAR3</w:t>
            </w:r>
          </w:p>
        </w:tc>
        <w:tc>
          <w:tcPr>
            <w:tcW w:w="0" w:type="auto"/>
            <w:tcBorders>
              <w:top w:val="nil"/>
              <w:left w:val="nil"/>
              <w:bottom w:val="single" w:sz="8" w:space="0" w:color="auto"/>
              <w:right w:val="single" w:sz="8" w:space="0" w:color="auto"/>
            </w:tcBorders>
            <w:shd w:val="clear" w:color="auto" w:fill="auto"/>
            <w:vAlign w:val="center"/>
            <w:hideMark/>
          </w:tcPr>
          <w:p w14:paraId="5EF8394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Plattsburgh</w:t>
            </w:r>
          </w:p>
        </w:tc>
        <w:tc>
          <w:tcPr>
            <w:tcW w:w="0" w:type="auto"/>
            <w:tcBorders>
              <w:top w:val="nil"/>
              <w:left w:val="nil"/>
              <w:bottom w:val="single" w:sz="8" w:space="0" w:color="auto"/>
              <w:right w:val="single" w:sz="8" w:space="0" w:color="auto"/>
            </w:tcBorders>
            <w:shd w:val="clear" w:color="auto" w:fill="auto"/>
            <w:vAlign w:val="center"/>
            <w:hideMark/>
          </w:tcPr>
          <w:p w14:paraId="73BB62D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76CBB57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Plattsburgh</w:t>
            </w:r>
          </w:p>
        </w:tc>
        <w:tc>
          <w:tcPr>
            <w:tcW w:w="0" w:type="auto"/>
            <w:tcBorders>
              <w:top w:val="nil"/>
              <w:left w:val="nil"/>
              <w:bottom w:val="single" w:sz="8" w:space="0" w:color="auto"/>
              <w:right w:val="single" w:sz="8" w:space="0" w:color="auto"/>
            </w:tcBorders>
            <w:shd w:val="clear" w:color="auto" w:fill="auto"/>
            <w:vAlign w:val="center"/>
            <w:hideMark/>
          </w:tcPr>
          <w:p w14:paraId="7FFD444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704EDEBD"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65E24CE"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PV20</w:t>
            </w:r>
          </w:p>
        </w:tc>
        <w:tc>
          <w:tcPr>
            <w:tcW w:w="0" w:type="auto"/>
            <w:tcBorders>
              <w:top w:val="nil"/>
              <w:left w:val="nil"/>
              <w:bottom w:val="single" w:sz="8" w:space="0" w:color="auto"/>
              <w:right w:val="single" w:sz="8" w:space="0" w:color="auto"/>
            </w:tcBorders>
            <w:shd w:val="clear" w:color="auto" w:fill="auto"/>
            <w:vAlign w:val="center"/>
            <w:hideMark/>
          </w:tcPr>
          <w:p w14:paraId="74B6CF4B"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Plattsburgh</w:t>
            </w:r>
          </w:p>
        </w:tc>
        <w:tc>
          <w:tcPr>
            <w:tcW w:w="0" w:type="auto"/>
            <w:tcBorders>
              <w:top w:val="nil"/>
              <w:left w:val="nil"/>
              <w:bottom w:val="single" w:sz="8" w:space="0" w:color="auto"/>
              <w:right w:val="single" w:sz="8" w:space="0" w:color="auto"/>
            </w:tcBorders>
            <w:shd w:val="clear" w:color="auto" w:fill="auto"/>
            <w:vAlign w:val="center"/>
            <w:hideMark/>
          </w:tcPr>
          <w:p w14:paraId="243B75F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182A73F5"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South Hero</w:t>
            </w:r>
          </w:p>
        </w:tc>
        <w:tc>
          <w:tcPr>
            <w:tcW w:w="0" w:type="auto"/>
            <w:tcBorders>
              <w:top w:val="nil"/>
              <w:left w:val="nil"/>
              <w:bottom w:val="single" w:sz="8" w:space="0" w:color="auto"/>
              <w:right w:val="single" w:sz="8" w:space="0" w:color="auto"/>
            </w:tcBorders>
            <w:shd w:val="clear" w:color="auto" w:fill="auto"/>
            <w:vAlign w:val="center"/>
            <w:hideMark/>
          </w:tcPr>
          <w:p w14:paraId="2FAF39F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7344146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CC3F31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3</w:t>
            </w:r>
          </w:p>
        </w:tc>
        <w:tc>
          <w:tcPr>
            <w:tcW w:w="0" w:type="auto"/>
            <w:tcBorders>
              <w:top w:val="nil"/>
              <w:left w:val="nil"/>
              <w:bottom w:val="single" w:sz="8" w:space="0" w:color="auto"/>
              <w:right w:val="single" w:sz="8" w:space="0" w:color="auto"/>
            </w:tcBorders>
            <w:shd w:val="clear" w:color="auto" w:fill="auto"/>
            <w:vAlign w:val="center"/>
            <w:hideMark/>
          </w:tcPr>
          <w:p w14:paraId="2451B21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Porter</w:t>
            </w:r>
          </w:p>
        </w:tc>
        <w:tc>
          <w:tcPr>
            <w:tcW w:w="0" w:type="auto"/>
            <w:tcBorders>
              <w:top w:val="nil"/>
              <w:left w:val="nil"/>
              <w:bottom w:val="single" w:sz="8" w:space="0" w:color="auto"/>
              <w:right w:val="single" w:sz="8" w:space="0" w:color="auto"/>
            </w:tcBorders>
            <w:shd w:val="clear" w:color="auto" w:fill="auto"/>
            <w:vAlign w:val="center"/>
            <w:hideMark/>
          </w:tcPr>
          <w:p w14:paraId="6D29018D"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592D7415"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Yahnundasis</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3FCB3F31"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3CD7C30A"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5D009A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4</w:t>
            </w:r>
          </w:p>
        </w:tc>
        <w:tc>
          <w:tcPr>
            <w:tcW w:w="0" w:type="auto"/>
            <w:tcBorders>
              <w:top w:val="nil"/>
              <w:left w:val="nil"/>
              <w:bottom w:val="single" w:sz="8" w:space="0" w:color="auto"/>
              <w:right w:val="single" w:sz="8" w:space="0" w:color="auto"/>
            </w:tcBorders>
            <w:shd w:val="clear" w:color="auto" w:fill="auto"/>
            <w:vAlign w:val="center"/>
            <w:hideMark/>
          </w:tcPr>
          <w:p w14:paraId="690E980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Porter</w:t>
            </w:r>
          </w:p>
        </w:tc>
        <w:tc>
          <w:tcPr>
            <w:tcW w:w="0" w:type="auto"/>
            <w:tcBorders>
              <w:top w:val="nil"/>
              <w:left w:val="nil"/>
              <w:bottom w:val="single" w:sz="8" w:space="0" w:color="auto"/>
              <w:right w:val="single" w:sz="8" w:space="0" w:color="auto"/>
            </w:tcBorders>
            <w:shd w:val="clear" w:color="auto" w:fill="auto"/>
            <w:vAlign w:val="center"/>
            <w:hideMark/>
          </w:tcPr>
          <w:p w14:paraId="6FEBB21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401B085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Valley</w:t>
            </w:r>
          </w:p>
        </w:tc>
        <w:tc>
          <w:tcPr>
            <w:tcW w:w="0" w:type="auto"/>
            <w:tcBorders>
              <w:top w:val="nil"/>
              <w:left w:val="nil"/>
              <w:bottom w:val="single" w:sz="8" w:space="0" w:color="auto"/>
              <w:right w:val="single" w:sz="8" w:space="0" w:color="auto"/>
            </w:tcBorders>
            <w:shd w:val="clear" w:color="auto" w:fill="auto"/>
            <w:vAlign w:val="center"/>
            <w:hideMark/>
          </w:tcPr>
          <w:p w14:paraId="681D086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3803547C"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C6220E3"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5</w:t>
            </w:r>
          </w:p>
        </w:tc>
        <w:tc>
          <w:tcPr>
            <w:tcW w:w="0" w:type="auto"/>
            <w:tcBorders>
              <w:top w:val="nil"/>
              <w:left w:val="nil"/>
              <w:bottom w:val="single" w:sz="8" w:space="0" w:color="auto"/>
              <w:right w:val="single" w:sz="8" w:space="0" w:color="auto"/>
            </w:tcBorders>
            <w:shd w:val="clear" w:color="auto" w:fill="auto"/>
            <w:vAlign w:val="center"/>
            <w:hideMark/>
          </w:tcPr>
          <w:p w14:paraId="1B947E8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Porter</w:t>
            </w:r>
          </w:p>
        </w:tc>
        <w:tc>
          <w:tcPr>
            <w:tcW w:w="0" w:type="auto"/>
            <w:tcBorders>
              <w:top w:val="nil"/>
              <w:left w:val="nil"/>
              <w:bottom w:val="single" w:sz="8" w:space="0" w:color="auto"/>
              <w:right w:val="single" w:sz="8" w:space="0" w:color="auto"/>
            </w:tcBorders>
            <w:shd w:val="clear" w:color="auto" w:fill="auto"/>
            <w:vAlign w:val="center"/>
            <w:hideMark/>
          </w:tcPr>
          <w:p w14:paraId="2AC6E79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2BB08BC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Watkins Rd.</w:t>
            </w:r>
          </w:p>
        </w:tc>
        <w:tc>
          <w:tcPr>
            <w:tcW w:w="0" w:type="auto"/>
            <w:tcBorders>
              <w:top w:val="nil"/>
              <w:left w:val="nil"/>
              <w:bottom w:val="single" w:sz="8" w:space="0" w:color="auto"/>
              <w:right w:val="single" w:sz="8" w:space="0" w:color="auto"/>
            </w:tcBorders>
            <w:shd w:val="clear" w:color="auto" w:fill="auto"/>
            <w:vAlign w:val="center"/>
            <w:hideMark/>
          </w:tcPr>
          <w:p w14:paraId="2EEF93B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565EED9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2CCF3E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6</w:t>
            </w:r>
          </w:p>
        </w:tc>
        <w:tc>
          <w:tcPr>
            <w:tcW w:w="0" w:type="auto"/>
            <w:tcBorders>
              <w:top w:val="nil"/>
              <w:left w:val="nil"/>
              <w:bottom w:val="single" w:sz="8" w:space="0" w:color="auto"/>
              <w:right w:val="single" w:sz="8" w:space="0" w:color="auto"/>
            </w:tcBorders>
            <w:shd w:val="clear" w:color="auto" w:fill="auto"/>
            <w:vAlign w:val="center"/>
            <w:hideMark/>
          </w:tcPr>
          <w:p w14:paraId="3BB6FE54"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Porter</w:t>
            </w:r>
          </w:p>
        </w:tc>
        <w:tc>
          <w:tcPr>
            <w:tcW w:w="0" w:type="auto"/>
            <w:tcBorders>
              <w:top w:val="nil"/>
              <w:left w:val="nil"/>
              <w:bottom w:val="single" w:sz="8" w:space="0" w:color="auto"/>
              <w:right w:val="single" w:sz="8" w:space="0" w:color="auto"/>
            </w:tcBorders>
            <w:shd w:val="clear" w:color="auto" w:fill="auto"/>
            <w:vAlign w:val="center"/>
            <w:hideMark/>
          </w:tcPr>
          <w:p w14:paraId="7647A29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3534B4E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Terminal</w:t>
            </w:r>
          </w:p>
        </w:tc>
        <w:tc>
          <w:tcPr>
            <w:tcW w:w="0" w:type="auto"/>
            <w:tcBorders>
              <w:top w:val="nil"/>
              <w:left w:val="nil"/>
              <w:bottom w:val="single" w:sz="8" w:space="0" w:color="auto"/>
              <w:right w:val="single" w:sz="8" w:space="0" w:color="auto"/>
            </w:tcBorders>
            <w:shd w:val="clear" w:color="auto" w:fill="auto"/>
            <w:vAlign w:val="center"/>
            <w:hideMark/>
          </w:tcPr>
          <w:p w14:paraId="420BB65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6A4C4D5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2CD865C"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13</w:t>
            </w:r>
          </w:p>
        </w:tc>
        <w:tc>
          <w:tcPr>
            <w:tcW w:w="0" w:type="auto"/>
            <w:tcBorders>
              <w:top w:val="nil"/>
              <w:left w:val="nil"/>
              <w:bottom w:val="single" w:sz="8" w:space="0" w:color="auto"/>
              <w:right w:val="single" w:sz="8" w:space="0" w:color="auto"/>
            </w:tcBorders>
            <w:shd w:val="clear" w:color="auto" w:fill="auto"/>
            <w:vAlign w:val="center"/>
            <w:hideMark/>
          </w:tcPr>
          <w:p w14:paraId="71A83C5A"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Porter</w:t>
            </w:r>
          </w:p>
        </w:tc>
        <w:tc>
          <w:tcPr>
            <w:tcW w:w="0" w:type="auto"/>
            <w:tcBorders>
              <w:top w:val="nil"/>
              <w:left w:val="nil"/>
              <w:bottom w:val="single" w:sz="8" w:space="0" w:color="auto"/>
              <w:right w:val="single" w:sz="8" w:space="0" w:color="auto"/>
            </w:tcBorders>
            <w:shd w:val="clear" w:color="auto" w:fill="auto"/>
            <w:vAlign w:val="center"/>
            <w:hideMark/>
          </w:tcPr>
          <w:p w14:paraId="5E204D18"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183A6A1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Schuyler</w:t>
            </w:r>
          </w:p>
        </w:tc>
        <w:tc>
          <w:tcPr>
            <w:tcW w:w="0" w:type="auto"/>
            <w:tcBorders>
              <w:top w:val="nil"/>
              <w:left w:val="nil"/>
              <w:bottom w:val="single" w:sz="8" w:space="0" w:color="auto"/>
              <w:right w:val="single" w:sz="8" w:space="0" w:color="auto"/>
            </w:tcBorders>
            <w:shd w:val="clear" w:color="auto" w:fill="auto"/>
            <w:vAlign w:val="center"/>
            <w:hideMark/>
          </w:tcPr>
          <w:p w14:paraId="1403A136"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r w:rsidR="00FF49F1" w:rsidRPr="00FF49F1" w14:paraId="4400FD46" w14:textId="77777777" w:rsidTr="007F4000">
        <w:trPr>
          <w:trHeight w:val="293"/>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C3FC957"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10</w:t>
            </w:r>
          </w:p>
        </w:tc>
        <w:tc>
          <w:tcPr>
            <w:tcW w:w="0" w:type="auto"/>
            <w:tcBorders>
              <w:top w:val="nil"/>
              <w:left w:val="nil"/>
              <w:bottom w:val="single" w:sz="8" w:space="0" w:color="auto"/>
              <w:right w:val="single" w:sz="8" w:space="0" w:color="auto"/>
            </w:tcBorders>
            <w:shd w:val="clear" w:color="auto" w:fill="auto"/>
            <w:vAlign w:val="center"/>
            <w:hideMark/>
          </w:tcPr>
          <w:p w14:paraId="061BD411" w14:textId="77777777" w:rsidR="00FF49F1" w:rsidRPr="00FF49F1" w:rsidRDefault="00FF49F1" w:rsidP="00FF49F1">
            <w:pPr>
              <w:spacing w:after="0"/>
              <w:ind w:left="0" w:firstLine="0"/>
              <w:jc w:val="center"/>
              <w:rPr>
                <w:rFonts w:ascii="Calibri" w:hAnsi="Calibri" w:cs="Calibri"/>
                <w:color w:val="000000"/>
                <w:sz w:val="16"/>
                <w:szCs w:val="16"/>
                <w:lang w:bidi="ar-SA"/>
              </w:rPr>
            </w:pPr>
            <w:proofErr w:type="spellStart"/>
            <w:r w:rsidRPr="00FF49F1">
              <w:rPr>
                <w:rFonts w:ascii="Calibri" w:hAnsi="Calibri" w:cs="Calibri"/>
                <w:color w:val="000000"/>
                <w:sz w:val="16"/>
                <w:szCs w:val="16"/>
                <w:lang w:bidi="ar-SA"/>
              </w:rPr>
              <w:t>Edic</w:t>
            </w:r>
            <w:proofErr w:type="spellEnd"/>
            <w:r w:rsidRPr="00FF49F1">
              <w:rPr>
                <w:rFonts w:ascii="Calibri" w:hAnsi="Calibri" w:cs="Calibri"/>
                <w:color w:val="000000"/>
                <w:sz w:val="16"/>
                <w:szCs w:val="16"/>
                <w:lang w:bidi="ar-SA"/>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74A35242"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c>
          <w:tcPr>
            <w:tcW w:w="0" w:type="auto"/>
            <w:tcBorders>
              <w:top w:val="nil"/>
              <w:left w:val="nil"/>
              <w:bottom w:val="single" w:sz="8" w:space="0" w:color="auto"/>
              <w:right w:val="single" w:sz="8" w:space="0" w:color="auto"/>
            </w:tcBorders>
            <w:shd w:val="clear" w:color="auto" w:fill="auto"/>
            <w:vAlign w:val="center"/>
            <w:hideMark/>
          </w:tcPr>
          <w:p w14:paraId="3897B61F"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 xml:space="preserve">Porter </w:t>
            </w:r>
          </w:p>
        </w:tc>
        <w:tc>
          <w:tcPr>
            <w:tcW w:w="0" w:type="auto"/>
            <w:tcBorders>
              <w:top w:val="nil"/>
              <w:left w:val="nil"/>
              <w:bottom w:val="single" w:sz="8" w:space="0" w:color="auto"/>
              <w:right w:val="single" w:sz="8" w:space="0" w:color="auto"/>
            </w:tcBorders>
            <w:shd w:val="clear" w:color="auto" w:fill="auto"/>
            <w:vAlign w:val="center"/>
            <w:hideMark/>
          </w:tcPr>
          <w:p w14:paraId="2F329EC0" w14:textId="77777777" w:rsidR="00FF49F1" w:rsidRPr="00FF49F1" w:rsidRDefault="00FF49F1" w:rsidP="00FF49F1">
            <w:pPr>
              <w:spacing w:after="0"/>
              <w:ind w:left="0" w:firstLine="0"/>
              <w:jc w:val="center"/>
              <w:rPr>
                <w:rFonts w:ascii="Calibri" w:hAnsi="Calibri" w:cs="Calibri"/>
                <w:color w:val="000000"/>
                <w:sz w:val="16"/>
                <w:szCs w:val="16"/>
                <w:lang w:bidi="ar-SA"/>
              </w:rPr>
            </w:pPr>
            <w:r w:rsidRPr="00FF49F1">
              <w:rPr>
                <w:rFonts w:ascii="Calibri" w:hAnsi="Calibri" w:cs="Calibri"/>
                <w:color w:val="000000"/>
                <w:sz w:val="16"/>
                <w:szCs w:val="16"/>
                <w:lang w:bidi="ar-SA"/>
              </w:rPr>
              <w:t>115</w:t>
            </w:r>
          </w:p>
        </w:tc>
      </w:tr>
    </w:tbl>
    <w:p w14:paraId="6FF0D487" w14:textId="55384E38" w:rsidR="00FF49F1" w:rsidRDefault="00FF49F1" w:rsidP="007F4000">
      <w:pPr>
        <w:jc w:val="center"/>
      </w:pPr>
    </w:p>
    <w:p w14:paraId="07832464" w14:textId="77777777" w:rsidR="00FF49F1" w:rsidRDefault="00FF49F1" w:rsidP="00FF49F1">
      <w:pPr>
        <w:spacing w:after="0"/>
        <w:jc w:val="center"/>
        <w:rPr>
          <w:b/>
          <w:szCs w:val="20"/>
        </w:rPr>
        <w:sectPr w:rsidR="00FF49F1" w:rsidSect="006B2354">
          <w:pgSz w:w="12240" w:h="15840" w:code="1"/>
          <w:pgMar w:top="1440" w:right="1080" w:bottom="1440" w:left="1080" w:header="720" w:footer="58" w:gutter="0"/>
          <w:cols w:space="720"/>
          <w:docGrid w:linePitch="360"/>
        </w:sectPr>
      </w:pPr>
    </w:p>
    <w:p w14:paraId="5F32CFC0" w14:textId="5E19313F" w:rsidR="00FF49F1" w:rsidRDefault="00FF49F1" w:rsidP="00FF49F1">
      <w:pPr>
        <w:spacing w:after="0"/>
        <w:jc w:val="center"/>
        <w:rPr>
          <w:b/>
          <w:szCs w:val="20"/>
        </w:rPr>
      </w:pPr>
      <w:r w:rsidRPr="009B6FD5">
        <w:rPr>
          <w:b/>
          <w:szCs w:val="20"/>
        </w:rPr>
        <w:lastRenderedPageBreak/>
        <w:t>New York Control Area Proposed Bulk Power Transmission Facilities List</w:t>
      </w:r>
    </w:p>
    <w:tbl>
      <w:tblPr>
        <w:tblW w:w="0" w:type="auto"/>
        <w:tblLook w:val="04A0" w:firstRow="1" w:lastRow="0" w:firstColumn="1" w:lastColumn="0" w:noHBand="0" w:noVBand="1"/>
      </w:tblPr>
      <w:tblGrid>
        <w:gridCol w:w="2278"/>
        <w:gridCol w:w="2488"/>
        <w:gridCol w:w="2488"/>
        <w:gridCol w:w="732"/>
        <w:gridCol w:w="535"/>
        <w:gridCol w:w="870"/>
        <w:gridCol w:w="1092"/>
        <w:gridCol w:w="699"/>
        <w:gridCol w:w="884"/>
        <w:gridCol w:w="884"/>
      </w:tblGrid>
      <w:tr w:rsidR="00FF49F1" w:rsidRPr="00FF49F1" w14:paraId="20C4E761" w14:textId="77777777" w:rsidTr="007F4000">
        <w:trPr>
          <w:trHeight w:val="600"/>
          <w:tblHeader/>
        </w:trPr>
        <w:tc>
          <w:tcPr>
            <w:tcW w:w="0" w:type="auto"/>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2DF41B41" w14:textId="77777777" w:rsidR="00FF49F1" w:rsidRPr="00FF49F1" w:rsidRDefault="00FF49F1" w:rsidP="00FF49F1">
            <w:pPr>
              <w:spacing w:after="0"/>
              <w:ind w:left="0" w:firstLine="0"/>
              <w:jc w:val="center"/>
              <w:rPr>
                <w:rFonts w:asciiTheme="minorHAnsi" w:hAnsiTheme="minorHAnsi" w:cstheme="minorHAnsi"/>
                <w:b/>
                <w:bCs/>
                <w:color w:val="000000"/>
                <w:sz w:val="16"/>
                <w:szCs w:val="16"/>
                <w:lang w:bidi="ar-SA"/>
              </w:rPr>
            </w:pPr>
            <w:r w:rsidRPr="00FF49F1">
              <w:rPr>
                <w:rFonts w:asciiTheme="minorHAnsi" w:hAnsiTheme="minorHAnsi" w:cstheme="minorHAnsi"/>
                <w:b/>
                <w:bCs/>
                <w:color w:val="000000"/>
                <w:sz w:val="16"/>
                <w:szCs w:val="16"/>
                <w:lang w:bidi="ar-SA"/>
              </w:rPr>
              <w:t>Transmission Owner</w:t>
            </w:r>
          </w:p>
        </w:tc>
        <w:tc>
          <w:tcPr>
            <w:tcW w:w="0" w:type="auto"/>
            <w:gridSpan w:val="2"/>
            <w:tcBorders>
              <w:top w:val="single" w:sz="4" w:space="0" w:color="auto"/>
              <w:left w:val="nil"/>
              <w:bottom w:val="single" w:sz="4" w:space="0" w:color="auto"/>
              <w:right w:val="single" w:sz="4" w:space="0" w:color="auto"/>
            </w:tcBorders>
            <w:shd w:val="clear" w:color="000000" w:fill="BDD7EE"/>
            <w:noWrap/>
            <w:vAlign w:val="bottom"/>
            <w:hideMark/>
          </w:tcPr>
          <w:p w14:paraId="08C65F43" w14:textId="77777777" w:rsidR="00FF49F1" w:rsidRPr="00FF49F1" w:rsidRDefault="00FF49F1" w:rsidP="00FF49F1">
            <w:pPr>
              <w:spacing w:after="0"/>
              <w:ind w:left="0" w:firstLine="0"/>
              <w:jc w:val="center"/>
              <w:rPr>
                <w:rFonts w:asciiTheme="minorHAnsi" w:hAnsiTheme="minorHAnsi" w:cstheme="minorHAnsi"/>
                <w:b/>
                <w:bCs/>
                <w:color w:val="000000"/>
                <w:sz w:val="16"/>
                <w:szCs w:val="16"/>
                <w:lang w:bidi="ar-SA"/>
              </w:rPr>
            </w:pPr>
            <w:r w:rsidRPr="00FF49F1">
              <w:rPr>
                <w:rFonts w:asciiTheme="minorHAnsi" w:hAnsiTheme="minorHAnsi" w:cstheme="minorHAnsi"/>
                <w:b/>
                <w:bCs/>
                <w:color w:val="000000"/>
                <w:sz w:val="16"/>
                <w:szCs w:val="16"/>
                <w:lang w:bidi="ar-SA"/>
              </w:rPr>
              <w:t>Terminals</w:t>
            </w:r>
          </w:p>
        </w:tc>
        <w:tc>
          <w:tcPr>
            <w:tcW w:w="0" w:type="auto"/>
            <w:gridSpan w:val="2"/>
            <w:tcBorders>
              <w:top w:val="single" w:sz="4" w:space="0" w:color="auto"/>
              <w:left w:val="nil"/>
              <w:bottom w:val="single" w:sz="4" w:space="0" w:color="auto"/>
              <w:right w:val="single" w:sz="4" w:space="0" w:color="auto"/>
            </w:tcBorders>
            <w:shd w:val="clear" w:color="000000" w:fill="BDD7EE"/>
            <w:vAlign w:val="bottom"/>
            <w:hideMark/>
          </w:tcPr>
          <w:p w14:paraId="3D414E3A" w14:textId="77777777" w:rsidR="00FF49F1" w:rsidRPr="00FF49F1" w:rsidRDefault="00FF49F1" w:rsidP="00FF49F1">
            <w:pPr>
              <w:spacing w:after="0"/>
              <w:ind w:left="0" w:firstLine="0"/>
              <w:jc w:val="center"/>
              <w:rPr>
                <w:rFonts w:asciiTheme="minorHAnsi" w:hAnsiTheme="minorHAnsi" w:cstheme="minorHAnsi"/>
                <w:b/>
                <w:bCs/>
                <w:color w:val="000000"/>
                <w:sz w:val="16"/>
                <w:szCs w:val="16"/>
                <w:lang w:bidi="ar-SA"/>
              </w:rPr>
            </w:pPr>
            <w:r w:rsidRPr="00FF49F1">
              <w:rPr>
                <w:rFonts w:asciiTheme="minorHAnsi" w:hAnsiTheme="minorHAnsi" w:cstheme="minorHAnsi"/>
                <w:b/>
                <w:bCs/>
                <w:color w:val="000000"/>
                <w:sz w:val="16"/>
                <w:szCs w:val="16"/>
                <w:lang w:bidi="ar-SA"/>
              </w:rPr>
              <w:t xml:space="preserve">Expected </w:t>
            </w:r>
            <w:r w:rsidRPr="00FF49F1">
              <w:rPr>
                <w:rFonts w:asciiTheme="minorHAnsi" w:hAnsiTheme="minorHAnsi" w:cstheme="minorHAnsi"/>
                <w:b/>
                <w:bCs/>
                <w:color w:val="000000"/>
                <w:sz w:val="16"/>
                <w:szCs w:val="16"/>
                <w:lang w:bidi="ar-SA"/>
              </w:rPr>
              <w:br/>
              <w:t>In-Service</w:t>
            </w:r>
          </w:p>
        </w:tc>
        <w:tc>
          <w:tcPr>
            <w:tcW w:w="0" w:type="auto"/>
            <w:gridSpan w:val="2"/>
            <w:tcBorders>
              <w:top w:val="single" w:sz="4" w:space="0" w:color="auto"/>
              <w:left w:val="nil"/>
              <w:bottom w:val="single" w:sz="4" w:space="0" w:color="auto"/>
              <w:right w:val="single" w:sz="4" w:space="0" w:color="auto"/>
            </w:tcBorders>
            <w:shd w:val="clear" w:color="000000" w:fill="BDD7EE"/>
            <w:noWrap/>
            <w:vAlign w:val="bottom"/>
            <w:hideMark/>
          </w:tcPr>
          <w:p w14:paraId="0D62EC74" w14:textId="77777777" w:rsidR="00FF49F1" w:rsidRPr="00FF49F1" w:rsidRDefault="00FF49F1" w:rsidP="00FF49F1">
            <w:pPr>
              <w:spacing w:after="0"/>
              <w:ind w:left="0" w:firstLine="0"/>
              <w:jc w:val="center"/>
              <w:rPr>
                <w:rFonts w:asciiTheme="minorHAnsi" w:hAnsiTheme="minorHAnsi" w:cstheme="minorHAnsi"/>
                <w:b/>
                <w:bCs/>
                <w:color w:val="000000"/>
                <w:sz w:val="16"/>
                <w:szCs w:val="16"/>
                <w:lang w:bidi="ar-SA"/>
              </w:rPr>
            </w:pPr>
            <w:r w:rsidRPr="00FF49F1">
              <w:rPr>
                <w:rFonts w:asciiTheme="minorHAnsi" w:hAnsiTheme="minorHAnsi" w:cstheme="minorHAnsi"/>
                <w:b/>
                <w:bCs/>
                <w:color w:val="000000"/>
                <w:sz w:val="16"/>
                <w:szCs w:val="16"/>
                <w:lang w:bidi="ar-SA"/>
              </w:rPr>
              <w:t>Nominal Voltage in kV</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BDD7EE"/>
            <w:vAlign w:val="bottom"/>
            <w:hideMark/>
          </w:tcPr>
          <w:p w14:paraId="2715C867" w14:textId="77777777" w:rsidR="00FF49F1" w:rsidRPr="00FF49F1" w:rsidRDefault="00FF49F1" w:rsidP="00FF49F1">
            <w:pPr>
              <w:spacing w:after="0"/>
              <w:ind w:left="0" w:firstLine="0"/>
              <w:jc w:val="center"/>
              <w:rPr>
                <w:rFonts w:asciiTheme="minorHAnsi" w:hAnsiTheme="minorHAnsi" w:cstheme="minorHAnsi"/>
                <w:b/>
                <w:bCs/>
                <w:color w:val="000000"/>
                <w:sz w:val="16"/>
                <w:szCs w:val="16"/>
                <w:lang w:bidi="ar-SA"/>
              </w:rPr>
            </w:pPr>
            <w:r w:rsidRPr="00FF49F1">
              <w:rPr>
                <w:rFonts w:asciiTheme="minorHAnsi" w:hAnsiTheme="minorHAnsi" w:cstheme="minorHAnsi"/>
                <w:b/>
                <w:bCs/>
                <w:color w:val="000000"/>
                <w:sz w:val="16"/>
                <w:szCs w:val="16"/>
                <w:lang w:bidi="ar-SA"/>
              </w:rPr>
              <w:t xml:space="preserve"># </w:t>
            </w:r>
            <w:proofErr w:type="gramStart"/>
            <w:r w:rsidRPr="00FF49F1">
              <w:rPr>
                <w:rFonts w:asciiTheme="minorHAnsi" w:hAnsiTheme="minorHAnsi" w:cstheme="minorHAnsi"/>
                <w:b/>
                <w:bCs/>
                <w:color w:val="000000"/>
                <w:sz w:val="16"/>
                <w:szCs w:val="16"/>
                <w:lang w:bidi="ar-SA"/>
              </w:rPr>
              <w:t>of</w:t>
            </w:r>
            <w:proofErr w:type="gramEnd"/>
            <w:r w:rsidRPr="00FF49F1">
              <w:rPr>
                <w:rFonts w:asciiTheme="minorHAnsi" w:hAnsiTheme="minorHAnsi" w:cstheme="minorHAnsi"/>
                <w:b/>
                <w:bCs/>
                <w:color w:val="000000"/>
                <w:sz w:val="16"/>
                <w:szCs w:val="16"/>
                <w:lang w:bidi="ar-SA"/>
              </w:rPr>
              <w:t xml:space="preserve"> Circuits</w:t>
            </w:r>
          </w:p>
        </w:tc>
        <w:tc>
          <w:tcPr>
            <w:tcW w:w="0" w:type="auto"/>
            <w:gridSpan w:val="2"/>
            <w:tcBorders>
              <w:top w:val="single" w:sz="4" w:space="0" w:color="auto"/>
              <w:left w:val="nil"/>
              <w:bottom w:val="single" w:sz="4" w:space="0" w:color="auto"/>
              <w:right w:val="single" w:sz="4" w:space="0" w:color="auto"/>
            </w:tcBorders>
            <w:shd w:val="clear" w:color="000000" w:fill="BDD7EE"/>
            <w:noWrap/>
            <w:vAlign w:val="bottom"/>
            <w:hideMark/>
          </w:tcPr>
          <w:p w14:paraId="09B5DBFB" w14:textId="77777777" w:rsidR="00FF49F1" w:rsidRPr="00FF49F1" w:rsidRDefault="00FF49F1" w:rsidP="00FF49F1">
            <w:pPr>
              <w:spacing w:after="0"/>
              <w:ind w:left="0" w:firstLine="0"/>
              <w:jc w:val="center"/>
              <w:rPr>
                <w:rFonts w:asciiTheme="minorHAnsi" w:hAnsiTheme="minorHAnsi" w:cstheme="minorHAnsi"/>
                <w:b/>
                <w:bCs/>
                <w:color w:val="000000"/>
                <w:sz w:val="16"/>
                <w:szCs w:val="16"/>
                <w:lang w:bidi="ar-SA"/>
              </w:rPr>
            </w:pPr>
            <w:r w:rsidRPr="00FF49F1">
              <w:rPr>
                <w:rFonts w:asciiTheme="minorHAnsi" w:hAnsiTheme="minorHAnsi" w:cstheme="minorHAnsi"/>
                <w:b/>
                <w:bCs/>
                <w:color w:val="000000"/>
                <w:sz w:val="16"/>
                <w:szCs w:val="16"/>
                <w:lang w:bidi="ar-SA"/>
              </w:rPr>
              <w:t>Thermal Ratings</w:t>
            </w:r>
          </w:p>
        </w:tc>
      </w:tr>
      <w:tr w:rsidR="00FF49F1" w:rsidRPr="00FF49F1" w14:paraId="0C454662" w14:textId="77777777" w:rsidTr="007F4000">
        <w:trPr>
          <w:trHeight w:val="285"/>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CED3ABF" w14:textId="77777777" w:rsidR="00FF49F1" w:rsidRPr="00FF49F1" w:rsidRDefault="00FF49F1" w:rsidP="00FF49F1">
            <w:pPr>
              <w:spacing w:after="0"/>
              <w:ind w:left="0" w:firstLine="0"/>
              <w:rPr>
                <w:rFonts w:asciiTheme="minorHAnsi" w:hAnsiTheme="minorHAnsi" w:cstheme="minorHAnsi"/>
                <w:b/>
                <w:bCs/>
                <w:color w:val="000000"/>
                <w:sz w:val="16"/>
                <w:szCs w:val="16"/>
                <w:lang w:bidi="ar-SA"/>
              </w:rPr>
            </w:pPr>
          </w:p>
        </w:tc>
        <w:tc>
          <w:tcPr>
            <w:tcW w:w="0" w:type="auto"/>
            <w:tcBorders>
              <w:top w:val="nil"/>
              <w:left w:val="nil"/>
              <w:bottom w:val="single" w:sz="4" w:space="0" w:color="auto"/>
              <w:right w:val="single" w:sz="4" w:space="0" w:color="auto"/>
            </w:tcBorders>
            <w:shd w:val="clear" w:color="000000" w:fill="BDD7EE"/>
            <w:noWrap/>
            <w:vAlign w:val="bottom"/>
            <w:hideMark/>
          </w:tcPr>
          <w:p w14:paraId="73F3884D" w14:textId="77777777" w:rsidR="00FF49F1" w:rsidRPr="00FF49F1" w:rsidRDefault="00FF49F1" w:rsidP="00FF49F1">
            <w:pPr>
              <w:spacing w:after="0"/>
              <w:ind w:left="0" w:firstLine="0"/>
              <w:jc w:val="center"/>
              <w:rPr>
                <w:rFonts w:asciiTheme="minorHAnsi" w:hAnsiTheme="minorHAnsi" w:cstheme="minorHAnsi"/>
                <w:b/>
                <w:bCs/>
                <w:color w:val="000000"/>
                <w:sz w:val="16"/>
                <w:szCs w:val="16"/>
                <w:lang w:bidi="ar-SA"/>
              </w:rPr>
            </w:pPr>
            <w:r w:rsidRPr="00FF49F1">
              <w:rPr>
                <w:rFonts w:asciiTheme="minorHAnsi" w:hAnsiTheme="minorHAnsi" w:cstheme="minorHAnsi"/>
                <w:b/>
                <w:bCs/>
                <w:color w:val="000000"/>
                <w:sz w:val="16"/>
                <w:szCs w:val="16"/>
                <w:lang w:bidi="ar-SA"/>
              </w:rPr>
              <w:t>From</w:t>
            </w:r>
          </w:p>
        </w:tc>
        <w:tc>
          <w:tcPr>
            <w:tcW w:w="0" w:type="auto"/>
            <w:tcBorders>
              <w:top w:val="nil"/>
              <w:left w:val="nil"/>
              <w:bottom w:val="single" w:sz="4" w:space="0" w:color="auto"/>
              <w:right w:val="single" w:sz="4" w:space="0" w:color="auto"/>
            </w:tcBorders>
            <w:shd w:val="clear" w:color="000000" w:fill="BDD7EE"/>
            <w:noWrap/>
            <w:vAlign w:val="bottom"/>
            <w:hideMark/>
          </w:tcPr>
          <w:p w14:paraId="60C0E6C9" w14:textId="77777777" w:rsidR="00FF49F1" w:rsidRPr="00FF49F1" w:rsidRDefault="00FF49F1" w:rsidP="00FF49F1">
            <w:pPr>
              <w:spacing w:after="0"/>
              <w:ind w:left="0" w:firstLine="0"/>
              <w:jc w:val="center"/>
              <w:rPr>
                <w:rFonts w:asciiTheme="minorHAnsi" w:hAnsiTheme="minorHAnsi" w:cstheme="minorHAnsi"/>
                <w:b/>
                <w:bCs/>
                <w:color w:val="000000"/>
                <w:sz w:val="16"/>
                <w:szCs w:val="16"/>
                <w:lang w:bidi="ar-SA"/>
              </w:rPr>
            </w:pPr>
            <w:r w:rsidRPr="00FF49F1">
              <w:rPr>
                <w:rFonts w:asciiTheme="minorHAnsi" w:hAnsiTheme="minorHAnsi" w:cstheme="minorHAnsi"/>
                <w:b/>
                <w:bCs/>
                <w:color w:val="000000"/>
                <w:sz w:val="16"/>
                <w:szCs w:val="16"/>
                <w:lang w:bidi="ar-SA"/>
              </w:rPr>
              <w:t>To</w:t>
            </w:r>
          </w:p>
        </w:tc>
        <w:tc>
          <w:tcPr>
            <w:tcW w:w="0" w:type="auto"/>
            <w:tcBorders>
              <w:top w:val="nil"/>
              <w:left w:val="nil"/>
              <w:bottom w:val="single" w:sz="4" w:space="0" w:color="auto"/>
              <w:right w:val="single" w:sz="4" w:space="0" w:color="auto"/>
            </w:tcBorders>
            <w:shd w:val="clear" w:color="000000" w:fill="BDD7EE"/>
            <w:noWrap/>
            <w:vAlign w:val="bottom"/>
            <w:hideMark/>
          </w:tcPr>
          <w:p w14:paraId="63628DC0" w14:textId="77777777" w:rsidR="00FF49F1" w:rsidRPr="00FF49F1" w:rsidRDefault="00FF49F1" w:rsidP="00FF49F1">
            <w:pPr>
              <w:spacing w:after="0"/>
              <w:ind w:left="0" w:firstLine="0"/>
              <w:rPr>
                <w:rFonts w:asciiTheme="minorHAnsi" w:hAnsiTheme="minorHAnsi" w:cstheme="minorHAnsi"/>
                <w:b/>
                <w:bCs/>
                <w:color w:val="000000"/>
                <w:sz w:val="16"/>
                <w:szCs w:val="16"/>
                <w:lang w:bidi="ar-SA"/>
              </w:rPr>
            </w:pPr>
            <w:r w:rsidRPr="00FF49F1">
              <w:rPr>
                <w:rFonts w:asciiTheme="minorHAnsi" w:hAnsiTheme="minorHAnsi" w:cstheme="minorHAnsi"/>
                <w:b/>
                <w:bCs/>
                <w:color w:val="000000"/>
                <w:sz w:val="16"/>
                <w:szCs w:val="16"/>
                <w:lang w:bidi="ar-SA"/>
              </w:rPr>
              <w:t>Prior To</w:t>
            </w:r>
          </w:p>
        </w:tc>
        <w:tc>
          <w:tcPr>
            <w:tcW w:w="0" w:type="auto"/>
            <w:tcBorders>
              <w:top w:val="nil"/>
              <w:left w:val="nil"/>
              <w:bottom w:val="single" w:sz="4" w:space="0" w:color="auto"/>
              <w:right w:val="single" w:sz="4" w:space="0" w:color="auto"/>
            </w:tcBorders>
            <w:shd w:val="clear" w:color="000000" w:fill="BDD7EE"/>
            <w:noWrap/>
            <w:vAlign w:val="bottom"/>
            <w:hideMark/>
          </w:tcPr>
          <w:p w14:paraId="56E4EBB2" w14:textId="77777777" w:rsidR="00FF49F1" w:rsidRPr="00FF49F1" w:rsidRDefault="00FF49F1" w:rsidP="00FF49F1">
            <w:pPr>
              <w:spacing w:after="0"/>
              <w:ind w:left="0" w:firstLine="0"/>
              <w:rPr>
                <w:rFonts w:asciiTheme="minorHAnsi" w:hAnsiTheme="minorHAnsi" w:cstheme="minorHAnsi"/>
                <w:b/>
                <w:bCs/>
                <w:color w:val="000000"/>
                <w:sz w:val="16"/>
                <w:szCs w:val="16"/>
                <w:lang w:bidi="ar-SA"/>
              </w:rPr>
            </w:pPr>
            <w:r w:rsidRPr="00FF49F1">
              <w:rPr>
                <w:rFonts w:asciiTheme="minorHAnsi" w:hAnsiTheme="minorHAnsi" w:cstheme="minorHAnsi"/>
                <w:b/>
                <w:bCs/>
                <w:color w:val="000000"/>
                <w:sz w:val="16"/>
                <w:szCs w:val="16"/>
                <w:lang w:bidi="ar-SA"/>
              </w:rPr>
              <w:t>Year</w:t>
            </w:r>
          </w:p>
        </w:tc>
        <w:tc>
          <w:tcPr>
            <w:tcW w:w="0" w:type="auto"/>
            <w:tcBorders>
              <w:top w:val="nil"/>
              <w:left w:val="nil"/>
              <w:bottom w:val="single" w:sz="4" w:space="0" w:color="auto"/>
              <w:right w:val="single" w:sz="4" w:space="0" w:color="auto"/>
            </w:tcBorders>
            <w:shd w:val="clear" w:color="000000" w:fill="BDD7EE"/>
            <w:noWrap/>
            <w:vAlign w:val="bottom"/>
            <w:hideMark/>
          </w:tcPr>
          <w:p w14:paraId="2732E98D" w14:textId="77777777" w:rsidR="00FF49F1" w:rsidRPr="00FF49F1" w:rsidRDefault="00FF49F1" w:rsidP="00FF49F1">
            <w:pPr>
              <w:spacing w:after="0"/>
              <w:ind w:left="0" w:firstLine="0"/>
              <w:jc w:val="center"/>
              <w:rPr>
                <w:rFonts w:asciiTheme="minorHAnsi" w:hAnsiTheme="minorHAnsi" w:cstheme="minorHAnsi"/>
                <w:b/>
                <w:bCs/>
                <w:color w:val="000000"/>
                <w:sz w:val="16"/>
                <w:szCs w:val="16"/>
                <w:lang w:bidi="ar-SA"/>
              </w:rPr>
            </w:pPr>
            <w:r w:rsidRPr="00FF49F1">
              <w:rPr>
                <w:rFonts w:asciiTheme="minorHAnsi" w:hAnsiTheme="minorHAnsi" w:cstheme="minorHAnsi"/>
                <w:b/>
                <w:bCs/>
                <w:color w:val="000000"/>
                <w:sz w:val="16"/>
                <w:szCs w:val="16"/>
                <w:lang w:bidi="ar-SA"/>
              </w:rPr>
              <w:t>Operating</w:t>
            </w:r>
          </w:p>
        </w:tc>
        <w:tc>
          <w:tcPr>
            <w:tcW w:w="0" w:type="auto"/>
            <w:tcBorders>
              <w:top w:val="nil"/>
              <w:left w:val="nil"/>
              <w:bottom w:val="single" w:sz="4" w:space="0" w:color="auto"/>
              <w:right w:val="single" w:sz="4" w:space="0" w:color="auto"/>
            </w:tcBorders>
            <w:shd w:val="clear" w:color="000000" w:fill="BDD7EE"/>
            <w:noWrap/>
            <w:vAlign w:val="bottom"/>
            <w:hideMark/>
          </w:tcPr>
          <w:p w14:paraId="6736908D" w14:textId="77777777" w:rsidR="00FF49F1" w:rsidRPr="00FF49F1" w:rsidRDefault="00FF49F1" w:rsidP="00FF49F1">
            <w:pPr>
              <w:spacing w:after="0"/>
              <w:ind w:left="0" w:firstLine="0"/>
              <w:jc w:val="center"/>
              <w:rPr>
                <w:rFonts w:asciiTheme="minorHAnsi" w:hAnsiTheme="minorHAnsi" w:cstheme="minorHAnsi"/>
                <w:b/>
                <w:bCs/>
                <w:color w:val="000000"/>
                <w:sz w:val="16"/>
                <w:szCs w:val="16"/>
                <w:lang w:bidi="ar-SA"/>
              </w:rPr>
            </w:pPr>
            <w:r w:rsidRPr="00FF49F1">
              <w:rPr>
                <w:rFonts w:asciiTheme="minorHAnsi" w:hAnsiTheme="minorHAnsi" w:cstheme="minorHAnsi"/>
                <w:b/>
                <w:bCs/>
                <w:color w:val="000000"/>
                <w:sz w:val="16"/>
                <w:szCs w:val="16"/>
                <w:lang w:bidi="ar-SA"/>
              </w:rPr>
              <w:t>Design</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3545242" w14:textId="77777777" w:rsidR="00FF49F1" w:rsidRPr="00FF49F1" w:rsidRDefault="00FF49F1" w:rsidP="00FF49F1">
            <w:pPr>
              <w:spacing w:after="0"/>
              <w:ind w:left="0" w:firstLine="0"/>
              <w:rPr>
                <w:rFonts w:asciiTheme="minorHAnsi" w:hAnsiTheme="minorHAnsi" w:cstheme="minorHAnsi"/>
                <w:b/>
                <w:bCs/>
                <w:color w:val="000000"/>
                <w:sz w:val="16"/>
                <w:szCs w:val="16"/>
                <w:lang w:bidi="ar-SA"/>
              </w:rPr>
            </w:pPr>
          </w:p>
        </w:tc>
        <w:tc>
          <w:tcPr>
            <w:tcW w:w="0" w:type="auto"/>
            <w:tcBorders>
              <w:top w:val="nil"/>
              <w:left w:val="nil"/>
              <w:bottom w:val="single" w:sz="4" w:space="0" w:color="auto"/>
              <w:right w:val="single" w:sz="4" w:space="0" w:color="auto"/>
            </w:tcBorders>
            <w:shd w:val="clear" w:color="000000" w:fill="BDD7EE"/>
            <w:noWrap/>
            <w:vAlign w:val="bottom"/>
            <w:hideMark/>
          </w:tcPr>
          <w:p w14:paraId="44E46A12" w14:textId="77777777" w:rsidR="00FF49F1" w:rsidRPr="00FF49F1" w:rsidRDefault="00FF49F1" w:rsidP="00FF49F1">
            <w:pPr>
              <w:spacing w:after="0"/>
              <w:ind w:left="0" w:firstLine="0"/>
              <w:jc w:val="center"/>
              <w:rPr>
                <w:rFonts w:asciiTheme="minorHAnsi" w:hAnsiTheme="minorHAnsi" w:cstheme="minorHAnsi"/>
                <w:b/>
                <w:bCs/>
                <w:color w:val="000000"/>
                <w:sz w:val="16"/>
                <w:szCs w:val="16"/>
                <w:lang w:bidi="ar-SA"/>
              </w:rPr>
            </w:pPr>
            <w:r w:rsidRPr="00FF49F1">
              <w:rPr>
                <w:rFonts w:asciiTheme="minorHAnsi" w:hAnsiTheme="minorHAnsi" w:cstheme="minorHAnsi"/>
                <w:b/>
                <w:bCs/>
                <w:color w:val="000000"/>
                <w:sz w:val="16"/>
                <w:szCs w:val="16"/>
                <w:lang w:bidi="ar-SA"/>
              </w:rPr>
              <w:t>Summer</w:t>
            </w:r>
          </w:p>
        </w:tc>
        <w:tc>
          <w:tcPr>
            <w:tcW w:w="0" w:type="auto"/>
            <w:tcBorders>
              <w:top w:val="nil"/>
              <w:left w:val="nil"/>
              <w:bottom w:val="single" w:sz="4" w:space="0" w:color="auto"/>
              <w:right w:val="single" w:sz="4" w:space="0" w:color="auto"/>
            </w:tcBorders>
            <w:shd w:val="clear" w:color="000000" w:fill="BDD7EE"/>
            <w:noWrap/>
            <w:vAlign w:val="bottom"/>
            <w:hideMark/>
          </w:tcPr>
          <w:p w14:paraId="09C601F2" w14:textId="77777777" w:rsidR="00FF49F1" w:rsidRPr="00FF49F1" w:rsidRDefault="00FF49F1" w:rsidP="00FF49F1">
            <w:pPr>
              <w:spacing w:after="0"/>
              <w:ind w:left="0" w:firstLine="0"/>
              <w:jc w:val="center"/>
              <w:rPr>
                <w:rFonts w:asciiTheme="minorHAnsi" w:hAnsiTheme="minorHAnsi" w:cstheme="minorHAnsi"/>
                <w:b/>
                <w:bCs/>
                <w:color w:val="000000"/>
                <w:sz w:val="16"/>
                <w:szCs w:val="16"/>
                <w:lang w:bidi="ar-SA"/>
              </w:rPr>
            </w:pPr>
            <w:r w:rsidRPr="00FF49F1">
              <w:rPr>
                <w:rFonts w:asciiTheme="minorHAnsi" w:hAnsiTheme="minorHAnsi" w:cstheme="minorHAnsi"/>
                <w:b/>
                <w:bCs/>
                <w:color w:val="000000"/>
                <w:sz w:val="16"/>
                <w:szCs w:val="16"/>
                <w:lang w:bidi="ar-SA"/>
              </w:rPr>
              <w:t>Winter</w:t>
            </w:r>
          </w:p>
        </w:tc>
      </w:tr>
      <w:tr w:rsidR="00FF49F1" w:rsidRPr="00FF49F1" w14:paraId="3DC7FA80"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A9CA2F" w14:textId="77777777" w:rsidR="00FF49F1" w:rsidRPr="00FF49F1" w:rsidRDefault="00FF49F1" w:rsidP="00FF49F1">
            <w:pPr>
              <w:spacing w:after="0"/>
              <w:ind w:left="0" w:firstLine="0"/>
              <w:jc w:val="center"/>
              <w:rPr>
                <w:rFonts w:asciiTheme="minorHAnsi" w:hAnsiTheme="minorHAnsi" w:cstheme="minorHAnsi"/>
                <w:sz w:val="16"/>
                <w:szCs w:val="16"/>
                <w:lang w:bidi="ar-SA"/>
              </w:rPr>
            </w:pPr>
            <w:proofErr w:type="spellStart"/>
            <w:r w:rsidRPr="00FF49F1">
              <w:rPr>
                <w:rFonts w:asciiTheme="minorHAnsi" w:hAnsiTheme="minorHAnsi" w:cstheme="minorHAnsi"/>
                <w:sz w:val="16"/>
                <w:szCs w:val="16"/>
                <w:lang w:bidi="ar-SA"/>
              </w:rPr>
              <w:t>ConEd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04BE49D7"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Rainey</w:t>
            </w:r>
          </w:p>
        </w:tc>
        <w:tc>
          <w:tcPr>
            <w:tcW w:w="0" w:type="auto"/>
            <w:tcBorders>
              <w:top w:val="nil"/>
              <w:left w:val="nil"/>
              <w:bottom w:val="single" w:sz="4" w:space="0" w:color="auto"/>
              <w:right w:val="single" w:sz="4" w:space="0" w:color="auto"/>
            </w:tcBorders>
            <w:shd w:val="clear" w:color="auto" w:fill="auto"/>
            <w:noWrap/>
            <w:vAlign w:val="center"/>
            <w:hideMark/>
          </w:tcPr>
          <w:p w14:paraId="13236BA4"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Corona</w:t>
            </w:r>
          </w:p>
        </w:tc>
        <w:tc>
          <w:tcPr>
            <w:tcW w:w="0" w:type="auto"/>
            <w:tcBorders>
              <w:top w:val="nil"/>
              <w:left w:val="nil"/>
              <w:bottom w:val="single" w:sz="4" w:space="0" w:color="auto"/>
              <w:right w:val="single" w:sz="4" w:space="0" w:color="auto"/>
            </w:tcBorders>
            <w:shd w:val="clear" w:color="auto" w:fill="auto"/>
            <w:noWrap/>
            <w:vAlign w:val="center"/>
            <w:hideMark/>
          </w:tcPr>
          <w:p w14:paraId="50E51E5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00C9A615"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2023</w:t>
            </w:r>
          </w:p>
        </w:tc>
        <w:tc>
          <w:tcPr>
            <w:tcW w:w="0" w:type="auto"/>
            <w:tcBorders>
              <w:top w:val="nil"/>
              <w:left w:val="nil"/>
              <w:bottom w:val="single" w:sz="4" w:space="0" w:color="auto"/>
              <w:right w:val="single" w:sz="4" w:space="0" w:color="auto"/>
            </w:tcBorders>
            <w:shd w:val="clear" w:color="auto" w:fill="auto"/>
            <w:noWrap/>
            <w:vAlign w:val="center"/>
            <w:hideMark/>
          </w:tcPr>
          <w:p w14:paraId="52F52920"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345/138</w:t>
            </w:r>
          </w:p>
        </w:tc>
        <w:tc>
          <w:tcPr>
            <w:tcW w:w="0" w:type="auto"/>
            <w:tcBorders>
              <w:top w:val="nil"/>
              <w:left w:val="nil"/>
              <w:bottom w:val="single" w:sz="4" w:space="0" w:color="auto"/>
              <w:right w:val="single" w:sz="4" w:space="0" w:color="auto"/>
            </w:tcBorders>
            <w:shd w:val="clear" w:color="auto" w:fill="auto"/>
            <w:noWrap/>
            <w:vAlign w:val="center"/>
            <w:hideMark/>
          </w:tcPr>
          <w:p w14:paraId="2237A4FE"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345/138</w:t>
            </w:r>
          </w:p>
        </w:tc>
        <w:tc>
          <w:tcPr>
            <w:tcW w:w="0" w:type="auto"/>
            <w:tcBorders>
              <w:top w:val="nil"/>
              <w:left w:val="nil"/>
              <w:bottom w:val="single" w:sz="4" w:space="0" w:color="auto"/>
              <w:right w:val="single" w:sz="4" w:space="0" w:color="auto"/>
            </w:tcBorders>
            <w:shd w:val="clear" w:color="auto" w:fill="auto"/>
            <w:noWrap/>
            <w:vAlign w:val="center"/>
            <w:hideMark/>
          </w:tcPr>
          <w:p w14:paraId="4BC1669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 </w:t>
            </w:r>
          </w:p>
        </w:tc>
        <w:tc>
          <w:tcPr>
            <w:tcW w:w="0" w:type="auto"/>
            <w:tcBorders>
              <w:top w:val="nil"/>
              <w:left w:val="nil"/>
              <w:bottom w:val="single" w:sz="4" w:space="0" w:color="auto"/>
              <w:right w:val="single" w:sz="4" w:space="0" w:color="auto"/>
            </w:tcBorders>
            <w:shd w:val="clear" w:color="auto" w:fill="auto"/>
            <w:noWrap/>
            <w:vAlign w:val="center"/>
            <w:hideMark/>
          </w:tcPr>
          <w:p w14:paraId="558958D0"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N/A</w:t>
            </w:r>
          </w:p>
        </w:tc>
        <w:tc>
          <w:tcPr>
            <w:tcW w:w="0" w:type="auto"/>
            <w:tcBorders>
              <w:top w:val="nil"/>
              <w:left w:val="nil"/>
              <w:bottom w:val="single" w:sz="4" w:space="0" w:color="auto"/>
              <w:right w:val="single" w:sz="4" w:space="0" w:color="auto"/>
            </w:tcBorders>
            <w:shd w:val="clear" w:color="auto" w:fill="auto"/>
            <w:noWrap/>
            <w:vAlign w:val="center"/>
            <w:hideMark/>
          </w:tcPr>
          <w:p w14:paraId="112118F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N/A</w:t>
            </w:r>
          </w:p>
        </w:tc>
      </w:tr>
      <w:tr w:rsidR="00FF49F1" w:rsidRPr="00FF49F1" w14:paraId="07954620"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E1C582" w14:textId="77777777" w:rsidR="00FF49F1" w:rsidRPr="00FF49F1" w:rsidRDefault="00FF49F1" w:rsidP="00FF49F1">
            <w:pPr>
              <w:spacing w:after="0"/>
              <w:ind w:left="0" w:firstLine="0"/>
              <w:jc w:val="center"/>
              <w:rPr>
                <w:rFonts w:asciiTheme="minorHAnsi" w:hAnsiTheme="minorHAnsi" w:cstheme="minorHAnsi"/>
                <w:sz w:val="16"/>
                <w:szCs w:val="16"/>
                <w:lang w:bidi="ar-SA"/>
              </w:rPr>
            </w:pPr>
            <w:proofErr w:type="spellStart"/>
            <w:r w:rsidRPr="00FF49F1">
              <w:rPr>
                <w:rFonts w:asciiTheme="minorHAnsi" w:hAnsiTheme="minorHAnsi" w:cstheme="minorHAnsi"/>
                <w:sz w:val="16"/>
                <w:szCs w:val="16"/>
                <w:lang w:bidi="ar-SA"/>
              </w:rPr>
              <w:t>ConEd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5F62F13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 xml:space="preserve">Cricket Valley </w:t>
            </w:r>
          </w:p>
        </w:tc>
        <w:tc>
          <w:tcPr>
            <w:tcW w:w="0" w:type="auto"/>
            <w:tcBorders>
              <w:top w:val="nil"/>
              <w:left w:val="nil"/>
              <w:bottom w:val="single" w:sz="4" w:space="0" w:color="auto"/>
              <w:right w:val="single" w:sz="4" w:space="0" w:color="auto"/>
            </w:tcBorders>
            <w:shd w:val="clear" w:color="auto" w:fill="auto"/>
            <w:noWrap/>
            <w:vAlign w:val="center"/>
            <w:hideMark/>
          </w:tcPr>
          <w:p w14:paraId="71CD3893"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Dover (New Station)</w:t>
            </w:r>
          </w:p>
        </w:tc>
        <w:tc>
          <w:tcPr>
            <w:tcW w:w="0" w:type="auto"/>
            <w:tcBorders>
              <w:top w:val="nil"/>
              <w:left w:val="nil"/>
              <w:bottom w:val="single" w:sz="4" w:space="0" w:color="auto"/>
              <w:right w:val="single" w:sz="4" w:space="0" w:color="auto"/>
            </w:tcBorders>
            <w:shd w:val="clear" w:color="auto" w:fill="auto"/>
            <w:noWrap/>
            <w:vAlign w:val="center"/>
            <w:hideMark/>
          </w:tcPr>
          <w:p w14:paraId="69005EEE"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W</w:t>
            </w:r>
          </w:p>
        </w:tc>
        <w:tc>
          <w:tcPr>
            <w:tcW w:w="0" w:type="auto"/>
            <w:tcBorders>
              <w:top w:val="nil"/>
              <w:left w:val="nil"/>
              <w:bottom w:val="single" w:sz="4" w:space="0" w:color="auto"/>
              <w:right w:val="single" w:sz="4" w:space="0" w:color="auto"/>
            </w:tcBorders>
            <w:shd w:val="clear" w:color="auto" w:fill="auto"/>
            <w:noWrap/>
            <w:vAlign w:val="center"/>
            <w:hideMark/>
          </w:tcPr>
          <w:p w14:paraId="4E46B04B"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2023</w:t>
            </w:r>
          </w:p>
        </w:tc>
        <w:tc>
          <w:tcPr>
            <w:tcW w:w="0" w:type="auto"/>
            <w:tcBorders>
              <w:top w:val="nil"/>
              <w:left w:val="nil"/>
              <w:bottom w:val="single" w:sz="4" w:space="0" w:color="auto"/>
              <w:right w:val="single" w:sz="4" w:space="0" w:color="auto"/>
            </w:tcBorders>
            <w:shd w:val="clear" w:color="auto" w:fill="auto"/>
            <w:noWrap/>
            <w:vAlign w:val="center"/>
            <w:hideMark/>
          </w:tcPr>
          <w:p w14:paraId="08E6134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7D7F3395"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13EAC754"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30EDA015"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2220</w:t>
            </w:r>
          </w:p>
        </w:tc>
        <w:tc>
          <w:tcPr>
            <w:tcW w:w="0" w:type="auto"/>
            <w:tcBorders>
              <w:top w:val="nil"/>
              <w:left w:val="nil"/>
              <w:bottom w:val="single" w:sz="4" w:space="0" w:color="auto"/>
              <w:right w:val="single" w:sz="4" w:space="0" w:color="auto"/>
            </w:tcBorders>
            <w:shd w:val="clear" w:color="auto" w:fill="auto"/>
            <w:noWrap/>
            <w:vAlign w:val="center"/>
            <w:hideMark/>
          </w:tcPr>
          <w:p w14:paraId="272312CF"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2700</w:t>
            </w:r>
          </w:p>
        </w:tc>
      </w:tr>
      <w:tr w:rsidR="00FF49F1" w:rsidRPr="00FF49F1" w14:paraId="78DB79AE"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AFF293" w14:textId="77777777" w:rsidR="00FF49F1" w:rsidRPr="00FF49F1" w:rsidRDefault="00FF49F1" w:rsidP="00FF49F1">
            <w:pPr>
              <w:spacing w:after="0"/>
              <w:ind w:left="0" w:firstLine="0"/>
              <w:jc w:val="center"/>
              <w:rPr>
                <w:rFonts w:asciiTheme="minorHAnsi" w:hAnsiTheme="minorHAnsi" w:cstheme="minorHAnsi"/>
                <w:sz w:val="16"/>
                <w:szCs w:val="16"/>
                <w:lang w:bidi="ar-SA"/>
              </w:rPr>
            </w:pPr>
            <w:proofErr w:type="spellStart"/>
            <w:r w:rsidRPr="00FF49F1">
              <w:rPr>
                <w:rFonts w:asciiTheme="minorHAnsi" w:hAnsiTheme="minorHAnsi" w:cstheme="minorHAnsi"/>
                <w:sz w:val="16"/>
                <w:szCs w:val="16"/>
                <w:lang w:bidi="ar-SA"/>
              </w:rPr>
              <w:t>ConEd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6CF9A6A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Dover (New Station)</w:t>
            </w:r>
          </w:p>
        </w:tc>
        <w:tc>
          <w:tcPr>
            <w:tcW w:w="0" w:type="auto"/>
            <w:tcBorders>
              <w:top w:val="nil"/>
              <w:left w:val="nil"/>
              <w:bottom w:val="single" w:sz="4" w:space="0" w:color="auto"/>
              <w:right w:val="single" w:sz="4" w:space="0" w:color="auto"/>
            </w:tcBorders>
            <w:shd w:val="clear" w:color="auto" w:fill="auto"/>
            <w:noWrap/>
            <w:vAlign w:val="center"/>
            <w:hideMark/>
          </w:tcPr>
          <w:p w14:paraId="407C1A4E"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CT State Line</w:t>
            </w:r>
          </w:p>
        </w:tc>
        <w:tc>
          <w:tcPr>
            <w:tcW w:w="0" w:type="auto"/>
            <w:tcBorders>
              <w:top w:val="nil"/>
              <w:left w:val="nil"/>
              <w:bottom w:val="single" w:sz="4" w:space="0" w:color="auto"/>
              <w:right w:val="single" w:sz="4" w:space="0" w:color="auto"/>
            </w:tcBorders>
            <w:shd w:val="clear" w:color="auto" w:fill="auto"/>
            <w:noWrap/>
            <w:vAlign w:val="center"/>
            <w:hideMark/>
          </w:tcPr>
          <w:p w14:paraId="740A0C0F"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W</w:t>
            </w:r>
          </w:p>
        </w:tc>
        <w:tc>
          <w:tcPr>
            <w:tcW w:w="0" w:type="auto"/>
            <w:tcBorders>
              <w:top w:val="nil"/>
              <w:left w:val="nil"/>
              <w:bottom w:val="single" w:sz="4" w:space="0" w:color="auto"/>
              <w:right w:val="single" w:sz="4" w:space="0" w:color="auto"/>
            </w:tcBorders>
            <w:shd w:val="clear" w:color="auto" w:fill="auto"/>
            <w:noWrap/>
            <w:vAlign w:val="center"/>
            <w:hideMark/>
          </w:tcPr>
          <w:p w14:paraId="407D809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2023</w:t>
            </w:r>
          </w:p>
        </w:tc>
        <w:tc>
          <w:tcPr>
            <w:tcW w:w="0" w:type="auto"/>
            <w:tcBorders>
              <w:top w:val="nil"/>
              <w:left w:val="nil"/>
              <w:bottom w:val="single" w:sz="4" w:space="0" w:color="auto"/>
              <w:right w:val="single" w:sz="4" w:space="0" w:color="auto"/>
            </w:tcBorders>
            <w:shd w:val="clear" w:color="auto" w:fill="auto"/>
            <w:noWrap/>
            <w:vAlign w:val="center"/>
            <w:hideMark/>
          </w:tcPr>
          <w:p w14:paraId="29BB762E"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17B17B3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0ED07873"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6EA97F3C"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2220</w:t>
            </w:r>
          </w:p>
        </w:tc>
        <w:tc>
          <w:tcPr>
            <w:tcW w:w="0" w:type="auto"/>
            <w:tcBorders>
              <w:top w:val="nil"/>
              <w:left w:val="nil"/>
              <w:bottom w:val="single" w:sz="4" w:space="0" w:color="auto"/>
              <w:right w:val="single" w:sz="4" w:space="0" w:color="auto"/>
            </w:tcBorders>
            <w:shd w:val="clear" w:color="auto" w:fill="auto"/>
            <w:noWrap/>
            <w:vAlign w:val="center"/>
            <w:hideMark/>
          </w:tcPr>
          <w:p w14:paraId="7783081F"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2700</w:t>
            </w:r>
          </w:p>
        </w:tc>
      </w:tr>
      <w:tr w:rsidR="00FF49F1" w:rsidRPr="00FF49F1" w14:paraId="6BAE5E79"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D8021F" w14:textId="77777777" w:rsidR="00FF49F1" w:rsidRPr="00FF49F1" w:rsidRDefault="00FF49F1" w:rsidP="00FF49F1">
            <w:pPr>
              <w:spacing w:after="0"/>
              <w:ind w:left="0" w:firstLine="0"/>
              <w:jc w:val="center"/>
              <w:rPr>
                <w:rFonts w:asciiTheme="minorHAnsi" w:hAnsiTheme="minorHAnsi" w:cstheme="minorHAnsi"/>
                <w:sz w:val="16"/>
                <w:szCs w:val="16"/>
                <w:lang w:bidi="ar-SA"/>
              </w:rPr>
            </w:pPr>
            <w:proofErr w:type="spellStart"/>
            <w:r w:rsidRPr="00FF49F1">
              <w:rPr>
                <w:rFonts w:asciiTheme="minorHAnsi" w:hAnsiTheme="minorHAnsi" w:cstheme="minorHAnsi"/>
                <w:sz w:val="16"/>
                <w:szCs w:val="16"/>
                <w:lang w:bidi="ar-SA"/>
              </w:rPr>
              <w:t>ConEd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77D6271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Gowanus</w:t>
            </w:r>
          </w:p>
        </w:tc>
        <w:tc>
          <w:tcPr>
            <w:tcW w:w="0" w:type="auto"/>
            <w:tcBorders>
              <w:top w:val="nil"/>
              <w:left w:val="nil"/>
              <w:bottom w:val="single" w:sz="4" w:space="0" w:color="auto"/>
              <w:right w:val="single" w:sz="4" w:space="0" w:color="auto"/>
            </w:tcBorders>
            <w:shd w:val="clear" w:color="auto" w:fill="auto"/>
            <w:noWrap/>
            <w:vAlign w:val="center"/>
            <w:hideMark/>
          </w:tcPr>
          <w:p w14:paraId="6DA78B27"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Greenwood</w:t>
            </w:r>
          </w:p>
        </w:tc>
        <w:tc>
          <w:tcPr>
            <w:tcW w:w="0" w:type="auto"/>
            <w:tcBorders>
              <w:top w:val="nil"/>
              <w:left w:val="nil"/>
              <w:bottom w:val="single" w:sz="4" w:space="0" w:color="auto"/>
              <w:right w:val="single" w:sz="4" w:space="0" w:color="auto"/>
            </w:tcBorders>
            <w:shd w:val="clear" w:color="auto" w:fill="auto"/>
            <w:noWrap/>
            <w:vAlign w:val="center"/>
            <w:hideMark/>
          </w:tcPr>
          <w:p w14:paraId="4F924EAE"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3AE13843"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2025</w:t>
            </w:r>
          </w:p>
        </w:tc>
        <w:tc>
          <w:tcPr>
            <w:tcW w:w="0" w:type="auto"/>
            <w:tcBorders>
              <w:top w:val="nil"/>
              <w:left w:val="nil"/>
              <w:bottom w:val="single" w:sz="4" w:space="0" w:color="auto"/>
              <w:right w:val="single" w:sz="4" w:space="0" w:color="auto"/>
            </w:tcBorders>
            <w:shd w:val="clear" w:color="auto" w:fill="auto"/>
            <w:noWrap/>
            <w:vAlign w:val="center"/>
            <w:hideMark/>
          </w:tcPr>
          <w:p w14:paraId="6D382E04"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345/138</w:t>
            </w:r>
          </w:p>
        </w:tc>
        <w:tc>
          <w:tcPr>
            <w:tcW w:w="0" w:type="auto"/>
            <w:tcBorders>
              <w:top w:val="nil"/>
              <w:left w:val="nil"/>
              <w:bottom w:val="single" w:sz="4" w:space="0" w:color="auto"/>
              <w:right w:val="single" w:sz="4" w:space="0" w:color="auto"/>
            </w:tcBorders>
            <w:shd w:val="clear" w:color="auto" w:fill="auto"/>
            <w:noWrap/>
            <w:vAlign w:val="center"/>
            <w:hideMark/>
          </w:tcPr>
          <w:p w14:paraId="1F4A3AD4"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345/138</w:t>
            </w:r>
          </w:p>
        </w:tc>
        <w:tc>
          <w:tcPr>
            <w:tcW w:w="0" w:type="auto"/>
            <w:tcBorders>
              <w:top w:val="nil"/>
              <w:left w:val="nil"/>
              <w:bottom w:val="single" w:sz="4" w:space="0" w:color="auto"/>
              <w:right w:val="single" w:sz="4" w:space="0" w:color="auto"/>
            </w:tcBorders>
            <w:shd w:val="clear" w:color="auto" w:fill="auto"/>
            <w:noWrap/>
            <w:vAlign w:val="center"/>
            <w:hideMark/>
          </w:tcPr>
          <w:p w14:paraId="7DBF95B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 </w:t>
            </w:r>
          </w:p>
        </w:tc>
        <w:tc>
          <w:tcPr>
            <w:tcW w:w="0" w:type="auto"/>
            <w:tcBorders>
              <w:top w:val="nil"/>
              <w:left w:val="nil"/>
              <w:bottom w:val="single" w:sz="4" w:space="0" w:color="auto"/>
              <w:right w:val="single" w:sz="4" w:space="0" w:color="auto"/>
            </w:tcBorders>
            <w:shd w:val="clear" w:color="auto" w:fill="auto"/>
            <w:noWrap/>
            <w:vAlign w:val="center"/>
            <w:hideMark/>
          </w:tcPr>
          <w:p w14:paraId="39E0020C"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N/A</w:t>
            </w:r>
          </w:p>
        </w:tc>
        <w:tc>
          <w:tcPr>
            <w:tcW w:w="0" w:type="auto"/>
            <w:tcBorders>
              <w:top w:val="nil"/>
              <w:left w:val="nil"/>
              <w:bottom w:val="single" w:sz="4" w:space="0" w:color="auto"/>
              <w:right w:val="single" w:sz="4" w:space="0" w:color="auto"/>
            </w:tcBorders>
            <w:shd w:val="clear" w:color="auto" w:fill="auto"/>
            <w:noWrap/>
            <w:vAlign w:val="center"/>
            <w:hideMark/>
          </w:tcPr>
          <w:p w14:paraId="61BB5B67"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N/A</w:t>
            </w:r>
          </w:p>
        </w:tc>
      </w:tr>
      <w:tr w:rsidR="00FF49F1" w:rsidRPr="00FF49F1" w14:paraId="044C44B4"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6B42EB" w14:textId="77777777" w:rsidR="00FF49F1" w:rsidRPr="00FF49F1" w:rsidRDefault="00FF49F1" w:rsidP="00FF49F1">
            <w:pPr>
              <w:spacing w:after="0"/>
              <w:ind w:left="0" w:firstLine="0"/>
              <w:jc w:val="center"/>
              <w:rPr>
                <w:rFonts w:asciiTheme="minorHAnsi" w:hAnsiTheme="minorHAnsi" w:cstheme="minorHAnsi"/>
                <w:sz w:val="16"/>
                <w:szCs w:val="16"/>
                <w:lang w:bidi="ar-SA"/>
              </w:rPr>
            </w:pPr>
            <w:proofErr w:type="spellStart"/>
            <w:r w:rsidRPr="00FF49F1">
              <w:rPr>
                <w:rFonts w:asciiTheme="minorHAnsi" w:hAnsiTheme="minorHAnsi" w:cstheme="minorHAnsi"/>
                <w:sz w:val="16"/>
                <w:szCs w:val="16"/>
                <w:lang w:bidi="ar-SA"/>
              </w:rPr>
              <w:t>ConEd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7CF2E7B1"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Goethals</w:t>
            </w:r>
          </w:p>
        </w:tc>
        <w:tc>
          <w:tcPr>
            <w:tcW w:w="0" w:type="auto"/>
            <w:tcBorders>
              <w:top w:val="nil"/>
              <w:left w:val="nil"/>
              <w:bottom w:val="single" w:sz="4" w:space="0" w:color="auto"/>
              <w:right w:val="single" w:sz="4" w:space="0" w:color="auto"/>
            </w:tcBorders>
            <w:shd w:val="clear" w:color="auto" w:fill="auto"/>
            <w:noWrap/>
            <w:vAlign w:val="center"/>
            <w:hideMark/>
          </w:tcPr>
          <w:p w14:paraId="0DAF6598"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Fox Hills</w:t>
            </w:r>
          </w:p>
        </w:tc>
        <w:tc>
          <w:tcPr>
            <w:tcW w:w="0" w:type="auto"/>
            <w:tcBorders>
              <w:top w:val="nil"/>
              <w:left w:val="nil"/>
              <w:bottom w:val="single" w:sz="4" w:space="0" w:color="auto"/>
              <w:right w:val="single" w:sz="4" w:space="0" w:color="auto"/>
            </w:tcBorders>
            <w:shd w:val="clear" w:color="auto" w:fill="auto"/>
            <w:noWrap/>
            <w:vAlign w:val="center"/>
            <w:hideMark/>
          </w:tcPr>
          <w:p w14:paraId="1CD9281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51E4238B"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2025</w:t>
            </w:r>
          </w:p>
        </w:tc>
        <w:tc>
          <w:tcPr>
            <w:tcW w:w="0" w:type="auto"/>
            <w:tcBorders>
              <w:top w:val="nil"/>
              <w:left w:val="nil"/>
              <w:bottom w:val="single" w:sz="4" w:space="0" w:color="auto"/>
              <w:right w:val="single" w:sz="4" w:space="0" w:color="auto"/>
            </w:tcBorders>
            <w:shd w:val="clear" w:color="auto" w:fill="auto"/>
            <w:noWrap/>
            <w:vAlign w:val="center"/>
            <w:hideMark/>
          </w:tcPr>
          <w:p w14:paraId="38346AE1"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345/138</w:t>
            </w:r>
          </w:p>
        </w:tc>
        <w:tc>
          <w:tcPr>
            <w:tcW w:w="0" w:type="auto"/>
            <w:tcBorders>
              <w:top w:val="nil"/>
              <w:left w:val="nil"/>
              <w:bottom w:val="single" w:sz="4" w:space="0" w:color="auto"/>
              <w:right w:val="single" w:sz="4" w:space="0" w:color="auto"/>
            </w:tcBorders>
            <w:shd w:val="clear" w:color="auto" w:fill="auto"/>
            <w:noWrap/>
            <w:vAlign w:val="center"/>
            <w:hideMark/>
          </w:tcPr>
          <w:p w14:paraId="4DF51C58"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345/138</w:t>
            </w:r>
          </w:p>
        </w:tc>
        <w:tc>
          <w:tcPr>
            <w:tcW w:w="0" w:type="auto"/>
            <w:tcBorders>
              <w:top w:val="nil"/>
              <w:left w:val="nil"/>
              <w:bottom w:val="single" w:sz="4" w:space="0" w:color="auto"/>
              <w:right w:val="single" w:sz="4" w:space="0" w:color="auto"/>
            </w:tcBorders>
            <w:shd w:val="clear" w:color="auto" w:fill="auto"/>
            <w:noWrap/>
            <w:vAlign w:val="center"/>
            <w:hideMark/>
          </w:tcPr>
          <w:p w14:paraId="4F4D374E"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 </w:t>
            </w:r>
          </w:p>
        </w:tc>
        <w:tc>
          <w:tcPr>
            <w:tcW w:w="0" w:type="auto"/>
            <w:tcBorders>
              <w:top w:val="nil"/>
              <w:left w:val="nil"/>
              <w:bottom w:val="single" w:sz="4" w:space="0" w:color="auto"/>
              <w:right w:val="single" w:sz="4" w:space="0" w:color="auto"/>
            </w:tcBorders>
            <w:shd w:val="clear" w:color="auto" w:fill="auto"/>
            <w:noWrap/>
            <w:vAlign w:val="center"/>
            <w:hideMark/>
          </w:tcPr>
          <w:p w14:paraId="604F9548"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N/A</w:t>
            </w:r>
          </w:p>
        </w:tc>
        <w:tc>
          <w:tcPr>
            <w:tcW w:w="0" w:type="auto"/>
            <w:tcBorders>
              <w:top w:val="nil"/>
              <w:left w:val="nil"/>
              <w:bottom w:val="single" w:sz="4" w:space="0" w:color="auto"/>
              <w:right w:val="single" w:sz="4" w:space="0" w:color="auto"/>
            </w:tcBorders>
            <w:shd w:val="clear" w:color="auto" w:fill="auto"/>
            <w:noWrap/>
            <w:vAlign w:val="center"/>
            <w:hideMark/>
          </w:tcPr>
          <w:p w14:paraId="681EE53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N/A</w:t>
            </w:r>
          </w:p>
        </w:tc>
      </w:tr>
      <w:tr w:rsidR="00FF49F1" w:rsidRPr="00FF49F1" w14:paraId="0E7F62DA"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F45912"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LIPA</w:t>
            </w:r>
          </w:p>
        </w:tc>
        <w:tc>
          <w:tcPr>
            <w:tcW w:w="0" w:type="auto"/>
            <w:tcBorders>
              <w:top w:val="nil"/>
              <w:left w:val="nil"/>
              <w:bottom w:val="single" w:sz="4" w:space="0" w:color="auto"/>
              <w:right w:val="single" w:sz="4" w:space="0" w:color="auto"/>
            </w:tcBorders>
            <w:shd w:val="clear" w:color="auto" w:fill="auto"/>
            <w:noWrap/>
            <w:vAlign w:val="center"/>
            <w:hideMark/>
          </w:tcPr>
          <w:p w14:paraId="450A03C5"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Riverhead</w:t>
            </w:r>
          </w:p>
        </w:tc>
        <w:tc>
          <w:tcPr>
            <w:tcW w:w="0" w:type="auto"/>
            <w:tcBorders>
              <w:top w:val="nil"/>
              <w:left w:val="nil"/>
              <w:bottom w:val="single" w:sz="4" w:space="0" w:color="auto"/>
              <w:right w:val="single" w:sz="4" w:space="0" w:color="auto"/>
            </w:tcBorders>
            <w:shd w:val="clear" w:color="auto" w:fill="auto"/>
            <w:noWrap/>
            <w:vAlign w:val="center"/>
            <w:hideMark/>
          </w:tcPr>
          <w:p w14:paraId="2C3F7CB3"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Wildwood</w:t>
            </w:r>
          </w:p>
        </w:tc>
        <w:tc>
          <w:tcPr>
            <w:tcW w:w="0" w:type="auto"/>
            <w:tcBorders>
              <w:top w:val="nil"/>
              <w:left w:val="nil"/>
              <w:bottom w:val="single" w:sz="4" w:space="0" w:color="auto"/>
              <w:right w:val="single" w:sz="4" w:space="0" w:color="auto"/>
            </w:tcBorders>
            <w:shd w:val="clear" w:color="auto" w:fill="auto"/>
            <w:noWrap/>
            <w:vAlign w:val="center"/>
            <w:hideMark/>
          </w:tcPr>
          <w:p w14:paraId="1A9FBA98"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7CC60B58"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2021</w:t>
            </w:r>
          </w:p>
        </w:tc>
        <w:tc>
          <w:tcPr>
            <w:tcW w:w="0" w:type="auto"/>
            <w:tcBorders>
              <w:top w:val="nil"/>
              <w:left w:val="nil"/>
              <w:bottom w:val="single" w:sz="4" w:space="0" w:color="auto"/>
              <w:right w:val="single" w:sz="4" w:space="0" w:color="auto"/>
            </w:tcBorders>
            <w:shd w:val="clear" w:color="auto" w:fill="auto"/>
            <w:noWrap/>
            <w:vAlign w:val="center"/>
            <w:hideMark/>
          </w:tcPr>
          <w:p w14:paraId="54AE1CA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138</w:t>
            </w:r>
          </w:p>
        </w:tc>
        <w:tc>
          <w:tcPr>
            <w:tcW w:w="0" w:type="auto"/>
            <w:tcBorders>
              <w:top w:val="nil"/>
              <w:left w:val="nil"/>
              <w:bottom w:val="single" w:sz="4" w:space="0" w:color="auto"/>
              <w:right w:val="single" w:sz="4" w:space="0" w:color="auto"/>
            </w:tcBorders>
            <w:shd w:val="clear" w:color="auto" w:fill="auto"/>
            <w:noWrap/>
            <w:vAlign w:val="center"/>
            <w:hideMark/>
          </w:tcPr>
          <w:p w14:paraId="368E7C9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138</w:t>
            </w:r>
          </w:p>
        </w:tc>
        <w:tc>
          <w:tcPr>
            <w:tcW w:w="0" w:type="auto"/>
            <w:tcBorders>
              <w:top w:val="nil"/>
              <w:left w:val="nil"/>
              <w:bottom w:val="single" w:sz="4" w:space="0" w:color="auto"/>
              <w:right w:val="single" w:sz="4" w:space="0" w:color="auto"/>
            </w:tcBorders>
            <w:shd w:val="clear" w:color="auto" w:fill="auto"/>
            <w:noWrap/>
            <w:vAlign w:val="center"/>
            <w:hideMark/>
          </w:tcPr>
          <w:p w14:paraId="134EE76E"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55112560"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1399</w:t>
            </w:r>
          </w:p>
        </w:tc>
        <w:tc>
          <w:tcPr>
            <w:tcW w:w="0" w:type="auto"/>
            <w:tcBorders>
              <w:top w:val="nil"/>
              <w:left w:val="nil"/>
              <w:bottom w:val="single" w:sz="4" w:space="0" w:color="auto"/>
              <w:right w:val="single" w:sz="4" w:space="0" w:color="auto"/>
            </w:tcBorders>
            <w:shd w:val="clear" w:color="auto" w:fill="auto"/>
            <w:noWrap/>
            <w:vAlign w:val="center"/>
            <w:hideMark/>
          </w:tcPr>
          <w:p w14:paraId="0DD3B97B"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1709</w:t>
            </w:r>
          </w:p>
        </w:tc>
      </w:tr>
      <w:tr w:rsidR="00FF49F1" w:rsidRPr="00FF49F1" w14:paraId="5BDF7134"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FFFD64"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LSP</w:t>
            </w:r>
          </w:p>
        </w:tc>
        <w:tc>
          <w:tcPr>
            <w:tcW w:w="0" w:type="auto"/>
            <w:tcBorders>
              <w:top w:val="nil"/>
              <w:left w:val="nil"/>
              <w:bottom w:val="single" w:sz="4" w:space="0" w:color="auto"/>
              <w:right w:val="single" w:sz="4" w:space="0" w:color="auto"/>
            </w:tcBorders>
            <w:shd w:val="clear" w:color="auto" w:fill="auto"/>
            <w:noWrap/>
            <w:vAlign w:val="center"/>
            <w:hideMark/>
          </w:tcPr>
          <w:p w14:paraId="42A8C802"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Gordon Rd (New Station)</w:t>
            </w:r>
          </w:p>
        </w:tc>
        <w:tc>
          <w:tcPr>
            <w:tcW w:w="0" w:type="auto"/>
            <w:tcBorders>
              <w:top w:val="nil"/>
              <w:left w:val="nil"/>
              <w:bottom w:val="single" w:sz="4" w:space="0" w:color="auto"/>
              <w:right w:val="single" w:sz="4" w:space="0" w:color="auto"/>
            </w:tcBorders>
            <w:shd w:val="clear" w:color="auto" w:fill="auto"/>
            <w:noWrap/>
            <w:vAlign w:val="center"/>
            <w:hideMark/>
          </w:tcPr>
          <w:p w14:paraId="600DD708"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Rotterdam</w:t>
            </w:r>
          </w:p>
        </w:tc>
        <w:tc>
          <w:tcPr>
            <w:tcW w:w="0" w:type="auto"/>
            <w:tcBorders>
              <w:top w:val="nil"/>
              <w:left w:val="nil"/>
              <w:bottom w:val="single" w:sz="4" w:space="0" w:color="auto"/>
              <w:right w:val="single" w:sz="4" w:space="0" w:color="auto"/>
            </w:tcBorders>
            <w:shd w:val="clear" w:color="auto" w:fill="auto"/>
            <w:noWrap/>
            <w:vAlign w:val="center"/>
            <w:hideMark/>
          </w:tcPr>
          <w:p w14:paraId="0DFF33B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1270875F"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2022</w:t>
            </w:r>
          </w:p>
        </w:tc>
        <w:tc>
          <w:tcPr>
            <w:tcW w:w="0" w:type="auto"/>
            <w:tcBorders>
              <w:top w:val="nil"/>
              <w:left w:val="nil"/>
              <w:bottom w:val="single" w:sz="4" w:space="0" w:color="auto"/>
              <w:right w:val="single" w:sz="4" w:space="0" w:color="auto"/>
            </w:tcBorders>
            <w:shd w:val="clear" w:color="auto" w:fill="auto"/>
            <w:noWrap/>
            <w:vAlign w:val="center"/>
            <w:hideMark/>
          </w:tcPr>
          <w:p w14:paraId="0205F359"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345/230</w:t>
            </w:r>
          </w:p>
        </w:tc>
        <w:tc>
          <w:tcPr>
            <w:tcW w:w="0" w:type="auto"/>
            <w:tcBorders>
              <w:top w:val="nil"/>
              <w:left w:val="nil"/>
              <w:bottom w:val="single" w:sz="4" w:space="0" w:color="auto"/>
              <w:right w:val="single" w:sz="4" w:space="0" w:color="auto"/>
            </w:tcBorders>
            <w:shd w:val="clear" w:color="auto" w:fill="auto"/>
            <w:noWrap/>
            <w:vAlign w:val="center"/>
            <w:hideMark/>
          </w:tcPr>
          <w:p w14:paraId="39555AC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345/230</w:t>
            </w:r>
          </w:p>
        </w:tc>
        <w:tc>
          <w:tcPr>
            <w:tcW w:w="0" w:type="auto"/>
            <w:tcBorders>
              <w:top w:val="nil"/>
              <w:left w:val="nil"/>
              <w:bottom w:val="single" w:sz="4" w:space="0" w:color="auto"/>
              <w:right w:val="single" w:sz="4" w:space="0" w:color="auto"/>
            </w:tcBorders>
            <w:shd w:val="clear" w:color="auto" w:fill="auto"/>
            <w:noWrap/>
            <w:vAlign w:val="center"/>
            <w:hideMark/>
          </w:tcPr>
          <w:p w14:paraId="1A8835A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767FECDC"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478 MVA</w:t>
            </w:r>
          </w:p>
        </w:tc>
        <w:tc>
          <w:tcPr>
            <w:tcW w:w="0" w:type="auto"/>
            <w:tcBorders>
              <w:top w:val="nil"/>
              <w:left w:val="nil"/>
              <w:bottom w:val="single" w:sz="4" w:space="0" w:color="auto"/>
              <w:right w:val="single" w:sz="4" w:space="0" w:color="auto"/>
            </w:tcBorders>
            <w:shd w:val="clear" w:color="auto" w:fill="auto"/>
            <w:noWrap/>
            <w:vAlign w:val="center"/>
            <w:hideMark/>
          </w:tcPr>
          <w:p w14:paraId="24AEAAE9"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478 MVA</w:t>
            </w:r>
          </w:p>
        </w:tc>
      </w:tr>
      <w:tr w:rsidR="00FF49F1" w:rsidRPr="00FF49F1" w14:paraId="49C7812B"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06B973"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LSP</w:t>
            </w:r>
          </w:p>
        </w:tc>
        <w:tc>
          <w:tcPr>
            <w:tcW w:w="0" w:type="auto"/>
            <w:tcBorders>
              <w:top w:val="nil"/>
              <w:left w:val="nil"/>
              <w:bottom w:val="single" w:sz="4" w:space="0" w:color="auto"/>
              <w:right w:val="single" w:sz="4" w:space="0" w:color="auto"/>
            </w:tcBorders>
            <w:shd w:val="clear" w:color="auto" w:fill="auto"/>
            <w:noWrap/>
            <w:vAlign w:val="center"/>
            <w:hideMark/>
          </w:tcPr>
          <w:p w14:paraId="6B053748"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Gordon Rd (New Station)</w:t>
            </w:r>
          </w:p>
        </w:tc>
        <w:tc>
          <w:tcPr>
            <w:tcW w:w="0" w:type="auto"/>
            <w:tcBorders>
              <w:top w:val="nil"/>
              <w:left w:val="nil"/>
              <w:bottom w:val="single" w:sz="4" w:space="0" w:color="auto"/>
              <w:right w:val="single" w:sz="4" w:space="0" w:color="auto"/>
            </w:tcBorders>
            <w:shd w:val="clear" w:color="auto" w:fill="auto"/>
            <w:noWrap/>
            <w:vAlign w:val="center"/>
            <w:hideMark/>
          </w:tcPr>
          <w:p w14:paraId="4226C270" w14:textId="77777777" w:rsidR="00FF49F1" w:rsidRPr="00FF49F1" w:rsidRDefault="00FF49F1" w:rsidP="00FF49F1">
            <w:pPr>
              <w:spacing w:after="0"/>
              <w:ind w:left="0" w:firstLine="0"/>
              <w:jc w:val="center"/>
              <w:rPr>
                <w:rFonts w:asciiTheme="minorHAnsi" w:hAnsiTheme="minorHAnsi" w:cstheme="minorHAnsi"/>
                <w:sz w:val="16"/>
                <w:szCs w:val="16"/>
                <w:lang w:bidi="ar-SA"/>
              </w:rPr>
            </w:pPr>
            <w:proofErr w:type="spellStart"/>
            <w:r w:rsidRPr="00FF49F1">
              <w:rPr>
                <w:rFonts w:asciiTheme="minorHAnsi" w:hAnsiTheme="minorHAnsi" w:cstheme="minorHAnsi"/>
                <w:sz w:val="16"/>
                <w:szCs w:val="16"/>
                <w:lang w:bidi="ar-SA"/>
              </w:rPr>
              <w:t>Princetown</w:t>
            </w:r>
            <w:proofErr w:type="spellEnd"/>
            <w:r w:rsidRPr="00FF49F1">
              <w:rPr>
                <w:rFonts w:asciiTheme="minorHAnsi" w:hAnsiTheme="minorHAnsi" w:cstheme="minorHAnsi"/>
                <w:sz w:val="16"/>
                <w:szCs w:val="16"/>
                <w:lang w:bidi="ar-SA"/>
              </w:rPr>
              <w:t xml:space="preserve"> (New Station)</w:t>
            </w:r>
          </w:p>
        </w:tc>
        <w:tc>
          <w:tcPr>
            <w:tcW w:w="0" w:type="auto"/>
            <w:tcBorders>
              <w:top w:val="nil"/>
              <w:left w:val="nil"/>
              <w:bottom w:val="single" w:sz="4" w:space="0" w:color="auto"/>
              <w:right w:val="single" w:sz="4" w:space="0" w:color="auto"/>
            </w:tcBorders>
            <w:shd w:val="clear" w:color="auto" w:fill="auto"/>
            <w:noWrap/>
            <w:vAlign w:val="center"/>
            <w:hideMark/>
          </w:tcPr>
          <w:p w14:paraId="63FE1123"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24E44C60"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2023</w:t>
            </w:r>
          </w:p>
        </w:tc>
        <w:tc>
          <w:tcPr>
            <w:tcW w:w="0" w:type="auto"/>
            <w:tcBorders>
              <w:top w:val="nil"/>
              <w:left w:val="nil"/>
              <w:bottom w:val="single" w:sz="4" w:space="0" w:color="auto"/>
              <w:right w:val="single" w:sz="4" w:space="0" w:color="auto"/>
            </w:tcBorders>
            <w:shd w:val="clear" w:color="auto" w:fill="auto"/>
            <w:noWrap/>
            <w:vAlign w:val="center"/>
            <w:hideMark/>
          </w:tcPr>
          <w:p w14:paraId="6552BE7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3262A36B"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0D2409D4"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3A99C835"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3410</w:t>
            </w:r>
          </w:p>
        </w:tc>
        <w:tc>
          <w:tcPr>
            <w:tcW w:w="0" w:type="auto"/>
            <w:tcBorders>
              <w:top w:val="nil"/>
              <w:left w:val="nil"/>
              <w:bottom w:val="single" w:sz="4" w:space="0" w:color="auto"/>
              <w:right w:val="single" w:sz="4" w:space="0" w:color="auto"/>
            </w:tcBorders>
            <w:shd w:val="clear" w:color="auto" w:fill="auto"/>
            <w:noWrap/>
            <w:vAlign w:val="center"/>
            <w:hideMark/>
          </w:tcPr>
          <w:p w14:paraId="38A269F4"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3709</w:t>
            </w:r>
          </w:p>
        </w:tc>
      </w:tr>
      <w:tr w:rsidR="00FF49F1" w:rsidRPr="00FF49F1" w14:paraId="66061832"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B32C10"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LSP</w:t>
            </w:r>
          </w:p>
        </w:tc>
        <w:tc>
          <w:tcPr>
            <w:tcW w:w="0" w:type="auto"/>
            <w:tcBorders>
              <w:top w:val="nil"/>
              <w:left w:val="nil"/>
              <w:bottom w:val="single" w:sz="4" w:space="0" w:color="auto"/>
              <w:right w:val="single" w:sz="4" w:space="0" w:color="auto"/>
            </w:tcBorders>
            <w:shd w:val="clear" w:color="auto" w:fill="auto"/>
            <w:noWrap/>
            <w:vAlign w:val="center"/>
            <w:hideMark/>
          </w:tcPr>
          <w:p w14:paraId="45AE0255" w14:textId="77777777" w:rsidR="00FF49F1" w:rsidRPr="00FF49F1" w:rsidRDefault="00FF49F1" w:rsidP="00FF49F1">
            <w:pPr>
              <w:spacing w:after="0"/>
              <w:ind w:left="0" w:firstLine="0"/>
              <w:jc w:val="center"/>
              <w:rPr>
                <w:rFonts w:asciiTheme="minorHAnsi" w:hAnsiTheme="minorHAnsi" w:cstheme="minorHAnsi"/>
                <w:sz w:val="16"/>
                <w:szCs w:val="16"/>
                <w:lang w:bidi="ar-SA"/>
              </w:rPr>
            </w:pPr>
            <w:proofErr w:type="spellStart"/>
            <w:r w:rsidRPr="00FF49F1">
              <w:rPr>
                <w:rFonts w:asciiTheme="minorHAnsi" w:hAnsiTheme="minorHAnsi" w:cstheme="minorHAnsi"/>
                <w:sz w:val="16"/>
                <w:szCs w:val="16"/>
                <w:lang w:bidi="ar-SA"/>
              </w:rPr>
              <w:t>Princetown</w:t>
            </w:r>
            <w:proofErr w:type="spellEnd"/>
            <w:r w:rsidRPr="00FF49F1">
              <w:rPr>
                <w:rFonts w:asciiTheme="minorHAnsi" w:hAnsiTheme="minorHAnsi" w:cstheme="minorHAnsi"/>
                <w:sz w:val="16"/>
                <w:szCs w:val="16"/>
                <w:lang w:bidi="ar-SA"/>
              </w:rPr>
              <w:t xml:space="preserve"> (New Station)</w:t>
            </w:r>
          </w:p>
        </w:tc>
        <w:tc>
          <w:tcPr>
            <w:tcW w:w="0" w:type="auto"/>
            <w:tcBorders>
              <w:top w:val="nil"/>
              <w:left w:val="nil"/>
              <w:bottom w:val="single" w:sz="4" w:space="0" w:color="auto"/>
              <w:right w:val="single" w:sz="4" w:space="0" w:color="auto"/>
            </w:tcBorders>
            <w:shd w:val="clear" w:color="auto" w:fill="auto"/>
            <w:noWrap/>
            <w:vAlign w:val="center"/>
            <w:hideMark/>
          </w:tcPr>
          <w:p w14:paraId="3F9C4A4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New Scotland</w:t>
            </w:r>
          </w:p>
        </w:tc>
        <w:tc>
          <w:tcPr>
            <w:tcW w:w="0" w:type="auto"/>
            <w:tcBorders>
              <w:top w:val="nil"/>
              <w:left w:val="nil"/>
              <w:bottom w:val="single" w:sz="4" w:space="0" w:color="auto"/>
              <w:right w:val="single" w:sz="4" w:space="0" w:color="auto"/>
            </w:tcBorders>
            <w:shd w:val="clear" w:color="auto" w:fill="auto"/>
            <w:noWrap/>
            <w:vAlign w:val="center"/>
            <w:hideMark/>
          </w:tcPr>
          <w:p w14:paraId="69DA3FA3"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74C832BE"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2023</w:t>
            </w:r>
          </w:p>
        </w:tc>
        <w:tc>
          <w:tcPr>
            <w:tcW w:w="0" w:type="auto"/>
            <w:tcBorders>
              <w:top w:val="nil"/>
              <w:left w:val="nil"/>
              <w:bottom w:val="single" w:sz="4" w:space="0" w:color="auto"/>
              <w:right w:val="single" w:sz="4" w:space="0" w:color="auto"/>
            </w:tcBorders>
            <w:shd w:val="clear" w:color="auto" w:fill="auto"/>
            <w:noWrap/>
            <w:vAlign w:val="center"/>
            <w:hideMark/>
          </w:tcPr>
          <w:p w14:paraId="3F4F9DC2"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6C63E355"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4F151523"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76D8B0DC"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3410</w:t>
            </w:r>
          </w:p>
        </w:tc>
        <w:tc>
          <w:tcPr>
            <w:tcW w:w="0" w:type="auto"/>
            <w:tcBorders>
              <w:top w:val="nil"/>
              <w:left w:val="nil"/>
              <w:bottom w:val="single" w:sz="4" w:space="0" w:color="auto"/>
              <w:right w:val="single" w:sz="4" w:space="0" w:color="auto"/>
            </w:tcBorders>
            <w:shd w:val="clear" w:color="auto" w:fill="auto"/>
            <w:noWrap/>
            <w:vAlign w:val="center"/>
            <w:hideMark/>
          </w:tcPr>
          <w:p w14:paraId="7205DD42"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3709</w:t>
            </w:r>
          </w:p>
        </w:tc>
      </w:tr>
      <w:tr w:rsidR="00FF49F1" w:rsidRPr="00FF49F1" w14:paraId="5D1563FC"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DB33AC"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LSP</w:t>
            </w:r>
          </w:p>
        </w:tc>
        <w:tc>
          <w:tcPr>
            <w:tcW w:w="0" w:type="auto"/>
            <w:tcBorders>
              <w:top w:val="nil"/>
              <w:left w:val="nil"/>
              <w:bottom w:val="single" w:sz="4" w:space="0" w:color="auto"/>
              <w:right w:val="single" w:sz="4" w:space="0" w:color="auto"/>
            </w:tcBorders>
            <w:shd w:val="clear" w:color="auto" w:fill="auto"/>
            <w:noWrap/>
            <w:vAlign w:val="center"/>
            <w:hideMark/>
          </w:tcPr>
          <w:p w14:paraId="7E5A0A79"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Gordon Rd (New Station)</w:t>
            </w:r>
          </w:p>
        </w:tc>
        <w:tc>
          <w:tcPr>
            <w:tcW w:w="0" w:type="auto"/>
            <w:tcBorders>
              <w:top w:val="nil"/>
              <w:left w:val="nil"/>
              <w:bottom w:val="single" w:sz="4" w:space="0" w:color="auto"/>
              <w:right w:val="single" w:sz="4" w:space="0" w:color="auto"/>
            </w:tcBorders>
            <w:shd w:val="clear" w:color="auto" w:fill="auto"/>
            <w:noWrap/>
            <w:vAlign w:val="center"/>
            <w:hideMark/>
          </w:tcPr>
          <w:p w14:paraId="5F50BE9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Gordon Rd (New Station)</w:t>
            </w:r>
          </w:p>
        </w:tc>
        <w:tc>
          <w:tcPr>
            <w:tcW w:w="0" w:type="auto"/>
            <w:tcBorders>
              <w:top w:val="nil"/>
              <w:left w:val="nil"/>
              <w:bottom w:val="single" w:sz="4" w:space="0" w:color="auto"/>
              <w:right w:val="single" w:sz="4" w:space="0" w:color="auto"/>
            </w:tcBorders>
            <w:shd w:val="clear" w:color="auto" w:fill="auto"/>
            <w:noWrap/>
            <w:vAlign w:val="center"/>
            <w:hideMark/>
          </w:tcPr>
          <w:p w14:paraId="37AD743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14501A08"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2029</w:t>
            </w:r>
          </w:p>
        </w:tc>
        <w:tc>
          <w:tcPr>
            <w:tcW w:w="0" w:type="auto"/>
            <w:tcBorders>
              <w:top w:val="nil"/>
              <w:left w:val="nil"/>
              <w:bottom w:val="single" w:sz="4" w:space="0" w:color="auto"/>
              <w:right w:val="single" w:sz="4" w:space="0" w:color="auto"/>
            </w:tcBorders>
            <w:shd w:val="clear" w:color="auto" w:fill="auto"/>
            <w:noWrap/>
            <w:vAlign w:val="center"/>
            <w:hideMark/>
          </w:tcPr>
          <w:p w14:paraId="60035349"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345/230</w:t>
            </w:r>
          </w:p>
        </w:tc>
        <w:tc>
          <w:tcPr>
            <w:tcW w:w="0" w:type="auto"/>
            <w:tcBorders>
              <w:top w:val="nil"/>
              <w:left w:val="nil"/>
              <w:bottom w:val="single" w:sz="4" w:space="0" w:color="auto"/>
              <w:right w:val="single" w:sz="4" w:space="0" w:color="auto"/>
            </w:tcBorders>
            <w:shd w:val="clear" w:color="auto" w:fill="auto"/>
            <w:noWrap/>
            <w:vAlign w:val="center"/>
            <w:hideMark/>
          </w:tcPr>
          <w:p w14:paraId="7A9F0210"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345/230</w:t>
            </w:r>
          </w:p>
        </w:tc>
        <w:tc>
          <w:tcPr>
            <w:tcW w:w="0" w:type="auto"/>
            <w:tcBorders>
              <w:top w:val="nil"/>
              <w:left w:val="nil"/>
              <w:bottom w:val="single" w:sz="4" w:space="0" w:color="auto"/>
              <w:right w:val="single" w:sz="4" w:space="0" w:color="auto"/>
            </w:tcBorders>
            <w:shd w:val="clear" w:color="auto" w:fill="auto"/>
            <w:noWrap/>
            <w:vAlign w:val="center"/>
            <w:hideMark/>
          </w:tcPr>
          <w:p w14:paraId="411F2B41"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63CB37C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478 MVA</w:t>
            </w:r>
          </w:p>
        </w:tc>
        <w:tc>
          <w:tcPr>
            <w:tcW w:w="0" w:type="auto"/>
            <w:tcBorders>
              <w:top w:val="nil"/>
              <w:left w:val="nil"/>
              <w:bottom w:val="single" w:sz="4" w:space="0" w:color="auto"/>
              <w:right w:val="single" w:sz="4" w:space="0" w:color="auto"/>
            </w:tcBorders>
            <w:shd w:val="clear" w:color="auto" w:fill="auto"/>
            <w:noWrap/>
            <w:vAlign w:val="center"/>
            <w:hideMark/>
          </w:tcPr>
          <w:p w14:paraId="06288F7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478 MVA</w:t>
            </w:r>
          </w:p>
        </w:tc>
      </w:tr>
      <w:tr w:rsidR="00FF49F1" w:rsidRPr="00FF49F1" w14:paraId="5DC9870B"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A98F85"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LSP</w:t>
            </w:r>
          </w:p>
        </w:tc>
        <w:tc>
          <w:tcPr>
            <w:tcW w:w="0" w:type="auto"/>
            <w:tcBorders>
              <w:top w:val="nil"/>
              <w:left w:val="nil"/>
              <w:bottom w:val="single" w:sz="4" w:space="0" w:color="auto"/>
              <w:right w:val="single" w:sz="4" w:space="0" w:color="auto"/>
            </w:tcBorders>
            <w:shd w:val="clear" w:color="auto" w:fill="auto"/>
            <w:noWrap/>
            <w:vAlign w:val="center"/>
            <w:hideMark/>
          </w:tcPr>
          <w:p w14:paraId="3BF3940B"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Gordon Rd (New Station)</w:t>
            </w:r>
          </w:p>
        </w:tc>
        <w:tc>
          <w:tcPr>
            <w:tcW w:w="0" w:type="auto"/>
            <w:tcBorders>
              <w:top w:val="nil"/>
              <w:left w:val="nil"/>
              <w:bottom w:val="single" w:sz="4" w:space="0" w:color="auto"/>
              <w:right w:val="single" w:sz="4" w:space="0" w:color="auto"/>
            </w:tcBorders>
            <w:shd w:val="clear" w:color="auto" w:fill="auto"/>
            <w:noWrap/>
            <w:vAlign w:val="center"/>
            <w:hideMark/>
          </w:tcPr>
          <w:p w14:paraId="0A8342B7"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Rotterdam</w:t>
            </w:r>
          </w:p>
        </w:tc>
        <w:tc>
          <w:tcPr>
            <w:tcW w:w="0" w:type="auto"/>
            <w:tcBorders>
              <w:top w:val="nil"/>
              <w:left w:val="nil"/>
              <w:bottom w:val="single" w:sz="4" w:space="0" w:color="auto"/>
              <w:right w:val="single" w:sz="4" w:space="0" w:color="auto"/>
            </w:tcBorders>
            <w:shd w:val="clear" w:color="auto" w:fill="auto"/>
            <w:noWrap/>
            <w:vAlign w:val="center"/>
            <w:hideMark/>
          </w:tcPr>
          <w:p w14:paraId="68A31C5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54839989"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2029</w:t>
            </w:r>
          </w:p>
        </w:tc>
        <w:tc>
          <w:tcPr>
            <w:tcW w:w="0" w:type="auto"/>
            <w:tcBorders>
              <w:top w:val="nil"/>
              <w:left w:val="nil"/>
              <w:bottom w:val="single" w:sz="4" w:space="0" w:color="auto"/>
              <w:right w:val="single" w:sz="4" w:space="0" w:color="auto"/>
            </w:tcBorders>
            <w:shd w:val="clear" w:color="auto" w:fill="auto"/>
            <w:noWrap/>
            <w:vAlign w:val="center"/>
            <w:hideMark/>
          </w:tcPr>
          <w:p w14:paraId="57A60BB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345/115</w:t>
            </w:r>
          </w:p>
        </w:tc>
        <w:tc>
          <w:tcPr>
            <w:tcW w:w="0" w:type="auto"/>
            <w:tcBorders>
              <w:top w:val="nil"/>
              <w:left w:val="nil"/>
              <w:bottom w:val="single" w:sz="4" w:space="0" w:color="auto"/>
              <w:right w:val="single" w:sz="4" w:space="0" w:color="auto"/>
            </w:tcBorders>
            <w:shd w:val="clear" w:color="auto" w:fill="auto"/>
            <w:noWrap/>
            <w:vAlign w:val="center"/>
            <w:hideMark/>
          </w:tcPr>
          <w:p w14:paraId="181D2BE0"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345/115</w:t>
            </w:r>
          </w:p>
        </w:tc>
        <w:tc>
          <w:tcPr>
            <w:tcW w:w="0" w:type="auto"/>
            <w:tcBorders>
              <w:top w:val="nil"/>
              <w:left w:val="nil"/>
              <w:bottom w:val="single" w:sz="4" w:space="0" w:color="auto"/>
              <w:right w:val="single" w:sz="4" w:space="0" w:color="auto"/>
            </w:tcBorders>
            <w:shd w:val="clear" w:color="auto" w:fill="auto"/>
            <w:noWrap/>
            <w:vAlign w:val="center"/>
            <w:hideMark/>
          </w:tcPr>
          <w:p w14:paraId="3228FE87"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69B945D3"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650 MVA</w:t>
            </w:r>
          </w:p>
        </w:tc>
        <w:tc>
          <w:tcPr>
            <w:tcW w:w="0" w:type="auto"/>
            <w:tcBorders>
              <w:top w:val="nil"/>
              <w:left w:val="nil"/>
              <w:bottom w:val="single" w:sz="4" w:space="0" w:color="auto"/>
              <w:right w:val="single" w:sz="4" w:space="0" w:color="auto"/>
            </w:tcBorders>
            <w:shd w:val="clear" w:color="auto" w:fill="auto"/>
            <w:noWrap/>
            <w:vAlign w:val="center"/>
            <w:hideMark/>
          </w:tcPr>
          <w:p w14:paraId="03B8A61E"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650 MVA</w:t>
            </w:r>
          </w:p>
        </w:tc>
      </w:tr>
      <w:tr w:rsidR="00FF49F1" w:rsidRPr="00FF49F1" w14:paraId="4324B533"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4E890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LSP/NGRID</w:t>
            </w:r>
          </w:p>
        </w:tc>
        <w:tc>
          <w:tcPr>
            <w:tcW w:w="0" w:type="auto"/>
            <w:tcBorders>
              <w:top w:val="nil"/>
              <w:left w:val="nil"/>
              <w:bottom w:val="single" w:sz="4" w:space="0" w:color="auto"/>
              <w:right w:val="single" w:sz="4" w:space="0" w:color="auto"/>
            </w:tcBorders>
            <w:shd w:val="clear" w:color="auto" w:fill="auto"/>
            <w:noWrap/>
            <w:vAlign w:val="center"/>
            <w:hideMark/>
          </w:tcPr>
          <w:p w14:paraId="3AEC0885" w14:textId="77777777" w:rsidR="00FF49F1" w:rsidRPr="00FF49F1" w:rsidRDefault="00FF49F1" w:rsidP="00FF49F1">
            <w:pPr>
              <w:spacing w:after="0"/>
              <w:ind w:left="0" w:firstLine="0"/>
              <w:jc w:val="center"/>
              <w:rPr>
                <w:rFonts w:asciiTheme="minorHAnsi" w:hAnsiTheme="minorHAnsi" w:cstheme="minorHAnsi"/>
                <w:sz w:val="16"/>
                <w:szCs w:val="16"/>
                <w:lang w:bidi="ar-SA"/>
              </w:rPr>
            </w:pPr>
            <w:proofErr w:type="spellStart"/>
            <w:r w:rsidRPr="00FF49F1">
              <w:rPr>
                <w:rFonts w:asciiTheme="minorHAnsi" w:hAnsiTheme="minorHAnsi" w:cstheme="minorHAnsi"/>
                <w:sz w:val="16"/>
                <w:szCs w:val="16"/>
                <w:lang w:bidi="ar-SA"/>
              </w:rPr>
              <w:t>Edic</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0C0F9F8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Gordon Rd (New Station)</w:t>
            </w:r>
          </w:p>
        </w:tc>
        <w:tc>
          <w:tcPr>
            <w:tcW w:w="0" w:type="auto"/>
            <w:tcBorders>
              <w:top w:val="nil"/>
              <w:left w:val="nil"/>
              <w:bottom w:val="single" w:sz="4" w:space="0" w:color="auto"/>
              <w:right w:val="single" w:sz="4" w:space="0" w:color="auto"/>
            </w:tcBorders>
            <w:shd w:val="clear" w:color="auto" w:fill="auto"/>
            <w:noWrap/>
            <w:vAlign w:val="center"/>
            <w:hideMark/>
          </w:tcPr>
          <w:p w14:paraId="4E679CE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77FB908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2022</w:t>
            </w:r>
          </w:p>
        </w:tc>
        <w:tc>
          <w:tcPr>
            <w:tcW w:w="0" w:type="auto"/>
            <w:tcBorders>
              <w:top w:val="nil"/>
              <w:left w:val="nil"/>
              <w:bottom w:val="single" w:sz="4" w:space="0" w:color="auto"/>
              <w:right w:val="single" w:sz="4" w:space="0" w:color="auto"/>
            </w:tcBorders>
            <w:shd w:val="clear" w:color="auto" w:fill="auto"/>
            <w:noWrap/>
            <w:vAlign w:val="center"/>
            <w:hideMark/>
          </w:tcPr>
          <w:p w14:paraId="08E55F5F"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6288739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27C7248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1DD1EDA5"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2228</w:t>
            </w:r>
          </w:p>
        </w:tc>
        <w:tc>
          <w:tcPr>
            <w:tcW w:w="0" w:type="auto"/>
            <w:tcBorders>
              <w:top w:val="nil"/>
              <w:left w:val="nil"/>
              <w:bottom w:val="single" w:sz="4" w:space="0" w:color="auto"/>
              <w:right w:val="single" w:sz="4" w:space="0" w:color="auto"/>
            </w:tcBorders>
            <w:shd w:val="clear" w:color="auto" w:fill="auto"/>
            <w:noWrap/>
            <w:vAlign w:val="center"/>
            <w:hideMark/>
          </w:tcPr>
          <w:p w14:paraId="1996A42B"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2718</w:t>
            </w:r>
          </w:p>
        </w:tc>
      </w:tr>
      <w:tr w:rsidR="00FF49F1" w:rsidRPr="00FF49F1" w14:paraId="06B24045"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484C7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LSP/NGRID</w:t>
            </w:r>
          </w:p>
        </w:tc>
        <w:tc>
          <w:tcPr>
            <w:tcW w:w="0" w:type="auto"/>
            <w:tcBorders>
              <w:top w:val="nil"/>
              <w:left w:val="nil"/>
              <w:bottom w:val="single" w:sz="4" w:space="0" w:color="auto"/>
              <w:right w:val="single" w:sz="4" w:space="0" w:color="auto"/>
            </w:tcBorders>
            <w:shd w:val="clear" w:color="auto" w:fill="auto"/>
            <w:noWrap/>
            <w:vAlign w:val="center"/>
            <w:hideMark/>
          </w:tcPr>
          <w:p w14:paraId="5AAAD430"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Gordon Rd (New Station)</w:t>
            </w:r>
          </w:p>
        </w:tc>
        <w:tc>
          <w:tcPr>
            <w:tcW w:w="0" w:type="auto"/>
            <w:tcBorders>
              <w:top w:val="nil"/>
              <w:left w:val="nil"/>
              <w:bottom w:val="single" w:sz="4" w:space="0" w:color="auto"/>
              <w:right w:val="single" w:sz="4" w:space="0" w:color="auto"/>
            </w:tcBorders>
            <w:shd w:val="clear" w:color="auto" w:fill="auto"/>
            <w:noWrap/>
            <w:vAlign w:val="center"/>
            <w:hideMark/>
          </w:tcPr>
          <w:p w14:paraId="669B169E"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New Scotland</w:t>
            </w:r>
          </w:p>
        </w:tc>
        <w:tc>
          <w:tcPr>
            <w:tcW w:w="0" w:type="auto"/>
            <w:tcBorders>
              <w:top w:val="nil"/>
              <w:left w:val="nil"/>
              <w:bottom w:val="single" w:sz="4" w:space="0" w:color="auto"/>
              <w:right w:val="single" w:sz="4" w:space="0" w:color="auto"/>
            </w:tcBorders>
            <w:shd w:val="clear" w:color="auto" w:fill="auto"/>
            <w:noWrap/>
            <w:vAlign w:val="center"/>
            <w:hideMark/>
          </w:tcPr>
          <w:p w14:paraId="66BF9BC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5FC87FE7"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2022</w:t>
            </w:r>
          </w:p>
        </w:tc>
        <w:tc>
          <w:tcPr>
            <w:tcW w:w="0" w:type="auto"/>
            <w:tcBorders>
              <w:top w:val="nil"/>
              <w:left w:val="nil"/>
              <w:bottom w:val="single" w:sz="4" w:space="0" w:color="auto"/>
              <w:right w:val="single" w:sz="4" w:space="0" w:color="auto"/>
            </w:tcBorders>
            <w:shd w:val="clear" w:color="auto" w:fill="auto"/>
            <w:noWrap/>
            <w:vAlign w:val="center"/>
            <w:hideMark/>
          </w:tcPr>
          <w:p w14:paraId="29DFB3DC"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0603CAD4"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5A88DA91"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4F35C551"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2228</w:t>
            </w:r>
          </w:p>
        </w:tc>
        <w:tc>
          <w:tcPr>
            <w:tcW w:w="0" w:type="auto"/>
            <w:tcBorders>
              <w:top w:val="nil"/>
              <w:left w:val="nil"/>
              <w:bottom w:val="single" w:sz="4" w:space="0" w:color="auto"/>
              <w:right w:val="single" w:sz="4" w:space="0" w:color="auto"/>
            </w:tcBorders>
            <w:shd w:val="clear" w:color="auto" w:fill="auto"/>
            <w:noWrap/>
            <w:vAlign w:val="center"/>
            <w:hideMark/>
          </w:tcPr>
          <w:p w14:paraId="5CDF89B1"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2718</w:t>
            </w:r>
          </w:p>
        </w:tc>
      </w:tr>
      <w:tr w:rsidR="00FF49F1" w:rsidRPr="00FF49F1" w14:paraId="6D736CDD"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5838EE"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LSP/NGRID</w:t>
            </w:r>
          </w:p>
        </w:tc>
        <w:tc>
          <w:tcPr>
            <w:tcW w:w="0" w:type="auto"/>
            <w:tcBorders>
              <w:top w:val="nil"/>
              <w:left w:val="nil"/>
              <w:bottom w:val="single" w:sz="4" w:space="0" w:color="auto"/>
              <w:right w:val="single" w:sz="4" w:space="0" w:color="auto"/>
            </w:tcBorders>
            <w:shd w:val="clear" w:color="auto" w:fill="auto"/>
            <w:noWrap/>
            <w:vAlign w:val="center"/>
            <w:hideMark/>
          </w:tcPr>
          <w:p w14:paraId="768D068E" w14:textId="77777777" w:rsidR="00FF49F1" w:rsidRPr="00FF49F1" w:rsidRDefault="00FF49F1" w:rsidP="00FF49F1">
            <w:pPr>
              <w:spacing w:after="0"/>
              <w:ind w:left="0" w:firstLine="0"/>
              <w:jc w:val="center"/>
              <w:rPr>
                <w:rFonts w:asciiTheme="minorHAnsi" w:hAnsiTheme="minorHAnsi" w:cstheme="minorHAnsi"/>
                <w:sz w:val="16"/>
                <w:szCs w:val="16"/>
                <w:lang w:bidi="ar-SA"/>
              </w:rPr>
            </w:pPr>
            <w:proofErr w:type="spellStart"/>
            <w:r w:rsidRPr="00FF49F1">
              <w:rPr>
                <w:rFonts w:asciiTheme="minorHAnsi" w:hAnsiTheme="minorHAnsi" w:cstheme="minorHAnsi"/>
                <w:sz w:val="16"/>
                <w:szCs w:val="16"/>
                <w:lang w:bidi="ar-SA"/>
              </w:rPr>
              <w:t>Princetown</w:t>
            </w:r>
            <w:proofErr w:type="spellEnd"/>
            <w:r w:rsidRPr="00FF49F1">
              <w:rPr>
                <w:rFonts w:asciiTheme="minorHAnsi" w:hAnsiTheme="minorHAnsi" w:cstheme="minorHAnsi"/>
                <w:sz w:val="16"/>
                <w:szCs w:val="16"/>
                <w:lang w:bidi="ar-SA"/>
              </w:rPr>
              <w:t xml:space="preserve"> (New Station)</w:t>
            </w:r>
          </w:p>
        </w:tc>
        <w:tc>
          <w:tcPr>
            <w:tcW w:w="0" w:type="auto"/>
            <w:tcBorders>
              <w:top w:val="nil"/>
              <w:left w:val="nil"/>
              <w:bottom w:val="single" w:sz="4" w:space="0" w:color="auto"/>
              <w:right w:val="single" w:sz="4" w:space="0" w:color="auto"/>
            </w:tcBorders>
            <w:shd w:val="clear" w:color="auto" w:fill="auto"/>
            <w:noWrap/>
            <w:vAlign w:val="center"/>
            <w:hideMark/>
          </w:tcPr>
          <w:p w14:paraId="1B417EC8"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New Scotland</w:t>
            </w:r>
          </w:p>
        </w:tc>
        <w:tc>
          <w:tcPr>
            <w:tcW w:w="0" w:type="auto"/>
            <w:tcBorders>
              <w:top w:val="nil"/>
              <w:left w:val="nil"/>
              <w:bottom w:val="single" w:sz="4" w:space="0" w:color="auto"/>
              <w:right w:val="single" w:sz="4" w:space="0" w:color="auto"/>
            </w:tcBorders>
            <w:shd w:val="clear" w:color="auto" w:fill="auto"/>
            <w:noWrap/>
            <w:vAlign w:val="center"/>
            <w:hideMark/>
          </w:tcPr>
          <w:p w14:paraId="3AA9889C"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14EAAD3B"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2023</w:t>
            </w:r>
          </w:p>
        </w:tc>
        <w:tc>
          <w:tcPr>
            <w:tcW w:w="0" w:type="auto"/>
            <w:tcBorders>
              <w:top w:val="nil"/>
              <w:left w:val="nil"/>
              <w:bottom w:val="single" w:sz="4" w:space="0" w:color="auto"/>
              <w:right w:val="single" w:sz="4" w:space="0" w:color="auto"/>
            </w:tcBorders>
            <w:shd w:val="clear" w:color="auto" w:fill="auto"/>
            <w:noWrap/>
            <w:vAlign w:val="center"/>
            <w:hideMark/>
          </w:tcPr>
          <w:p w14:paraId="0A045AC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641B0318"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7B528D27"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28FDFE6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2228</w:t>
            </w:r>
          </w:p>
        </w:tc>
        <w:tc>
          <w:tcPr>
            <w:tcW w:w="0" w:type="auto"/>
            <w:tcBorders>
              <w:top w:val="nil"/>
              <w:left w:val="nil"/>
              <w:bottom w:val="single" w:sz="4" w:space="0" w:color="auto"/>
              <w:right w:val="single" w:sz="4" w:space="0" w:color="auto"/>
            </w:tcBorders>
            <w:shd w:val="clear" w:color="auto" w:fill="auto"/>
            <w:noWrap/>
            <w:vAlign w:val="center"/>
            <w:hideMark/>
          </w:tcPr>
          <w:p w14:paraId="3315FC0E"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2718</w:t>
            </w:r>
          </w:p>
        </w:tc>
      </w:tr>
      <w:tr w:rsidR="00FF49F1" w:rsidRPr="00FF49F1" w14:paraId="097EC789"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245AF1"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LSP/NYPA/NGRID</w:t>
            </w:r>
          </w:p>
        </w:tc>
        <w:tc>
          <w:tcPr>
            <w:tcW w:w="0" w:type="auto"/>
            <w:tcBorders>
              <w:top w:val="nil"/>
              <w:left w:val="nil"/>
              <w:bottom w:val="single" w:sz="4" w:space="0" w:color="auto"/>
              <w:right w:val="single" w:sz="4" w:space="0" w:color="auto"/>
            </w:tcBorders>
            <w:shd w:val="clear" w:color="auto" w:fill="auto"/>
            <w:noWrap/>
            <w:vAlign w:val="center"/>
            <w:hideMark/>
          </w:tcPr>
          <w:p w14:paraId="0DC17E62" w14:textId="77777777" w:rsidR="00FF49F1" w:rsidRPr="00FF49F1" w:rsidRDefault="00FF49F1" w:rsidP="00FF49F1">
            <w:pPr>
              <w:spacing w:after="0"/>
              <w:ind w:left="0" w:firstLine="0"/>
              <w:jc w:val="center"/>
              <w:rPr>
                <w:rFonts w:asciiTheme="minorHAnsi" w:hAnsiTheme="minorHAnsi" w:cstheme="minorHAnsi"/>
                <w:sz w:val="16"/>
                <w:szCs w:val="16"/>
                <w:lang w:bidi="ar-SA"/>
              </w:rPr>
            </w:pPr>
            <w:proofErr w:type="spellStart"/>
            <w:r w:rsidRPr="00FF49F1">
              <w:rPr>
                <w:rFonts w:asciiTheme="minorHAnsi" w:hAnsiTheme="minorHAnsi" w:cstheme="minorHAnsi"/>
                <w:sz w:val="16"/>
                <w:szCs w:val="16"/>
                <w:lang w:bidi="ar-SA"/>
              </w:rPr>
              <w:t>Edic</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531A3D3C" w14:textId="77777777" w:rsidR="00FF49F1" w:rsidRPr="00FF49F1" w:rsidRDefault="00FF49F1" w:rsidP="00FF49F1">
            <w:pPr>
              <w:spacing w:after="0"/>
              <w:ind w:left="0" w:firstLine="0"/>
              <w:jc w:val="center"/>
              <w:rPr>
                <w:rFonts w:asciiTheme="minorHAnsi" w:hAnsiTheme="minorHAnsi" w:cstheme="minorHAnsi"/>
                <w:sz w:val="16"/>
                <w:szCs w:val="16"/>
                <w:lang w:bidi="ar-SA"/>
              </w:rPr>
            </w:pPr>
            <w:proofErr w:type="spellStart"/>
            <w:r w:rsidRPr="00FF49F1">
              <w:rPr>
                <w:rFonts w:asciiTheme="minorHAnsi" w:hAnsiTheme="minorHAnsi" w:cstheme="minorHAnsi"/>
                <w:sz w:val="16"/>
                <w:szCs w:val="16"/>
                <w:lang w:bidi="ar-SA"/>
              </w:rPr>
              <w:t>Princetown</w:t>
            </w:r>
            <w:proofErr w:type="spellEnd"/>
            <w:r w:rsidRPr="00FF49F1">
              <w:rPr>
                <w:rFonts w:asciiTheme="minorHAnsi" w:hAnsiTheme="minorHAnsi" w:cstheme="minorHAnsi"/>
                <w:sz w:val="16"/>
                <w:szCs w:val="16"/>
                <w:lang w:bidi="ar-SA"/>
              </w:rPr>
              <w:t xml:space="preserve"> (New Station)</w:t>
            </w:r>
          </w:p>
        </w:tc>
        <w:tc>
          <w:tcPr>
            <w:tcW w:w="0" w:type="auto"/>
            <w:tcBorders>
              <w:top w:val="nil"/>
              <w:left w:val="nil"/>
              <w:bottom w:val="single" w:sz="4" w:space="0" w:color="auto"/>
              <w:right w:val="single" w:sz="4" w:space="0" w:color="auto"/>
            </w:tcBorders>
            <w:shd w:val="clear" w:color="auto" w:fill="auto"/>
            <w:noWrap/>
            <w:vAlign w:val="center"/>
            <w:hideMark/>
          </w:tcPr>
          <w:p w14:paraId="30AC0184"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W</w:t>
            </w:r>
          </w:p>
        </w:tc>
        <w:tc>
          <w:tcPr>
            <w:tcW w:w="0" w:type="auto"/>
            <w:tcBorders>
              <w:top w:val="nil"/>
              <w:left w:val="nil"/>
              <w:bottom w:val="single" w:sz="4" w:space="0" w:color="auto"/>
              <w:right w:val="single" w:sz="4" w:space="0" w:color="auto"/>
            </w:tcBorders>
            <w:shd w:val="clear" w:color="auto" w:fill="auto"/>
            <w:noWrap/>
            <w:vAlign w:val="center"/>
            <w:hideMark/>
          </w:tcPr>
          <w:p w14:paraId="51C30563"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2023</w:t>
            </w:r>
          </w:p>
        </w:tc>
        <w:tc>
          <w:tcPr>
            <w:tcW w:w="0" w:type="auto"/>
            <w:tcBorders>
              <w:top w:val="nil"/>
              <w:left w:val="nil"/>
              <w:bottom w:val="single" w:sz="4" w:space="0" w:color="auto"/>
              <w:right w:val="single" w:sz="4" w:space="0" w:color="auto"/>
            </w:tcBorders>
            <w:shd w:val="clear" w:color="auto" w:fill="auto"/>
            <w:noWrap/>
            <w:vAlign w:val="center"/>
            <w:hideMark/>
          </w:tcPr>
          <w:p w14:paraId="41B2780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76B3DFA3"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6D975F68"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633407E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3410</w:t>
            </w:r>
          </w:p>
        </w:tc>
        <w:tc>
          <w:tcPr>
            <w:tcW w:w="0" w:type="auto"/>
            <w:tcBorders>
              <w:top w:val="nil"/>
              <w:left w:val="nil"/>
              <w:bottom w:val="single" w:sz="4" w:space="0" w:color="auto"/>
              <w:right w:val="single" w:sz="4" w:space="0" w:color="auto"/>
            </w:tcBorders>
            <w:shd w:val="clear" w:color="auto" w:fill="auto"/>
            <w:noWrap/>
            <w:vAlign w:val="center"/>
            <w:hideMark/>
          </w:tcPr>
          <w:p w14:paraId="5E1FEAC7"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3709</w:t>
            </w:r>
          </w:p>
        </w:tc>
      </w:tr>
      <w:tr w:rsidR="00FF49F1" w:rsidRPr="00FF49F1" w14:paraId="593E2E32"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B9942E"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New York Transco</w:t>
            </w:r>
          </w:p>
        </w:tc>
        <w:tc>
          <w:tcPr>
            <w:tcW w:w="0" w:type="auto"/>
            <w:tcBorders>
              <w:top w:val="nil"/>
              <w:left w:val="nil"/>
              <w:bottom w:val="single" w:sz="4" w:space="0" w:color="auto"/>
              <w:right w:val="single" w:sz="4" w:space="0" w:color="auto"/>
            </w:tcBorders>
            <w:shd w:val="clear" w:color="auto" w:fill="auto"/>
            <w:noWrap/>
            <w:vAlign w:val="center"/>
            <w:hideMark/>
          </w:tcPr>
          <w:p w14:paraId="6D769880"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Knickerbocker (New Station)</w:t>
            </w:r>
          </w:p>
        </w:tc>
        <w:tc>
          <w:tcPr>
            <w:tcW w:w="0" w:type="auto"/>
            <w:tcBorders>
              <w:top w:val="nil"/>
              <w:left w:val="nil"/>
              <w:bottom w:val="single" w:sz="4" w:space="0" w:color="auto"/>
              <w:right w:val="single" w:sz="4" w:space="0" w:color="auto"/>
            </w:tcBorders>
            <w:shd w:val="clear" w:color="auto" w:fill="auto"/>
            <w:noWrap/>
            <w:vAlign w:val="center"/>
            <w:hideMark/>
          </w:tcPr>
          <w:p w14:paraId="79C56700"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Pleasant Valley</w:t>
            </w:r>
          </w:p>
        </w:tc>
        <w:tc>
          <w:tcPr>
            <w:tcW w:w="0" w:type="auto"/>
            <w:tcBorders>
              <w:top w:val="nil"/>
              <w:left w:val="nil"/>
              <w:bottom w:val="single" w:sz="4" w:space="0" w:color="auto"/>
              <w:right w:val="single" w:sz="4" w:space="0" w:color="auto"/>
            </w:tcBorders>
            <w:shd w:val="clear" w:color="auto" w:fill="auto"/>
            <w:noWrap/>
            <w:vAlign w:val="center"/>
            <w:hideMark/>
          </w:tcPr>
          <w:p w14:paraId="250D589F"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W</w:t>
            </w:r>
          </w:p>
        </w:tc>
        <w:tc>
          <w:tcPr>
            <w:tcW w:w="0" w:type="auto"/>
            <w:tcBorders>
              <w:top w:val="nil"/>
              <w:left w:val="nil"/>
              <w:bottom w:val="single" w:sz="4" w:space="0" w:color="auto"/>
              <w:right w:val="single" w:sz="4" w:space="0" w:color="auto"/>
            </w:tcBorders>
            <w:shd w:val="clear" w:color="auto" w:fill="auto"/>
            <w:noWrap/>
            <w:vAlign w:val="center"/>
            <w:hideMark/>
          </w:tcPr>
          <w:p w14:paraId="0C0D9BB7"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2023</w:t>
            </w:r>
          </w:p>
        </w:tc>
        <w:tc>
          <w:tcPr>
            <w:tcW w:w="0" w:type="auto"/>
            <w:tcBorders>
              <w:top w:val="nil"/>
              <w:left w:val="nil"/>
              <w:bottom w:val="single" w:sz="4" w:space="0" w:color="auto"/>
              <w:right w:val="single" w:sz="4" w:space="0" w:color="auto"/>
            </w:tcBorders>
            <w:shd w:val="clear" w:color="auto" w:fill="auto"/>
            <w:noWrap/>
            <w:vAlign w:val="center"/>
            <w:hideMark/>
          </w:tcPr>
          <w:p w14:paraId="011B67B1"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1365AB39"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3E666CD8"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7A6A7637"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3862</w:t>
            </w:r>
          </w:p>
        </w:tc>
        <w:tc>
          <w:tcPr>
            <w:tcW w:w="0" w:type="auto"/>
            <w:tcBorders>
              <w:top w:val="nil"/>
              <w:left w:val="nil"/>
              <w:bottom w:val="single" w:sz="4" w:space="0" w:color="auto"/>
              <w:right w:val="single" w:sz="4" w:space="0" w:color="auto"/>
            </w:tcBorders>
            <w:shd w:val="clear" w:color="auto" w:fill="auto"/>
            <w:noWrap/>
            <w:vAlign w:val="center"/>
            <w:hideMark/>
          </w:tcPr>
          <w:p w14:paraId="6146191C"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4103</w:t>
            </w:r>
          </w:p>
        </w:tc>
      </w:tr>
      <w:tr w:rsidR="00FF49F1" w:rsidRPr="00FF49F1" w14:paraId="1D585933"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7F2B00"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New York Transco/Con Ed</w:t>
            </w:r>
          </w:p>
        </w:tc>
        <w:tc>
          <w:tcPr>
            <w:tcW w:w="0" w:type="auto"/>
            <w:tcBorders>
              <w:top w:val="nil"/>
              <w:left w:val="nil"/>
              <w:bottom w:val="single" w:sz="4" w:space="0" w:color="auto"/>
              <w:right w:val="single" w:sz="4" w:space="0" w:color="auto"/>
            </w:tcBorders>
            <w:shd w:val="clear" w:color="auto" w:fill="auto"/>
            <w:noWrap/>
            <w:vAlign w:val="center"/>
            <w:hideMark/>
          </w:tcPr>
          <w:p w14:paraId="46A17BFC"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Van Wagner (New Station)</w:t>
            </w:r>
          </w:p>
        </w:tc>
        <w:tc>
          <w:tcPr>
            <w:tcW w:w="0" w:type="auto"/>
            <w:tcBorders>
              <w:top w:val="nil"/>
              <w:left w:val="nil"/>
              <w:bottom w:val="single" w:sz="4" w:space="0" w:color="auto"/>
              <w:right w:val="single" w:sz="4" w:space="0" w:color="auto"/>
            </w:tcBorders>
            <w:shd w:val="clear" w:color="auto" w:fill="auto"/>
            <w:noWrap/>
            <w:vAlign w:val="center"/>
            <w:hideMark/>
          </w:tcPr>
          <w:p w14:paraId="3C1E5C59"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Pleasant Valley</w:t>
            </w:r>
          </w:p>
        </w:tc>
        <w:tc>
          <w:tcPr>
            <w:tcW w:w="0" w:type="auto"/>
            <w:tcBorders>
              <w:top w:val="nil"/>
              <w:left w:val="nil"/>
              <w:bottom w:val="single" w:sz="4" w:space="0" w:color="auto"/>
              <w:right w:val="single" w:sz="4" w:space="0" w:color="auto"/>
            </w:tcBorders>
            <w:shd w:val="clear" w:color="auto" w:fill="auto"/>
            <w:noWrap/>
            <w:vAlign w:val="center"/>
            <w:hideMark/>
          </w:tcPr>
          <w:p w14:paraId="73C9881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W</w:t>
            </w:r>
          </w:p>
        </w:tc>
        <w:tc>
          <w:tcPr>
            <w:tcW w:w="0" w:type="auto"/>
            <w:tcBorders>
              <w:top w:val="nil"/>
              <w:left w:val="nil"/>
              <w:bottom w:val="single" w:sz="4" w:space="0" w:color="auto"/>
              <w:right w:val="single" w:sz="4" w:space="0" w:color="auto"/>
            </w:tcBorders>
            <w:shd w:val="clear" w:color="auto" w:fill="auto"/>
            <w:noWrap/>
            <w:vAlign w:val="center"/>
            <w:hideMark/>
          </w:tcPr>
          <w:p w14:paraId="1576B852"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2023</w:t>
            </w:r>
          </w:p>
        </w:tc>
        <w:tc>
          <w:tcPr>
            <w:tcW w:w="0" w:type="auto"/>
            <w:tcBorders>
              <w:top w:val="nil"/>
              <w:left w:val="nil"/>
              <w:bottom w:val="single" w:sz="4" w:space="0" w:color="auto"/>
              <w:right w:val="single" w:sz="4" w:space="0" w:color="auto"/>
            </w:tcBorders>
            <w:shd w:val="clear" w:color="auto" w:fill="auto"/>
            <w:noWrap/>
            <w:vAlign w:val="center"/>
            <w:hideMark/>
          </w:tcPr>
          <w:p w14:paraId="0689CCE0"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6F8571DB"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6D6DDF82"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2B246F4C"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3126</w:t>
            </w:r>
          </w:p>
        </w:tc>
        <w:tc>
          <w:tcPr>
            <w:tcW w:w="0" w:type="auto"/>
            <w:tcBorders>
              <w:top w:val="nil"/>
              <w:left w:val="nil"/>
              <w:bottom w:val="single" w:sz="4" w:space="0" w:color="auto"/>
              <w:right w:val="single" w:sz="4" w:space="0" w:color="auto"/>
            </w:tcBorders>
            <w:shd w:val="clear" w:color="auto" w:fill="auto"/>
            <w:noWrap/>
            <w:vAlign w:val="center"/>
            <w:hideMark/>
          </w:tcPr>
          <w:p w14:paraId="2FCE6DD5"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3704</w:t>
            </w:r>
          </w:p>
        </w:tc>
      </w:tr>
      <w:tr w:rsidR="00FF49F1" w:rsidRPr="00FF49F1" w14:paraId="4B4E1130"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62C4AE"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New York Transco/Con Ed</w:t>
            </w:r>
          </w:p>
        </w:tc>
        <w:tc>
          <w:tcPr>
            <w:tcW w:w="0" w:type="auto"/>
            <w:tcBorders>
              <w:top w:val="nil"/>
              <w:left w:val="nil"/>
              <w:bottom w:val="single" w:sz="4" w:space="0" w:color="auto"/>
              <w:right w:val="single" w:sz="4" w:space="0" w:color="auto"/>
            </w:tcBorders>
            <w:shd w:val="clear" w:color="auto" w:fill="auto"/>
            <w:noWrap/>
            <w:vAlign w:val="center"/>
            <w:hideMark/>
          </w:tcPr>
          <w:p w14:paraId="2520282C"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Van Wagner (New Station)</w:t>
            </w:r>
          </w:p>
        </w:tc>
        <w:tc>
          <w:tcPr>
            <w:tcW w:w="0" w:type="auto"/>
            <w:tcBorders>
              <w:top w:val="nil"/>
              <w:left w:val="nil"/>
              <w:bottom w:val="single" w:sz="4" w:space="0" w:color="auto"/>
              <w:right w:val="single" w:sz="4" w:space="0" w:color="auto"/>
            </w:tcBorders>
            <w:shd w:val="clear" w:color="auto" w:fill="auto"/>
            <w:noWrap/>
            <w:vAlign w:val="center"/>
            <w:hideMark/>
          </w:tcPr>
          <w:p w14:paraId="5DB1D51B"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Pleasant Valley</w:t>
            </w:r>
          </w:p>
        </w:tc>
        <w:tc>
          <w:tcPr>
            <w:tcW w:w="0" w:type="auto"/>
            <w:tcBorders>
              <w:top w:val="nil"/>
              <w:left w:val="nil"/>
              <w:bottom w:val="single" w:sz="4" w:space="0" w:color="auto"/>
              <w:right w:val="single" w:sz="4" w:space="0" w:color="auto"/>
            </w:tcBorders>
            <w:shd w:val="clear" w:color="auto" w:fill="auto"/>
            <w:noWrap/>
            <w:vAlign w:val="center"/>
            <w:hideMark/>
          </w:tcPr>
          <w:p w14:paraId="0A4964B3"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W</w:t>
            </w:r>
          </w:p>
        </w:tc>
        <w:tc>
          <w:tcPr>
            <w:tcW w:w="0" w:type="auto"/>
            <w:tcBorders>
              <w:top w:val="nil"/>
              <w:left w:val="nil"/>
              <w:bottom w:val="single" w:sz="4" w:space="0" w:color="auto"/>
              <w:right w:val="single" w:sz="4" w:space="0" w:color="auto"/>
            </w:tcBorders>
            <w:shd w:val="clear" w:color="auto" w:fill="auto"/>
            <w:noWrap/>
            <w:vAlign w:val="center"/>
            <w:hideMark/>
          </w:tcPr>
          <w:p w14:paraId="3CA8CC1E"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2023</w:t>
            </w:r>
          </w:p>
        </w:tc>
        <w:tc>
          <w:tcPr>
            <w:tcW w:w="0" w:type="auto"/>
            <w:tcBorders>
              <w:top w:val="nil"/>
              <w:left w:val="nil"/>
              <w:bottom w:val="single" w:sz="4" w:space="0" w:color="auto"/>
              <w:right w:val="single" w:sz="4" w:space="0" w:color="auto"/>
            </w:tcBorders>
            <w:shd w:val="clear" w:color="auto" w:fill="auto"/>
            <w:noWrap/>
            <w:vAlign w:val="center"/>
            <w:hideMark/>
          </w:tcPr>
          <w:p w14:paraId="32AB715E"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7628EE2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1B452131"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4617122B"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3126</w:t>
            </w:r>
          </w:p>
        </w:tc>
        <w:tc>
          <w:tcPr>
            <w:tcW w:w="0" w:type="auto"/>
            <w:tcBorders>
              <w:top w:val="nil"/>
              <w:left w:val="nil"/>
              <w:bottom w:val="single" w:sz="4" w:space="0" w:color="auto"/>
              <w:right w:val="single" w:sz="4" w:space="0" w:color="auto"/>
            </w:tcBorders>
            <w:shd w:val="clear" w:color="auto" w:fill="auto"/>
            <w:noWrap/>
            <w:vAlign w:val="center"/>
            <w:hideMark/>
          </w:tcPr>
          <w:p w14:paraId="7E20CC64"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3704</w:t>
            </w:r>
          </w:p>
        </w:tc>
      </w:tr>
      <w:tr w:rsidR="00FF49F1" w:rsidRPr="00FF49F1" w14:paraId="018C82DB"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F637D5"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NextEra Energy Transmission NY</w:t>
            </w:r>
          </w:p>
        </w:tc>
        <w:tc>
          <w:tcPr>
            <w:tcW w:w="0" w:type="auto"/>
            <w:tcBorders>
              <w:top w:val="nil"/>
              <w:left w:val="nil"/>
              <w:bottom w:val="single" w:sz="4" w:space="0" w:color="auto"/>
              <w:right w:val="single" w:sz="4" w:space="0" w:color="auto"/>
            </w:tcBorders>
            <w:shd w:val="clear" w:color="auto" w:fill="auto"/>
            <w:noWrap/>
            <w:vAlign w:val="center"/>
            <w:hideMark/>
          </w:tcPr>
          <w:p w14:paraId="5CC88E3D" w14:textId="77777777" w:rsidR="00FF49F1" w:rsidRPr="00FF49F1" w:rsidRDefault="00FF49F1" w:rsidP="00FF49F1">
            <w:pPr>
              <w:spacing w:after="0"/>
              <w:ind w:left="0" w:firstLine="0"/>
              <w:jc w:val="center"/>
              <w:rPr>
                <w:rFonts w:asciiTheme="minorHAnsi" w:hAnsiTheme="minorHAnsi" w:cstheme="minorHAnsi"/>
                <w:sz w:val="16"/>
                <w:szCs w:val="16"/>
                <w:lang w:bidi="ar-SA"/>
              </w:rPr>
            </w:pPr>
            <w:proofErr w:type="spellStart"/>
            <w:proofErr w:type="gramStart"/>
            <w:r w:rsidRPr="00FF49F1">
              <w:rPr>
                <w:rFonts w:asciiTheme="minorHAnsi" w:hAnsiTheme="minorHAnsi" w:cstheme="minorHAnsi"/>
                <w:sz w:val="16"/>
                <w:szCs w:val="16"/>
                <w:lang w:bidi="ar-SA"/>
              </w:rPr>
              <w:t>Dysinger</w:t>
            </w:r>
            <w:proofErr w:type="spellEnd"/>
            <w:r w:rsidRPr="00FF49F1">
              <w:rPr>
                <w:rFonts w:asciiTheme="minorHAnsi" w:hAnsiTheme="minorHAnsi" w:cstheme="minorHAnsi"/>
                <w:sz w:val="16"/>
                <w:szCs w:val="16"/>
                <w:lang w:bidi="ar-SA"/>
              </w:rPr>
              <w:t xml:space="preserve">  (</w:t>
            </w:r>
            <w:proofErr w:type="gramEnd"/>
            <w:r w:rsidRPr="00FF49F1">
              <w:rPr>
                <w:rFonts w:asciiTheme="minorHAnsi" w:hAnsiTheme="minorHAnsi" w:cstheme="minorHAnsi"/>
                <w:sz w:val="16"/>
                <w:szCs w:val="16"/>
                <w:lang w:bidi="ar-SA"/>
              </w:rPr>
              <w:t>New Station)</w:t>
            </w:r>
          </w:p>
        </w:tc>
        <w:tc>
          <w:tcPr>
            <w:tcW w:w="0" w:type="auto"/>
            <w:tcBorders>
              <w:top w:val="nil"/>
              <w:left w:val="nil"/>
              <w:bottom w:val="single" w:sz="4" w:space="0" w:color="auto"/>
              <w:right w:val="single" w:sz="4" w:space="0" w:color="auto"/>
            </w:tcBorders>
            <w:shd w:val="clear" w:color="auto" w:fill="auto"/>
            <w:noWrap/>
            <w:vAlign w:val="center"/>
            <w:hideMark/>
          </w:tcPr>
          <w:p w14:paraId="1505AC47"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East Stolle (New Station)</w:t>
            </w:r>
          </w:p>
        </w:tc>
        <w:tc>
          <w:tcPr>
            <w:tcW w:w="0" w:type="auto"/>
            <w:tcBorders>
              <w:top w:val="nil"/>
              <w:left w:val="nil"/>
              <w:bottom w:val="single" w:sz="4" w:space="0" w:color="auto"/>
              <w:right w:val="single" w:sz="4" w:space="0" w:color="auto"/>
            </w:tcBorders>
            <w:shd w:val="clear" w:color="auto" w:fill="auto"/>
            <w:noWrap/>
            <w:vAlign w:val="center"/>
            <w:hideMark/>
          </w:tcPr>
          <w:p w14:paraId="15AEEBC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7297C572"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2022</w:t>
            </w:r>
          </w:p>
        </w:tc>
        <w:tc>
          <w:tcPr>
            <w:tcW w:w="0" w:type="auto"/>
            <w:tcBorders>
              <w:top w:val="nil"/>
              <w:left w:val="nil"/>
              <w:bottom w:val="single" w:sz="4" w:space="0" w:color="auto"/>
              <w:right w:val="single" w:sz="4" w:space="0" w:color="auto"/>
            </w:tcBorders>
            <w:shd w:val="clear" w:color="auto" w:fill="auto"/>
            <w:noWrap/>
            <w:vAlign w:val="center"/>
            <w:hideMark/>
          </w:tcPr>
          <w:p w14:paraId="437EA14C"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6BFEB640"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25A2A6B2"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6BE1AE70"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1356 MVA</w:t>
            </w:r>
          </w:p>
        </w:tc>
        <w:tc>
          <w:tcPr>
            <w:tcW w:w="0" w:type="auto"/>
            <w:tcBorders>
              <w:top w:val="nil"/>
              <w:left w:val="nil"/>
              <w:bottom w:val="single" w:sz="4" w:space="0" w:color="auto"/>
              <w:right w:val="single" w:sz="4" w:space="0" w:color="auto"/>
            </w:tcBorders>
            <w:shd w:val="clear" w:color="auto" w:fill="auto"/>
            <w:noWrap/>
            <w:vAlign w:val="center"/>
            <w:hideMark/>
          </w:tcPr>
          <w:p w14:paraId="4BEDEC3B"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1612 MVA</w:t>
            </w:r>
          </w:p>
        </w:tc>
      </w:tr>
      <w:tr w:rsidR="00FF49F1" w:rsidRPr="00FF49F1" w14:paraId="25E5D592"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84C2DC"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NextEra Energy Transmission NY</w:t>
            </w:r>
          </w:p>
        </w:tc>
        <w:tc>
          <w:tcPr>
            <w:tcW w:w="0" w:type="auto"/>
            <w:tcBorders>
              <w:top w:val="nil"/>
              <w:left w:val="nil"/>
              <w:bottom w:val="single" w:sz="4" w:space="0" w:color="auto"/>
              <w:right w:val="single" w:sz="4" w:space="0" w:color="auto"/>
            </w:tcBorders>
            <w:shd w:val="clear" w:color="auto" w:fill="auto"/>
            <w:noWrap/>
            <w:vAlign w:val="center"/>
            <w:hideMark/>
          </w:tcPr>
          <w:p w14:paraId="2E342759" w14:textId="77777777" w:rsidR="00FF49F1" w:rsidRPr="00FF49F1" w:rsidRDefault="00FF49F1" w:rsidP="00FF49F1">
            <w:pPr>
              <w:spacing w:after="0"/>
              <w:ind w:left="0" w:firstLine="0"/>
              <w:jc w:val="center"/>
              <w:rPr>
                <w:rFonts w:asciiTheme="minorHAnsi" w:hAnsiTheme="minorHAnsi" w:cstheme="minorHAnsi"/>
                <w:sz w:val="16"/>
                <w:szCs w:val="16"/>
                <w:lang w:bidi="ar-SA"/>
              </w:rPr>
            </w:pPr>
            <w:proofErr w:type="spellStart"/>
            <w:proofErr w:type="gramStart"/>
            <w:r w:rsidRPr="00FF49F1">
              <w:rPr>
                <w:rFonts w:asciiTheme="minorHAnsi" w:hAnsiTheme="minorHAnsi" w:cstheme="minorHAnsi"/>
                <w:sz w:val="16"/>
                <w:szCs w:val="16"/>
                <w:lang w:bidi="ar-SA"/>
              </w:rPr>
              <w:t>Dysinger</w:t>
            </w:r>
            <w:proofErr w:type="spellEnd"/>
            <w:r w:rsidRPr="00FF49F1">
              <w:rPr>
                <w:rFonts w:asciiTheme="minorHAnsi" w:hAnsiTheme="minorHAnsi" w:cstheme="minorHAnsi"/>
                <w:sz w:val="16"/>
                <w:szCs w:val="16"/>
                <w:lang w:bidi="ar-SA"/>
              </w:rPr>
              <w:t>  (</w:t>
            </w:r>
            <w:proofErr w:type="gramEnd"/>
            <w:r w:rsidRPr="00FF49F1">
              <w:rPr>
                <w:rFonts w:asciiTheme="minorHAnsi" w:hAnsiTheme="minorHAnsi" w:cstheme="minorHAnsi"/>
                <w:sz w:val="16"/>
                <w:szCs w:val="16"/>
                <w:lang w:bidi="ar-SA"/>
              </w:rPr>
              <w:t>New Station)</w:t>
            </w:r>
          </w:p>
        </w:tc>
        <w:tc>
          <w:tcPr>
            <w:tcW w:w="0" w:type="auto"/>
            <w:tcBorders>
              <w:top w:val="nil"/>
              <w:left w:val="nil"/>
              <w:bottom w:val="single" w:sz="4" w:space="0" w:color="auto"/>
              <w:right w:val="single" w:sz="4" w:space="0" w:color="auto"/>
            </w:tcBorders>
            <w:shd w:val="clear" w:color="auto" w:fill="auto"/>
            <w:noWrap/>
            <w:vAlign w:val="center"/>
            <w:hideMark/>
          </w:tcPr>
          <w:p w14:paraId="21D653DD" w14:textId="77777777" w:rsidR="00FF49F1" w:rsidRPr="00FF49F1" w:rsidRDefault="00FF49F1" w:rsidP="00FF49F1">
            <w:pPr>
              <w:spacing w:after="0"/>
              <w:ind w:left="0" w:firstLine="0"/>
              <w:jc w:val="center"/>
              <w:rPr>
                <w:rFonts w:asciiTheme="minorHAnsi" w:hAnsiTheme="minorHAnsi" w:cstheme="minorHAnsi"/>
                <w:sz w:val="16"/>
                <w:szCs w:val="16"/>
                <w:lang w:bidi="ar-SA"/>
              </w:rPr>
            </w:pPr>
            <w:proofErr w:type="spellStart"/>
            <w:proofErr w:type="gramStart"/>
            <w:r w:rsidRPr="00FF49F1">
              <w:rPr>
                <w:rFonts w:asciiTheme="minorHAnsi" w:hAnsiTheme="minorHAnsi" w:cstheme="minorHAnsi"/>
                <w:sz w:val="16"/>
                <w:szCs w:val="16"/>
                <w:lang w:bidi="ar-SA"/>
              </w:rPr>
              <w:t>Dysinger</w:t>
            </w:r>
            <w:proofErr w:type="spellEnd"/>
            <w:r w:rsidRPr="00FF49F1">
              <w:rPr>
                <w:rFonts w:asciiTheme="minorHAnsi" w:hAnsiTheme="minorHAnsi" w:cstheme="minorHAnsi"/>
                <w:sz w:val="16"/>
                <w:szCs w:val="16"/>
                <w:lang w:bidi="ar-SA"/>
              </w:rPr>
              <w:t>  (</w:t>
            </w:r>
            <w:proofErr w:type="gramEnd"/>
            <w:r w:rsidRPr="00FF49F1">
              <w:rPr>
                <w:rFonts w:asciiTheme="minorHAnsi" w:hAnsiTheme="minorHAnsi" w:cstheme="minorHAnsi"/>
                <w:sz w:val="16"/>
                <w:szCs w:val="16"/>
                <w:lang w:bidi="ar-SA"/>
              </w:rPr>
              <w:t>New Station)</w:t>
            </w:r>
          </w:p>
        </w:tc>
        <w:tc>
          <w:tcPr>
            <w:tcW w:w="0" w:type="auto"/>
            <w:tcBorders>
              <w:top w:val="nil"/>
              <w:left w:val="nil"/>
              <w:bottom w:val="single" w:sz="4" w:space="0" w:color="auto"/>
              <w:right w:val="single" w:sz="4" w:space="0" w:color="auto"/>
            </w:tcBorders>
            <w:shd w:val="clear" w:color="auto" w:fill="auto"/>
            <w:noWrap/>
            <w:vAlign w:val="center"/>
            <w:hideMark/>
          </w:tcPr>
          <w:p w14:paraId="365C0743"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038F597E"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2022</w:t>
            </w:r>
          </w:p>
        </w:tc>
        <w:tc>
          <w:tcPr>
            <w:tcW w:w="0" w:type="auto"/>
            <w:tcBorders>
              <w:top w:val="nil"/>
              <w:left w:val="nil"/>
              <w:bottom w:val="single" w:sz="4" w:space="0" w:color="auto"/>
              <w:right w:val="single" w:sz="4" w:space="0" w:color="auto"/>
            </w:tcBorders>
            <w:shd w:val="clear" w:color="auto" w:fill="auto"/>
            <w:noWrap/>
            <w:vAlign w:val="center"/>
            <w:hideMark/>
          </w:tcPr>
          <w:p w14:paraId="2D68DEC9"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2B379EB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0FD06FDB"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4A5FDFD4"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700 MVA</w:t>
            </w:r>
          </w:p>
        </w:tc>
        <w:tc>
          <w:tcPr>
            <w:tcW w:w="0" w:type="auto"/>
            <w:tcBorders>
              <w:top w:val="nil"/>
              <w:left w:val="nil"/>
              <w:bottom w:val="single" w:sz="4" w:space="0" w:color="auto"/>
              <w:right w:val="single" w:sz="4" w:space="0" w:color="auto"/>
            </w:tcBorders>
            <w:shd w:val="clear" w:color="auto" w:fill="auto"/>
            <w:noWrap/>
            <w:vAlign w:val="center"/>
            <w:hideMark/>
          </w:tcPr>
          <w:p w14:paraId="5B1A957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700 MVA</w:t>
            </w:r>
          </w:p>
        </w:tc>
      </w:tr>
      <w:tr w:rsidR="00FF49F1" w:rsidRPr="00FF49F1" w14:paraId="6884C3F0"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3F10DC"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NGRID</w:t>
            </w:r>
          </w:p>
        </w:tc>
        <w:tc>
          <w:tcPr>
            <w:tcW w:w="0" w:type="auto"/>
            <w:tcBorders>
              <w:top w:val="nil"/>
              <w:left w:val="nil"/>
              <w:bottom w:val="single" w:sz="4" w:space="0" w:color="auto"/>
              <w:right w:val="single" w:sz="4" w:space="0" w:color="auto"/>
            </w:tcBorders>
            <w:shd w:val="clear" w:color="auto" w:fill="auto"/>
            <w:noWrap/>
            <w:vAlign w:val="center"/>
            <w:hideMark/>
          </w:tcPr>
          <w:p w14:paraId="7776CB6B"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Knickerbocker (New Station)</w:t>
            </w:r>
          </w:p>
        </w:tc>
        <w:tc>
          <w:tcPr>
            <w:tcW w:w="0" w:type="auto"/>
            <w:tcBorders>
              <w:top w:val="nil"/>
              <w:left w:val="nil"/>
              <w:bottom w:val="single" w:sz="4" w:space="0" w:color="auto"/>
              <w:right w:val="single" w:sz="4" w:space="0" w:color="auto"/>
            </w:tcBorders>
            <w:shd w:val="clear" w:color="auto" w:fill="auto"/>
            <w:noWrap/>
            <w:vAlign w:val="center"/>
            <w:hideMark/>
          </w:tcPr>
          <w:p w14:paraId="2366BFAF"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New Scotland</w:t>
            </w:r>
          </w:p>
        </w:tc>
        <w:tc>
          <w:tcPr>
            <w:tcW w:w="0" w:type="auto"/>
            <w:tcBorders>
              <w:top w:val="nil"/>
              <w:left w:val="nil"/>
              <w:bottom w:val="single" w:sz="4" w:space="0" w:color="auto"/>
              <w:right w:val="single" w:sz="4" w:space="0" w:color="auto"/>
            </w:tcBorders>
            <w:shd w:val="clear" w:color="auto" w:fill="auto"/>
            <w:noWrap/>
            <w:vAlign w:val="center"/>
            <w:hideMark/>
          </w:tcPr>
          <w:p w14:paraId="37D46122"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W</w:t>
            </w:r>
          </w:p>
        </w:tc>
        <w:tc>
          <w:tcPr>
            <w:tcW w:w="0" w:type="auto"/>
            <w:tcBorders>
              <w:top w:val="nil"/>
              <w:left w:val="nil"/>
              <w:bottom w:val="single" w:sz="4" w:space="0" w:color="auto"/>
              <w:right w:val="single" w:sz="4" w:space="0" w:color="auto"/>
            </w:tcBorders>
            <w:shd w:val="clear" w:color="auto" w:fill="auto"/>
            <w:noWrap/>
            <w:vAlign w:val="center"/>
            <w:hideMark/>
          </w:tcPr>
          <w:p w14:paraId="699F36E8"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2023</w:t>
            </w:r>
          </w:p>
        </w:tc>
        <w:tc>
          <w:tcPr>
            <w:tcW w:w="0" w:type="auto"/>
            <w:tcBorders>
              <w:top w:val="nil"/>
              <w:left w:val="nil"/>
              <w:bottom w:val="single" w:sz="4" w:space="0" w:color="auto"/>
              <w:right w:val="single" w:sz="4" w:space="0" w:color="auto"/>
            </w:tcBorders>
            <w:shd w:val="clear" w:color="auto" w:fill="auto"/>
            <w:noWrap/>
            <w:vAlign w:val="center"/>
            <w:hideMark/>
          </w:tcPr>
          <w:p w14:paraId="1C0A4F28"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528B6215"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483EB471"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289D33B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2381</w:t>
            </w:r>
          </w:p>
        </w:tc>
        <w:tc>
          <w:tcPr>
            <w:tcW w:w="0" w:type="auto"/>
            <w:tcBorders>
              <w:top w:val="nil"/>
              <w:left w:val="nil"/>
              <w:bottom w:val="single" w:sz="4" w:space="0" w:color="auto"/>
              <w:right w:val="single" w:sz="4" w:space="0" w:color="auto"/>
            </w:tcBorders>
            <w:shd w:val="clear" w:color="auto" w:fill="auto"/>
            <w:noWrap/>
            <w:vAlign w:val="center"/>
            <w:hideMark/>
          </w:tcPr>
          <w:p w14:paraId="31D58CBC"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3099</w:t>
            </w:r>
          </w:p>
        </w:tc>
      </w:tr>
      <w:tr w:rsidR="00FF49F1" w:rsidRPr="00FF49F1" w14:paraId="1872E2A5"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5DBE81"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lastRenderedPageBreak/>
              <w:t>NGRID</w:t>
            </w:r>
          </w:p>
        </w:tc>
        <w:tc>
          <w:tcPr>
            <w:tcW w:w="0" w:type="auto"/>
            <w:tcBorders>
              <w:top w:val="nil"/>
              <w:left w:val="nil"/>
              <w:bottom w:val="single" w:sz="4" w:space="0" w:color="auto"/>
              <w:right w:val="single" w:sz="4" w:space="0" w:color="auto"/>
            </w:tcBorders>
            <w:shd w:val="clear" w:color="auto" w:fill="auto"/>
            <w:noWrap/>
            <w:vAlign w:val="center"/>
            <w:hideMark/>
          </w:tcPr>
          <w:p w14:paraId="4F623F6B"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Knickerbocker (New Station)</w:t>
            </w:r>
          </w:p>
        </w:tc>
        <w:tc>
          <w:tcPr>
            <w:tcW w:w="0" w:type="auto"/>
            <w:tcBorders>
              <w:top w:val="nil"/>
              <w:left w:val="nil"/>
              <w:bottom w:val="single" w:sz="4" w:space="0" w:color="auto"/>
              <w:right w:val="single" w:sz="4" w:space="0" w:color="auto"/>
            </w:tcBorders>
            <w:shd w:val="clear" w:color="auto" w:fill="auto"/>
            <w:noWrap/>
            <w:vAlign w:val="center"/>
            <w:hideMark/>
          </w:tcPr>
          <w:p w14:paraId="0727BC93"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Alps</w:t>
            </w:r>
          </w:p>
        </w:tc>
        <w:tc>
          <w:tcPr>
            <w:tcW w:w="0" w:type="auto"/>
            <w:tcBorders>
              <w:top w:val="nil"/>
              <w:left w:val="nil"/>
              <w:bottom w:val="single" w:sz="4" w:space="0" w:color="auto"/>
              <w:right w:val="single" w:sz="4" w:space="0" w:color="auto"/>
            </w:tcBorders>
            <w:shd w:val="clear" w:color="auto" w:fill="auto"/>
            <w:noWrap/>
            <w:vAlign w:val="center"/>
            <w:hideMark/>
          </w:tcPr>
          <w:p w14:paraId="1A79F892"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W</w:t>
            </w:r>
          </w:p>
        </w:tc>
        <w:tc>
          <w:tcPr>
            <w:tcW w:w="0" w:type="auto"/>
            <w:tcBorders>
              <w:top w:val="nil"/>
              <w:left w:val="nil"/>
              <w:bottom w:val="single" w:sz="4" w:space="0" w:color="auto"/>
              <w:right w:val="single" w:sz="4" w:space="0" w:color="auto"/>
            </w:tcBorders>
            <w:shd w:val="clear" w:color="auto" w:fill="auto"/>
            <w:noWrap/>
            <w:vAlign w:val="center"/>
            <w:hideMark/>
          </w:tcPr>
          <w:p w14:paraId="5441B01C"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2023</w:t>
            </w:r>
          </w:p>
        </w:tc>
        <w:tc>
          <w:tcPr>
            <w:tcW w:w="0" w:type="auto"/>
            <w:tcBorders>
              <w:top w:val="nil"/>
              <w:left w:val="nil"/>
              <w:bottom w:val="single" w:sz="4" w:space="0" w:color="auto"/>
              <w:right w:val="single" w:sz="4" w:space="0" w:color="auto"/>
            </w:tcBorders>
            <w:shd w:val="clear" w:color="auto" w:fill="auto"/>
            <w:noWrap/>
            <w:vAlign w:val="center"/>
            <w:hideMark/>
          </w:tcPr>
          <w:p w14:paraId="770E0F6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71724F43"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4957C3FC"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4706841F"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2552</w:t>
            </w:r>
          </w:p>
        </w:tc>
        <w:tc>
          <w:tcPr>
            <w:tcW w:w="0" w:type="auto"/>
            <w:tcBorders>
              <w:top w:val="nil"/>
              <w:left w:val="nil"/>
              <w:bottom w:val="single" w:sz="4" w:space="0" w:color="auto"/>
              <w:right w:val="single" w:sz="4" w:space="0" w:color="auto"/>
            </w:tcBorders>
            <w:shd w:val="clear" w:color="auto" w:fill="auto"/>
            <w:noWrap/>
            <w:vAlign w:val="center"/>
            <w:hideMark/>
          </w:tcPr>
          <w:p w14:paraId="6007707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3134</w:t>
            </w:r>
          </w:p>
        </w:tc>
      </w:tr>
      <w:tr w:rsidR="00FF49F1" w:rsidRPr="00FF49F1" w14:paraId="23D5A06F"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6DA41E"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NGRID</w:t>
            </w:r>
          </w:p>
        </w:tc>
        <w:tc>
          <w:tcPr>
            <w:tcW w:w="0" w:type="auto"/>
            <w:tcBorders>
              <w:top w:val="nil"/>
              <w:left w:val="nil"/>
              <w:bottom w:val="single" w:sz="4" w:space="0" w:color="auto"/>
              <w:right w:val="single" w:sz="4" w:space="0" w:color="auto"/>
            </w:tcBorders>
            <w:shd w:val="clear" w:color="auto" w:fill="auto"/>
            <w:noWrap/>
            <w:vAlign w:val="center"/>
            <w:hideMark/>
          </w:tcPr>
          <w:p w14:paraId="2B3DD403"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Athens</w:t>
            </w:r>
          </w:p>
        </w:tc>
        <w:tc>
          <w:tcPr>
            <w:tcW w:w="0" w:type="auto"/>
            <w:tcBorders>
              <w:top w:val="nil"/>
              <w:left w:val="nil"/>
              <w:bottom w:val="single" w:sz="4" w:space="0" w:color="auto"/>
              <w:right w:val="single" w:sz="4" w:space="0" w:color="auto"/>
            </w:tcBorders>
            <w:shd w:val="clear" w:color="auto" w:fill="auto"/>
            <w:noWrap/>
            <w:vAlign w:val="center"/>
            <w:hideMark/>
          </w:tcPr>
          <w:p w14:paraId="7DFB4B02"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Van Wagner (New Station)</w:t>
            </w:r>
          </w:p>
        </w:tc>
        <w:tc>
          <w:tcPr>
            <w:tcW w:w="0" w:type="auto"/>
            <w:tcBorders>
              <w:top w:val="nil"/>
              <w:left w:val="nil"/>
              <w:bottom w:val="single" w:sz="4" w:space="0" w:color="auto"/>
              <w:right w:val="single" w:sz="4" w:space="0" w:color="auto"/>
            </w:tcBorders>
            <w:shd w:val="clear" w:color="auto" w:fill="auto"/>
            <w:noWrap/>
            <w:vAlign w:val="center"/>
            <w:hideMark/>
          </w:tcPr>
          <w:p w14:paraId="2C79765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W</w:t>
            </w:r>
          </w:p>
        </w:tc>
        <w:tc>
          <w:tcPr>
            <w:tcW w:w="0" w:type="auto"/>
            <w:tcBorders>
              <w:top w:val="nil"/>
              <w:left w:val="nil"/>
              <w:bottom w:val="single" w:sz="4" w:space="0" w:color="auto"/>
              <w:right w:val="single" w:sz="4" w:space="0" w:color="auto"/>
            </w:tcBorders>
            <w:shd w:val="clear" w:color="auto" w:fill="auto"/>
            <w:noWrap/>
            <w:vAlign w:val="center"/>
            <w:hideMark/>
          </w:tcPr>
          <w:p w14:paraId="4ABE2074"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2023</w:t>
            </w:r>
          </w:p>
        </w:tc>
        <w:tc>
          <w:tcPr>
            <w:tcW w:w="0" w:type="auto"/>
            <w:tcBorders>
              <w:top w:val="nil"/>
              <w:left w:val="nil"/>
              <w:bottom w:val="single" w:sz="4" w:space="0" w:color="auto"/>
              <w:right w:val="single" w:sz="4" w:space="0" w:color="auto"/>
            </w:tcBorders>
            <w:shd w:val="clear" w:color="auto" w:fill="auto"/>
            <w:noWrap/>
            <w:vAlign w:val="center"/>
            <w:hideMark/>
          </w:tcPr>
          <w:p w14:paraId="7AEFE019"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5F7516BE"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29F65403"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6A01BA8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2228</w:t>
            </w:r>
          </w:p>
        </w:tc>
        <w:tc>
          <w:tcPr>
            <w:tcW w:w="0" w:type="auto"/>
            <w:tcBorders>
              <w:top w:val="nil"/>
              <w:left w:val="nil"/>
              <w:bottom w:val="single" w:sz="4" w:space="0" w:color="auto"/>
              <w:right w:val="single" w:sz="4" w:space="0" w:color="auto"/>
            </w:tcBorders>
            <w:shd w:val="clear" w:color="auto" w:fill="auto"/>
            <w:noWrap/>
            <w:vAlign w:val="center"/>
            <w:hideMark/>
          </w:tcPr>
          <w:p w14:paraId="5F5D92C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2718</w:t>
            </w:r>
          </w:p>
        </w:tc>
      </w:tr>
      <w:tr w:rsidR="00FF49F1" w:rsidRPr="00FF49F1" w14:paraId="79CFD657"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78939F"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NGRID</w:t>
            </w:r>
          </w:p>
        </w:tc>
        <w:tc>
          <w:tcPr>
            <w:tcW w:w="0" w:type="auto"/>
            <w:tcBorders>
              <w:top w:val="nil"/>
              <w:left w:val="nil"/>
              <w:bottom w:val="single" w:sz="4" w:space="0" w:color="auto"/>
              <w:right w:val="single" w:sz="4" w:space="0" w:color="auto"/>
            </w:tcBorders>
            <w:shd w:val="clear" w:color="auto" w:fill="auto"/>
            <w:noWrap/>
            <w:vAlign w:val="center"/>
            <w:hideMark/>
          </w:tcPr>
          <w:p w14:paraId="0DC417A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Leeds</w:t>
            </w:r>
          </w:p>
        </w:tc>
        <w:tc>
          <w:tcPr>
            <w:tcW w:w="0" w:type="auto"/>
            <w:tcBorders>
              <w:top w:val="nil"/>
              <w:left w:val="nil"/>
              <w:bottom w:val="single" w:sz="4" w:space="0" w:color="auto"/>
              <w:right w:val="single" w:sz="4" w:space="0" w:color="auto"/>
            </w:tcBorders>
            <w:shd w:val="clear" w:color="auto" w:fill="auto"/>
            <w:noWrap/>
            <w:vAlign w:val="center"/>
            <w:hideMark/>
          </w:tcPr>
          <w:p w14:paraId="36CD0451"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Van Wagner (New Station)</w:t>
            </w:r>
          </w:p>
        </w:tc>
        <w:tc>
          <w:tcPr>
            <w:tcW w:w="0" w:type="auto"/>
            <w:tcBorders>
              <w:top w:val="nil"/>
              <w:left w:val="nil"/>
              <w:bottom w:val="single" w:sz="4" w:space="0" w:color="auto"/>
              <w:right w:val="single" w:sz="4" w:space="0" w:color="auto"/>
            </w:tcBorders>
            <w:shd w:val="clear" w:color="auto" w:fill="auto"/>
            <w:noWrap/>
            <w:vAlign w:val="center"/>
            <w:hideMark/>
          </w:tcPr>
          <w:p w14:paraId="722B614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W</w:t>
            </w:r>
          </w:p>
        </w:tc>
        <w:tc>
          <w:tcPr>
            <w:tcW w:w="0" w:type="auto"/>
            <w:tcBorders>
              <w:top w:val="nil"/>
              <w:left w:val="nil"/>
              <w:bottom w:val="single" w:sz="4" w:space="0" w:color="auto"/>
              <w:right w:val="single" w:sz="4" w:space="0" w:color="auto"/>
            </w:tcBorders>
            <w:shd w:val="clear" w:color="auto" w:fill="auto"/>
            <w:noWrap/>
            <w:vAlign w:val="center"/>
            <w:hideMark/>
          </w:tcPr>
          <w:p w14:paraId="0540CAE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2023</w:t>
            </w:r>
          </w:p>
        </w:tc>
        <w:tc>
          <w:tcPr>
            <w:tcW w:w="0" w:type="auto"/>
            <w:tcBorders>
              <w:top w:val="nil"/>
              <w:left w:val="nil"/>
              <w:bottom w:val="single" w:sz="4" w:space="0" w:color="auto"/>
              <w:right w:val="single" w:sz="4" w:space="0" w:color="auto"/>
            </w:tcBorders>
            <w:shd w:val="clear" w:color="auto" w:fill="auto"/>
            <w:noWrap/>
            <w:vAlign w:val="center"/>
            <w:hideMark/>
          </w:tcPr>
          <w:p w14:paraId="21B594A1"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4E13B69C"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65515B82"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7D30661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2228</w:t>
            </w:r>
          </w:p>
        </w:tc>
        <w:tc>
          <w:tcPr>
            <w:tcW w:w="0" w:type="auto"/>
            <w:tcBorders>
              <w:top w:val="nil"/>
              <w:left w:val="nil"/>
              <w:bottom w:val="single" w:sz="4" w:space="0" w:color="auto"/>
              <w:right w:val="single" w:sz="4" w:space="0" w:color="auto"/>
            </w:tcBorders>
            <w:shd w:val="clear" w:color="auto" w:fill="auto"/>
            <w:noWrap/>
            <w:vAlign w:val="center"/>
            <w:hideMark/>
          </w:tcPr>
          <w:p w14:paraId="44C94E5B"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2718</w:t>
            </w:r>
          </w:p>
        </w:tc>
      </w:tr>
      <w:tr w:rsidR="00FF49F1" w:rsidRPr="00FF49F1" w14:paraId="76402B61"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5ECD47"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NGRID</w:t>
            </w:r>
          </w:p>
        </w:tc>
        <w:tc>
          <w:tcPr>
            <w:tcW w:w="0" w:type="auto"/>
            <w:tcBorders>
              <w:top w:val="nil"/>
              <w:left w:val="nil"/>
              <w:bottom w:val="single" w:sz="4" w:space="0" w:color="auto"/>
              <w:right w:val="single" w:sz="4" w:space="0" w:color="auto"/>
            </w:tcBorders>
            <w:shd w:val="clear" w:color="auto" w:fill="auto"/>
            <w:noWrap/>
            <w:vAlign w:val="center"/>
            <w:hideMark/>
          </w:tcPr>
          <w:p w14:paraId="10F5F86F"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Gordon Rd (New Station)</w:t>
            </w:r>
          </w:p>
        </w:tc>
        <w:tc>
          <w:tcPr>
            <w:tcW w:w="0" w:type="auto"/>
            <w:tcBorders>
              <w:top w:val="nil"/>
              <w:left w:val="nil"/>
              <w:bottom w:val="single" w:sz="4" w:space="0" w:color="auto"/>
              <w:right w:val="single" w:sz="4" w:space="0" w:color="auto"/>
            </w:tcBorders>
            <w:shd w:val="clear" w:color="auto" w:fill="auto"/>
            <w:noWrap/>
            <w:vAlign w:val="center"/>
            <w:hideMark/>
          </w:tcPr>
          <w:p w14:paraId="4748736B"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Eastover Rd</w:t>
            </w:r>
          </w:p>
        </w:tc>
        <w:tc>
          <w:tcPr>
            <w:tcW w:w="0" w:type="auto"/>
            <w:tcBorders>
              <w:top w:val="nil"/>
              <w:left w:val="nil"/>
              <w:bottom w:val="single" w:sz="4" w:space="0" w:color="auto"/>
              <w:right w:val="single" w:sz="4" w:space="0" w:color="auto"/>
            </w:tcBorders>
            <w:shd w:val="clear" w:color="auto" w:fill="auto"/>
            <w:noWrap/>
            <w:vAlign w:val="center"/>
            <w:hideMark/>
          </w:tcPr>
          <w:p w14:paraId="4180B972"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025721A2"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2029</w:t>
            </w:r>
          </w:p>
        </w:tc>
        <w:tc>
          <w:tcPr>
            <w:tcW w:w="0" w:type="auto"/>
            <w:tcBorders>
              <w:top w:val="nil"/>
              <w:left w:val="nil"/>
              <w:bottom w:val="single" w:sz="4" w:space="0" w:color="auto"/>
              <w:right w:val="single" w:sz="4" w:space="0" w:color="auto"/>
            </w:tcBorders>
            <w:shd w:val="clear" w:color="auto" w:fill="auto"/>
            <w:noWrap/>
            <w:vAlign w:val="center"/>
            <w:hideMark/>
          </w:tcPr>
          <w:p w14:paraId="63B207CF"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230</w:t>
            </w:r>
          </w:p>
        </w:tc>
        <w:tc>
          <w:tcPr>
            <w:tcW w:w="0" w:type="auto"/>
            <w:tcBorders>
              <w:top w:val="nil"/>
              <w:left w:val="nil"/>
              <w:bottom w:val="single" w:sz="4" w:space="0" w:color="auto"/>
              <w:right w:val="single" w:sz="4" w:space="0" w:color="auto"/>
            </w:tcBorders>
            <w:shd w:val="clear" w:color="auto" w:fill="auto"/>
            <w:noWrap/>
            <w:vAlign w:val="center"/>
            <w:hideMark/>
          </w:tcPr>
          <w:p w14:paraId="3FE286B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230</w:t>
            </w:r>
          </w:p>
        </w:tc>
        <w:tc>
          <w:tcPr>
            <w:tcW w:w="0" w:type="auto"/>
            <w:tcBorders>
              <w:top w:val="nil"/>
              <w:left w:val="nil"/>
              <w:bottom w:val="single" w:sz="4" w:space="0" w:color="auto"/>
              <w:right w:val="single" w:sz="4" w:space="0" w:color="auto"/>
            </w:tcBorders>
            <w:shd w:val="clear" w:color="auto" w:fill="auto"/>
            <w:noWrap/>
            <w:vAlign w:val="center"/>
            <w:hideMark/>
          </w:tcPr>
          <w:p w14:paraId="7057D8C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75241525"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1114</w:t>
            </w:r>
          </w:p>
        </w:tc>
        <w:tc>
          <w:tcPr>
            <w:tcW w:w="0" w:type="auto"/>
            <w:tcBorders>
              <w:top w:val="nil"/>
              <w:left w:val="nil"/>
              <w:bottom w:val="single" w:sz="4" w:space="0" w:color="auto"/>
              <w:right w:val="single" w:sz="4" w:space="0" w:color="auto"/>
            </w:tcBorders>
            <w:shd w:val="clear" w:color="auto" w:fill="auto"/>
            <w:noWrap/>
            <w:vAlign w:val="center"/>
            <w:hideMark/>
          </w:tcPr>
          <w:p w14:paraId="044C17F8"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1284</w:t>
            </w:r>
          </w:p>
        </w:tc>
      </w:tr>
      <w:tr w:rsidR="00FF49F1" w:rsidRPr="00FF49F1" w14:paraId="369AD175"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CD217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NYSEG</w:t>
            </w:r>
          </w:p>
        </w:tc>
        <w:tc>
          <w:tcPr>
            <w:tcW w:w="0" w:type="auto"/>
            <w:tcBorders>
              <w:top w:val="nil"/>
              <w:left w:val="nil"/>
              <w:bottom w:val="single" w:sz="4" w:space="0" w:color="auto"/>
              <w:right w:val="single" w:sz="4" w:space="0" w:color="auto"/>
            </w:tcBorders>
            <w:shd w:val="clear" w:color="auto" w:fill="auto"/>
            <w:noWrap/>
            <w:vAlign w:val="center"/>
            <w:hideMark/>
          </w:tcPr>
          <w:p w14:paraId="5689F4E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Wood Street</w:t>
            </w:r>
          </w:p>
        </w:tc>
        <w:tc>
          <w:tcPr>
            <w:tcW w:w="0" w:type="auto"/>
            <w:tcBorders>
              <w:top w:val="nil"/>
              <w:left w:val="nil"/>
              <w:bottom w:val="single" w:sz="4" w:space="0" w:color="auto"/>
              <w:right w:val="single" w:sz="4" w:space="0" w:color="auto"/>
            </w:tcBorders>
            <w:shd w:val="clear" w:color="auto" w:fill="auto"/>
            <w:noWrap/>
            <w:vAlign w:val="center"/>
            <w:hideMark/>
          </w:tcPr>
          <w:p w14:paraId="05850283"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Wood Street</w:t>
            </w:r>
          </w:p>
        </w:tc>
        <w:tc>
          <w:tcPr>
            <w:tcW w:w="0" w:type="auto"/>
            <w:tcBorders>
              <w:top w:val="nil"/>
              <w:left w:val="nil"/>
              <w:bottom w:val="single" w:sz="4" w:space="0" w:color="auto"/>
              <w:right w:val="single" w:sz="4" w:space="0" w:color="auto"/>
            </w:tcBorders>
            <w:shd w:val="clear" w:color="auto" w:fill="auto"/>
            <w:noWrap/>
            <w:vAlign w:val="center"/>
            <w:hideMark/>
          </w:tcPr>
          <w:p w14:paraId="5ABDFEBB"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W</w:t>
            </w:r>
          </w:p>
        </w:tc>
        <w:tc>
          <w:tcPr>
            <w:tcW w:w="0" w:type="auto"/>
            <w:tcBorders>
              <w:top w:val="nil"/>
              <w:left w:val="nil"/>
              <w:bottom w:val="single" w:sz="4" w:space="0" w:color="auto"/>
              <w:right w:val="single" w:sz="4" w:space="0" w:color="auto"/>
            </w:tcBorders>
            <w:shd w:val="clear" w:color="auto" w:fill="auto"/>
            <w:noWrap/>
            <w:vAlign w:val="center"/>
            <w:hideMark/>
          </w:tcPr>
          <w:p w14:paraId="45E22D0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2022</w:t>
            </w:r>
          </w:p>
        </w:tc>
        <w:tc>
          <w:tcPr>
            <w:tcW w:w="0" w:type="auto"/>
            <w:tcBorders>
              <w:top w:val="nil"/>
              <w:left w:val="nil"/>
              <w:bottom w:val="single" w:sz="4" w:space="0" w:color="auto"/>
              <w:right w:val="single" w:sz="4" w:space="0" w:color="auto"/>
            </w:tcBorders>
            <w:shd w:val="clear" w:color="auto" w:fill="auto"/>
            <w:noWrap/>
            <w:vAlign w:val="center"/>
            <w:hideMark/>
          </w:tcPr>
          <w:p w14:paraId="10E6C20F"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345/115</w:t>
            </w:r>
          </w:p>
        </w:tc>
        <w:tc>
          <w:tcPr>
            <w:tcW w:w="0" w:type="auto"/>
            <w:tcBorders>
              <w:top w:val="nil"/>
              <w:left w:val="nil"/>
              <w:bottom w:val="single" w:sz="4" w:space="0" w:color="auto"/>
              <w:right w:val="single" w:sz="4" w:space="0" w:color="auto"/>
            </w:tcBorders>
            <w:shd w:val="clear" w:color="auto" w:fill="auto"/>
            <w:noWrap/>
            <w:vAlign w:val="center"/>
            <w:hideMark/>
          </w:tcPr>
          <w:p w14:paraId="7FAF82B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345/115</w:t>
            </w:r>
          </w:p>
        </w:tc>
        <w:tc>
          <w:tcPr>
            <w:tcW w:w="0" w:type="auto"/>
            <w:tcBorders>
              <w:top w:val="nil"/>
              <w:left w:val="nil"/>
              <w:bottom w:val="single" w:sz="4" w:space="0" w:color="auto"/>
              <w:right w:val="single" w:sz="4" w:space="0" w:color="auto"/>
            </w:tcBorders>
            <w:shd w:val="clear" w:color="auto" w:fill="auto"/>
            <w:noWrap/>
            <w:vAlign w:val="center"/>
            <w:hideMark/>
          </w:tcPr>
          <w:p w14:paraId="0B370C24"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59D96A3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327 MVA</w:t>
            </w:r>
          </w:p>
        </w:tc>
        <w:tc>
          <w:tcPr>
            <w:tcW w:w="0" w:type="auto"/>
            <w:tcBorders>
              <w:top w:val="nil"/>
              <w:left w:val="nil"/>
              <w:bottom w:val="single" w:sz="4" w:space="0" w:color="auto"/>
              <w:right w:val="single" w:sz="4" w:space="0" w:color="auto"/>
            </w:tcBorders>
            <w:shd w:val="clear" w:color="auto" w:fill="auto"/>
            <w:noWrap/>
            <w:vAlign w:val="center"/>
            <w:hideMark/>
          </w:tcPr>
          <w:p w14:paraId="04CC8F1C"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378 MVA</w:t>
            </w:r>
          </w:p>
        </w:tc>
      </w:tr>
      <w:tr w:rsidR="00FF49F1" w:rsidRPr="00FF49F1" w14:paraId="47F29BE5"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623664"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NYSEG</w:t>
            </w:r>
          </w:p>
        </w:tc>
        <w:tc>
          <w:tcPr>
            <w:tcW w:w="0" w:type="auto"/>
            <w:tcBorders>
              <w:top w:val="nil"/>
              <w:left w:val="nil"/>
              <w:bottom w:val="single" w:sz="4" w:space="0" w:color="auto"/>
              <w:right w:val="single" w:sz="4" w:space="0" w:color="auto"/>
            </w:tcBorders>
            <w:shd w:val="clear" w:color="auto" w:fill="auto"/>
            <w:noWrap/>
            <w:vAlign w:val="center"/>
            <w:hideMark/>
          </w:tcPr>
          <w:p w14:paraId="0ECD7FB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Fraser</w:t>
            </w:r>
          </w:p>
        </w:tc>
        <w:tc>
          <w:tcPr>
            <w:tcW w:w="0" w:type="auto"/>
            <w:tcBorders>
              <w:top w:val="nil"/>
              <w:left w:val="nil"/>
              <w:bottom w:val="single" w:sz="4" w:space="0" w:color="auto"/>
              <w:right w:val="single" w:sz="4" w:space="0" w:color="auto"/>
            </w:tcBorders>
            <w:shd w:val="clear" w:color="auto" w:fill="auto"/>
            <w:noWrap/>
            <w:vAlign w:val="center"/>
            <w:hideMark/>
          </w:tcPr>
          <w:p w14:paraId="7CA91373"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Fraser</w:t>
            </w:r>
          </w:p>
        </w:tc>
        <w:tc>
          <w:tcPr>
            <w:tcW w:w="0" w:type="auto"/>
            <w:tcBorders>
              <w:top w:val="nil"/>
              <w:left w:val="nil"/>
              <w:bottom w:val="single" w:sz="4" w:space="0" w:color="auto"/>
              <w:right w:val="single" w:sz="4" w:space="0" w:color="auto"/>
            </w:tcBorders>
            <w:shd w:val="clear" w:color="auto" w:fill="auto"/>
            <w:noWrap/>
            <w:vAlign w:val="center"/>
            <w:hideMark/>
          </w:tcPr>
          <w:p w14:paraId="7D5C14A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5091C18E"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2024</w:t>
            </w:r>
          </w:p>
        </w:tc>
        <w:tc>
          <w:tcPr>
            <w:tcW w:w="0" w:type="auto"/>
            <w:tcBorders>
              <w:top w:val="nil"/>
              <w:left w:val="nil"/>
              <w:bottom w:val="single" w:sz="4" w:space="0" w:color="auto"/>
              <w:right w:val="single" w:sz="4" w:space="0" w:color="auto"/>
            </w:tcBorders>
            <w:shd w:val="clear" w:color="auto" w:fill="auto"/>
            <w:noWrap/>
            <w:vAlign w:val="center"/>
            <w:hideMark/>
          </w:tcPr>
          <w:p w14:paraId="02BB51E9"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345/115</w:t>
            </w:r>
          </w:p>
        </w:tc>
        <w:tc>
          <w:tcPr>
            <w:tcW w:w="0" w:type="auto"/>
            <w:tcBorders>
              <w:top w:val="nil"/>
              <w:left w:val="nil"/>
              <w:bottom w:val="single" w:sz="4" w:space="0" w:color="auto"/>
              <w:right w:val="single" w:sz="4" w:space="0" w:color="auto"/>
            </w:tcBorders>
            <w:shd w:val="clear" w:color="auto" w:fill="auto"/>
            <w:noWrap/>
            <w:vAlign w:val="center"/>
            <w:hideMark/>
          </w:tcPr>
          <w:p w14:paraId="67420BA5"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345/115</w:t>
            </w:r>
          </w:p>
        </w:tc>
        <w:tc>
          <w:tcPr>
            <w:tcW w:w="0" w:type="auto"/>
            <w:tcBorders>
              <w:top w:val="nil"/>
              <w:left w:val="nil"/>
              <w:bottom w:val="single" w:sz="4" w:space="0" w:color="auto"/>
              <w:right w:val="single" w:sz="4" w:space="0" w:color="auto"/>
            </w:tcBorders>
            <w:shd w:val="clear" w:color="auto" w:fill="auto"/>
            <w:noWrap/>
            <w:vAlign w:val="center"/>
            <w:hideMark/>
          </w:tcPr>
          <w:p w14:paraId="6BC59507"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15F32774"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305 MVA</w:t>
            </w:r>
          </w:p>
        </w:tc>
        <w:tc>
          <w:tcPr>
            <w:tcW w:w="0" w:type="auto"/>
            <w:tcBorders>
              <w:top w:val="nil"/>
              <w:left w:val="nil"/>
              <w:bottom w:val="single" w:sz="4" w:space="0" w:color="auto"/>
              <w:right w:val="single" w:sz="4" w:space="0" w:color="auto"/>
            </w:tcBorders>
            <w:shd w:val="clear" w:color="auto" w:fill="auto"/>
            <w:noWrap/>
            <w:vAlign w:val="center"/>
            <w:hideMark/>
          </w:tcPr>
          <w:p w14:paraId="2C3D5500"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364 MVA</w:t>
            </w:r>
          </w:p>
        </w:tc>
      </w:tr>
      <w:tr w:rsidR="00FF49F1" w:rsidRPr="00FF49F1" w14:paraId="744F17A4"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537130"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NYSEG</w:t>
            </w:r>
          </w:p>
        </w:tc>
        <w:tc>
          <w:tcPr>
            <w:tcW w:w="0" w:type="auto"/>
            <w:tcBorders>
              <w:top w:val="nil"/>
              <w:left w:val="nil"/>
              <w:bottom w:val="single" w:sz="4" w:space="0" w:color="auto"/>
              <w:right w:val="single" w:sz="4" w:space="0" w:color="auto"/>
            </w:tcBorders>
            <w:shd w:val="clear" w:color="auto" w:fill="auto"/>
            <w:noWrap/>
            <w:vAlign w:val="center"/>
            <w:hideMark/>
          </w:tcPr>
          <w:p w14:paraId="392A25D7"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Gardenville</w:t>
            </w:r>
          </w:p>
        </w:tc>
        <w:tc>
          <w:tcPr>
            <w:tcW w:w="0" w:type="auto"/>
            <w:tcBorders>
              <w:top w:val="nil"/>
              <w:left w:val="nil"/>
              <w:bottom w:val="single" w:sz="4" w:space="0" w:color="auto"/>
              <w:right w:val="single" w:sz="4" w:space="0" w:color="auto"/>
            </w:tcBorders>
            <w:shd w:val="clear" w:color="auto" w:fill="auto"/>
            <w:noWrap/>
            <w:vAlign w:val="center"/>
            <w:hideMark/>
          </w:tcPr>
          <w:p w14:paraId="20FA760F"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Gardenville</w:t>
            </w:r>
          </w:p>
        </w:tc>
        <w:tc>
          <w:tcPr>
            <w:tcW w:w="0" w:type="auto"/>
            <w:tcBorders>
              <w:top w:val="nil"/>
              <w:left w:val="nil"/>
              <w:bottom w:val="single" w:sz="4" w:space="0" w:color="auto"/>
              <w:right w:val="single" w:sz="4" w:space="0" w:color="auto"/>
            </w:tcBorders>
            <w:shd w:val="clear" w:color="auto" w:fill="auto"/>
            <w:noWrap/>
            <w:vAlign w:val="center"/>
            <w:hideMark/>
          </w:tcPr>
          <w:p w14:paraId="438FE5D4"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0270E1B1"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2026</w:t>
            </w:r>
          </w:p>
        </w:tc>
        <w:tc>
          <w:tcPr>
            <w:tcW w:w="0" w:type="auto"/>
            <w:tcBorders>
              <w:top w:val="nil"/>
              <w:left w:val="nil"/>
              <w:bottom w:val="single" w:sz="4" w:space="0" w:color="auto"/>
              <w:right w:val="single" w:sz="4" w:space="0" w:color="auto"/>
            </w:tcBorders>
            <w:shd w:val="clear" w:color="auto" w:fill="auto"/>
            <w:noWrap/>
            <w:vAlign w:val="center"/>
            <w:hideMark/>
          </w:tcPr>
          <w:p w14:paraId="3F8EF774"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230/115</w:t>
            </w:r>
          </w:p>
        </w:tc>
        <w:tc>
          <w:tcPr>
            <w:tcW w:w="0" w:type="auto"/>
            <w:tcBorders>
              <w:top w:val="nil"/>
              <w:left w:val="nil"/>
              <w:bottom w:val="single" w:sz="4" w:space="0" w:color="auto"/>
              <w:right w:val="single" w:sz="4" w:space="0" w:color="auto"/>
            </w:tcBorders>
            <w:shd w:val="clear" w:color="auto" w:fill="auto"/>
            <w:noWrap/>
            <w:vAlign w:val="center"/>
            <w:hideMark/>
          </w:tcPr>
          <w:p w14:paraId="6AB7E0C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230/115</w:t>
            </w:r>
          </w:p>
        </w:tc>
        <w:tc>
          <w:tcPr>
            <w:tcW w:w="0" w:type="auto"/>
            <w:tcBorders>
              <w:top w:val="nil"/>
              <w:left w:val="nil"/>
              <w:bottom w:val="single" w:sz="4" w:space="0" w:color="auto"/>
              <w:right w:val="single" w:sz="4" w:space="0" w:color="auto"/>
            </w:tcBorders>
            <w:shd w:val="clear" w:color="auto" w:fill="auto"/>
            <w:noWrap/>
            <w:vAlign w:val="center"/>
            <w:hideMark/>
          </w:tcPr>
          <w:p w14:paraId="2B380A24"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1FE9CF9C"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316 MVA</w:t>
            </w:r>
          </w:p>
        </w:tc>
        <w:tc>
          <w:tcPr>
            <w:tcW w:w="0" w:type="auto"/>
            <w:tcBorders>
              <w:top w:val="nil"/>
              <w:left w:val="nil"/>
              <w:bottom w:val="single" w:sz="4" w:space="0" w:color="auto"/>
              <w:right w:val="single" w:sz="4" w:space="0" w:color="auto"/>
            </w:tcBorders>
            <w:shd w:val="clear" w:color="auto" w:fill="auto"/>
            <w:noWrap/>
            <w:vAlign w:val="center"/>
            <w:hideMark/>
          </w:tcPr>
          <w:p w14:paraId="67CE66E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370 MVA</w:t>
            </w:r>
          </w:p>
        </w:tc>
      </w:tr>
      <w:tr w:rsidR="00FF49F1" w:rsidRPr="00FF49F1" w14:paraId="74456F95"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4AD95B"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NYSEG</w:t>
            </w:r>
          </w:p>
        </w:tc>
        <w:tc>
          <w:tcPr>
            <w:tcW w:w="0" w:type="auto"/>
            <w:tcBorders>
              <w:top w:val="nil"/>
              <w:left w:val="nil"/>
              <w:bottom w:val="single" w:sz="4" w:space="0" w:color="auto"/>
              <w:right w:val="single" w:sz="4" w:space="0" w:color="auto"/>
            </w:tcBorders>
            <w:shd w:val="clear" w:color="auto" w:fill="auto"/>
            <w:noWrap/>
            <w:vAlign w:val="center"/>
            <w:hideMark/>
          </w:tcPr>
          <w:p w14:paraId="67812563"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South Perry</w:t>
            </w:r>
          </w:p>
        </w:tc>
        <w:tc>
          <w:tcPr>
            <w:tcW w:w="0" w:type="auto"/>
            <w:tcBorders>
              <w:top w:val="nil"/>
              <w:left w:val="nil"/>
              <w:bottom w:val="single" w:sz="4" w:space="0" w:color="auto"/>
              <w:right w:val="single" w:sz="4" w:space="0" w:color="auto"/>
            </w:tcBorders>
            <w:shd w:val="clear" w:color="auto" w:fill="auto"/>
            <w:noWrap/>
            <w:vAlign w:val="center"/>
            <w:hideMark/>
          </w:tcPr>
          <w:p w14:paraId="6084430B"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South Perry</w:t>
            </w:r>
          </w:p>
        </w:tc>
        <w:tc>
          <w:tcPr>
            <w:tcW w:w="0" w:type="auto"/>
            <w:tcBorders>
              <w:top w:val="nil"/>
              <w:left w:val="nil"/>
              <w:bottom w:val="single" w:sz="4" w:space="0" w:color="auto"/>
              <w:right w:val="single" w:sz="4" w:space="0" w:color="auto"/>
            </w:tcBorders>
            <w:shd w:val="clear" w:color="auto" w:fill="auto"/>
            <w:noWrap/>
            <w:vAlign w:val="center"/>
            <w:hideMark/>
          </w:tcPr>
          <w:p w14:paraId="4D0CF568"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052F6CA7"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2027</w:t>
            </w:r>
          </w:p>
        </w:tc>
        <w:tc>
          <w:tcPr>
            <w:tcW w:w="0" w:type="auto"/>
            <w:tcBorders>
              <w:top w:val="nil"/>
              <w:left w:val="nil"/>
              <w:bottom w:val="single" w:sz="4" w:space="0" w:color="auto"/>
              <w:right w:val="single" w:sz="4" w:space="0" w:color="auto"/>
            </w:tcBorders>
            <w:shd w:val="clear" w:color="auto" w:fill="auto"/>
            <w:noWrap/>
            <w:vAlign w:val="center"/>
            <w:hideMark/>
          </w:tcPr>
          <w:p w14:paraId="0767FC4B"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230/115</w:t>
            </w:r>
          </w:p>
        </w:tc>
        <w:tc>
          <w:tcPr>
            <w:tcW w:w="0" w:type="auto"/>
            <w:tcBorders>
              <w:top w:val="nil"/>
              <w:left w:val="nil"/>
              <w:bottom w:val="single" w:sz="4" w:space="0" w:color="auto"/>
              <w:right w:val="single" w:sz="4" w:space="0" w:color="auto"/>
            </w:tcBorders>
            <w:shd w:val="clear" w:color="auto" w:fill="auto"/>
            <w:noWrap/>
            <w:vAlign w:val="center"/>
            <w:hideMark/>
          </w:tcPr>
          <w:p w14:paraId="3B467082"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230/115</w:t>
            </w:r>
          </w:p>
        </w:tc>
        <w:tc>
          <w:tcPr>
            <w:tcW w:w="0" w:type="auto"/>
            <w:tcBorders>
              <w:top w:val="nil"/>
              <w:left w:val="nil"/>
              <w:bottom w:val="single" w:sz="4" w:space="0" w:color="auto"/>
              <w:right w:val="single" w:sz="4" w:space="0" w:color="auto"/>
            </w:tcBorders>
            <w:shd w:val="clear" w:color="auto" w:fill="auto"/>
            <w:noWrap/>
            <w:vAlign w:val="center"/>
            <w:hideMark/>
          </w:tcPr>
          <w:p w14:paraId="18570BF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5E72A2F3"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246 MVA</w:t>
            </w:r>
          </w:p>
        </w:tc>
        <w:tc>
          <w:tcPr>
            <w:tcW w:w="0" w:type="auto"/>
            <w:tcBorders>
              <w:top w:val="nil"/>
              <w:left w:val="nil"/>
              <w:bottom w:val="single" w:sz="4" w:space="0" w:color="auto"/>
              <w:right w:val="single" w:sz="4" w:space="0" w:color="auto"/>
            </w:tcBorders>
            <w:shd w:val="clear" w:color="auto" w:fill="auto"/>
            <w:noWrap/>
            <w:vAlign w:val="center"/>
            <w:hideMark/>
          </w:tcPr>
          <w:p w14:paraId="6EE22229"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291 MVA</w:t>
            </w:r>
          </w:p>
        </w:tc>
      </w:tr>
      <w:tr w:rsidR="00FF49F1" w:rsidRPr="00FF49F1" w14:paraId="74F7D30F"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D6AE87"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NYSEG</w:t>
            </w:r>
          </w:p>
        </w:tc>
        <w:tc>
          <w:tcPr>
            <w:tcW w:w="0" w:type="auto"/>
            <w:tcBorders>
              <w:top w:val="nil"/>
              <w:left w:val="nil"/>
              <w:bottom w:val="single" w:sz="4" w:space="0" w:color="auto"/>
              <w:right w:val="single" w:sz="4" w:space="0" w:color="auto"/>
            </w:tcBorders>
            <w:shd w:val="clear" w:color="auto" w:fill="auto"/>
            <w:noWrap/>
            <w:vAlign w:val="center"/>
            <w:hideMark/>
          </w:tcPr>
          <w:p w14:paraId="14F22D37"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Oakdale 345</w:t>
            </w:r>
          </w:p>
        </w:tc>
        <w:tc>
          <w:tcPr>
            <w:tcW w:w="0" w:type="auto"/>
            <w:tcBorders>
              <w:top w:val="nil"/>
              <w:left w:val="nil"/>
              <w:bottom w:val="single" w:sz="4" w:space="0" w:color="auto"/>
              <w:right w:val="single" w:sz="4" w:space="0" w:color="auto"/>
            </w:tcBorders>
            <w:shd w:val="clear" w:color="auto" w:fill="auto"/>
            <w:noWrap/>
            <w:vAlign w:val="center"/>
            <w:hideMark/>
          </w:tcPr>
          <w:p w14:paraId="29BD44F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Oakdale 115</w:t>
            </w:r>
          </w:p>
        </w:tc>
        <w:tc>
          <w:tcPr>
            <w:tcW w:w="0" w:type="auto"/>
            <w:tcBorders>
              <w:top w:val="nil"/>
              <w:left w:val="nil"/>
              <w:bottom w:val="single" w:sz="4" w:space="0" w:color="auto"/>
              <w:right w:val="single" w:sz="4" w:space="0" w:color="auto"/>
            </w:tcBorders>
            <w:shd w:val="clear" w:color="auto" w:fill="auto"/>
            <w:noWrap/>
            <w:vAlign w:val="center"/>
            <w:hideMark/>
          </w:tcPr>
          <w:p w14:paraId="5D0C659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3FA331B8"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2027</w:t>
            </w:r>
          </w:p>
        </w:tc>
        <w:tc>
          <w:tcPr>
            <w:tcW w:w="0" w:type="auto"/>
            <w:tcBorders>
              <w:top w:val="nil"/>
              <w:left w:val="nil"/>
              <w:bottom w:val="single" w:sz="4" w:space="0" w:color="auto"/>
              <w:right w:val="single" w:sz="4" w:space="0" w:color="auto"/>
            </w:tcBorders>
            <w:shd w:val="clear" w:color="auto" w:fill="auto"/>
            <w:noWrap/>
            <w:vAlign w:val="center"/>
            <w:hideMark/>
          </w:tcPr>
          <w:p w14:paraId="72B73915"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345/115</w:t>
            </w:r>
          </w:p>
        </w:tc>
        <w:tc>
          <w:tcPr>
            <w:tcW w:w="0" w:type="auto"/>
            <w:tcBorders>
              <w:top w:val="nil"/>
              <w:left w:val="nil"/>
              <w:bottom w:val="single" w:sz="4" w:space="0" w:color="auto"/>
              <w:right w:val="single" w:sz="4" w:space="0" w:color="auto"/>
            </w:tcBorders>
            <w:shd w:val="clear" w:color="auto" w:fill="auto"/>
            <w:noWrap/>
            <w:vAlign w:val="center"/>
            <w:hideMark/>
          </w:tcPr>
          <w:p w14:paraId="7A15C147"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345/115/34.5</w:t>
            </w:r>
          </w:p>
        </w:tc>
        <w:tc>
          <w:tcPr>
            <w:tcW w:w="0" w:type="auto"/>
            <w:tcBorders>
              <w:top w:val="nil"/>
              <w:left w:val="nil"/>
              <w:bottom w:val="single" w:sz="4" w:space="0" w:color="auto"/>
              <w:right w:val="single" w:sz="4" w:space="0" w:color="auto"/>
            </w:tcBorders>
            <w:shd w:val="clear" w:color="auto" w:fill="auto"/>
            <w:noWrap/>
            <w:vAlign w:val="center"/>
            <w:hideMark/>
          </w:tcPr>
          <w:p w14:paraId="2FA4BB4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5DB2523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494MVA</w:t>
            </w:r>
          </w:p>
        </w:tc>
        <w:tc>
          <w:tcPr>
            <w:tcW w:w="0" w:type="auto"/>
            <w:tcBorders>
              <w:top w:val="nil"/>
              <w:left w:val="nil"/>
              <w:bottom w:val="single" w:sz="4" w:space="0" w:color="auto"/>
              <w:right w:val="single" w:sz="4" w:space="0" w:color="auto"/>
            </w:tcBorders>
            <w:shd w:val="clear" w:color="auto" w:fill="auto"/>
            <w:noWrap/>
            <w:vAlign w:val="center"/>
            <w:hideMark/>
          </w:tcPr>
          <w:p w14:paraId="1D08C845"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527 MVA</w:t>
            </w:r>
          </w:p>
        </w:tc>
      </w:tr>
      <w:tr w:rsidR="00FF49F1" w:rsidRPr="00FF49F1" w14:paraId="6165CF59"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68D80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NYSEG</w:t>
            </w:r>
          </w:p>
        </w:tc>
        <w:tc>
          <w:tcPr>
            <w:tcW w:w="0" w:type="auto"/>
            <w:tcBorders>
              <w:top w:val="nil"/>
              <w:left w:val="nil"/>
              <w:bottom w:val="single" w:sz="4" w:space="0" w:color="auto"/>
              <w:right w:val="single" w:sz="4" w:space="0" w:color="auto"/>
            </w:tcBorders>
            <w:shd w:val="clear" w:color="auto" w:fill="auto"/>
            <w:noWrap/>
            <w:vAlign w:val="center"/>
            <w:hideMark/>
          </w:tcPr>
          <w:p w14:paraId="6B34DF8E"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Coopers Corners</w:t>
            </w:r>
          </w:p>
        </w:tc>
        <w:tc>
          <w:tcPr>
            <w:tcW w:w="0" w:type="auto"/>
            <w:tcBorders>
              <w:top w:val="nil"/>
              <w:left w:val="nil"/>
              <w:bottom w:val="single" w:sz="4" w:space="0" w:color="auto"/>
              <w:right w:val="single" w:sz="4" w:space="0" w:color="auto"/>
            </w:tcBorders>
            <w:shd w:val="clear" w:color="auto" w:fill="auto"/>
            <w:noWrap/>
            <w:vAlign w:val="center"/>
            <w:hideMark/>
          </w:tcPr>
          <w:p w14:paraId="66714850"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Coopers Corners</w:t>
            </w:r>
          </w:p>
        </w:tc>
        <w:tc>
          <w:tcPr>
            <w:tcW w:w="0" w:type="auto"/>
            <w:tcBorders>
              <w:top w:val="nil"/>
              <w:left w:val="nil"/>
              <w:bottom w:val="single" w:sz="4" w:space="0" w:color="auto"/>
              <w:right w:val="single" w:sz="4" w:space="0" w:color="auto"/>
            </w:tcBorders>
            <w:shd w:val="clear" w:color="auto" w:fill="auto"/>
            <w:noWrap/>
            <w:vAlign w:val="center"/>
            <w:hideMark/>
          </w:tcPr>
          <w:p w14:paraId="22F01D79"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70A780D2"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2031</w:t>
            </w:r>
          </w:p>
        </w:tc>
        <w:tc>
          <w:tcPr>
            <w:tcW w:w="0" w:type="auto"/>
            <w:tcBorders>
              <w:top w:val="nil"/>
              <w:left w:val="nil"/>
              <w:bottom w:val="single" w:sz="4" w:space="0" w:color="auto"/>
              <w:right w:val="single" w:sz="4" w:space="0" w:color="auto"/>
            </w:tcBorders>
            <w:shd w:val="clear" w:color="auto" w:fill="auto"/>
            <w:noWrap/>
            <w:vAlign w:val="center"/>
            <w:hideMark/>
          </w:tcPr>
          <w:p w14:paraId="6505FEA2"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345/115</w:t>
            </w:r>
          </w:p>
        </w:tc>
        <w:tc>
          <w:tcPr>
            <w:tcW w:w="0" w:type="auto"/>
            <w:tcBorders>
              <w:top w:val="nil"/>
              <w:left w:val="nil"/>
              <w:bottom w:val="single" w:sz="4" w:space="0" w:color="auto"/>
              <w:right w:val="single" w:sz="4" w:space="0" w:color="auto"/>
            </w:tcBorders>
            <w:shd w:val="clear" w:color="auto" w:fill="auto"/>
            <w:noWrap/>
            <w:vAlign w:val="center"/>
            <w:hideMark/>
          </w:tcPr>
          <w:p w14:paraId="320680EB"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345/115</w:t>
            </w:r>
          </w:p>
        </w:tc>
        <w:tc>
          <w:tcPr>
            <w:tcW w:w="0" w:type="auto"/>
            <w:tcBorders>
              <w:top w:val="nil"/>
              <w:left w:val="nil"/>
              <w:bottom w:val="single" w:sz="4" w:space="0" w:color="auto"/>
              <w:right w:val="single" w:sz="4" w:space="0" w:color="auto"/>
            </w:tcBorders>
            <w:shd w:val="clear" w:color="auto" w:fill="auto"/>
            <w:noWrap/>
            <w:vAlign w:val="center"/>
            <w:hideMark/>
          </w:tcPr>
          <w:p w14:paraId="3E8C78B5"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2DFFA094"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232 MVA</w:t>
            </w:r>
          </w:p>
        </w:tc>
        <w:tc>
          <w:tcPr>
            <w:tcW w:w="0" w:type="auto"/>
            <w:tcBorders>
              <w:top w:val="nil"/>
              <w:left w:val="nil"/>
              <w:bottom w:val="single" w:sz="4" w:space="0" w:color="auto"/>
              <w:right w:val="single" w:sz="4" w:space="0" w:color="auto"/>
            </w:tcBorders>
            <w:shd w:val="clear" w:color="auto" w:fill="auto"/>
            <w:noWrap/>
            <w:vAlign w:val="center"/>
            <w:hideMark/>
          </w:tcPr>
          <w:p w14:paraId="42C02C07"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270 MVA</w:t>
            </w:r>
          </w:p>
        </w:tc>
      </w:tr>
      <w:tr w:rsidR="00FF49F1" w:rsidRPr="00FF49F1" w14:paraId="2B48DCC7"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D07C20"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O &amp; R</w:t>
            </w:r>
          </w:p>
        </w:tc>
        <w:tc>
          <w:tcPr>
            <w:tcW w:w="0" w:type="auto"/>
            <w:tcBorders>
              <w:top w:val="nil"/>
              <w:left w:val="nil"/>
              <w:bottom w:val="single" w:sz="4" w:space="0" w:color="auto"/>
              <w:right w:val="single" w:sz="4" w:space="0" w:color="auto"/>
            </w:tcBorders>
            <w:shd w:val="clear" w:color="auto" w:fill="auto"/>
            <w:noWrap/>
            <w:vAlign w:val="center"/>
            <w:hideMark/>
          </w:tcPr>
          <w:p w14:paraId="6E369597"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Lovett 345 kV Station (New Station)</w:t>
            </w:r>
          </w:p>
        </w:tc>
        <w:tc>
          <w:tcPr>
            <w:tcW w:w="0" w:type="auto"/>
            <w:tcBorders>
              <w:top w:val="nil"/>
              <w:left w:val="nil"/>
              <w:bottom w:val="single" w:sz="4" w:space="0" w:color="auto"/>
              <w:right w:val="single" w:sz="4" w:space="0" w:color="auto"/>
            </w:tcBorders>
            <w:shd w:val="clear" w:color="auto" w:fill="auto"/>
            <w:noWrap/>
            <w:vAlign w:val="center"/>
            <w:hideMark/>
          </w:tcPr>
          <w:p w14:paraId="3F15A403"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Lovett</w:t>
            </w:r>
          </w:p>
        </w:tc>
        <w:tc>
          <w:tcPr>
            <w:tcW w:w="0" w:type="auto"/>
            <w:tcBorders>
              <w:top w:val="nil"/>
              <w:left w:val="nil"/>
              <w:bottom w:val="single" w:sz="4" w:space="0" w:color="auto"/>
              <w:right w:val="single" w:sz="4" w:space="0" w:color="auto"/>
            </w:tcBorders>
            <w:shd w:val="clear" w:color="auto" w:fill="auto"/>
            <w:noWrap/>
            <w:vAlign w:val="center"/>
            <w:hideMark/>
          </w:tcPr>
          <w:p w14:paraId="3C41DF22"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4619DF3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2023</w:t>
            </w:r>
          </w:p>
        </w:tc>
        <w:tc>
          <w:tcPr>
            <w:tcW w:w="0" w:type="auto"/>
            <w:tcBorders>
              <w:top w:val="nil"/>
              <w:left w:val="nil"/>
              <w:bottom w:val="single" w:sz="4" w:space="0" w:color="auto"/>
              <w:right w:val="single" w:sz="4" w:space="0" w:color="auto"/>
            </w:tcBorders>
            <w:shd w:val="clear" w:color="auto" w:fill="auto"/>
            <w:noWrap/>
            <w:vAlign w:val="center"/>
            <w:hideMark/>
          </w:tcPr>
          <w:p w14:paraId="6995F05D"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345/138</w:t>
            </w:r>
          </w:p>
        </w:tc>
        <w:tc>
          <w:tcPr>
            <w:tcW w:w="0" w:type="auto"/>
            <w:tcBorders>
              <w:top w:val="nil"/>
              <w:left w:val="nil"/>
              <w:bottom w:val="single" w:sz="4" w:space="0" w:color="auto"/>
              <w:right w:val="single" w:sz="4" w:space="0" w:color="auto"/>
            </w:tcBorders>
            <w:shd w:val="clear" w:color="auto" w:fill="auto"/>
            <w:noWrap/>
            <w:vAlign w:val="center"/>
            <w:hideMark/>
          </w:tcPr>
          <w:p w14:paraId="38330B62"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345/138</w:t>
            </w:r>
          </w:p>
        </w:tc>
        <w:tc>
          <w:tcPr>
            <w:tcW w:w="0" w:type="auto"/>
            <w:tcBorders>
              <w:top w:val="nil"/>
              <w:left w:val="nil"/>
              <w:bottom w:val="single" w:sz="4" w:space="0" w:color="auto"/>
              <w:right w:val="single" w:sz="4" w:space="0" w:color="auto"/>
            </w:tcBorders>
            <w:shd w:val="clear" w:color="auto" w:fill="auto"/>
            <w:noWrap/>
            <w:vAlign w:val="center"/>
            <w:hideMark/>
          </w:tcPr>
          <w:p w14:paraId="1948822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0DB5B397"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562 MVA</w:t>
            </w:r>
          </w:p>
        </w:tc>
        <w:tc>
          <w:tcPr>
            <w:tcW w:w="0" w:type="auto"/>
            <w:tcBorders>
              <w:top w:val="nil"/>
              <w:left w:val="nil"/>
              <w:bottom w:val="single" w:sz="4" w:space="0" w:color="auto"/>
              <w:right w:val="single" w:sz="4" w:space="0" w:color="auto"/>
            </w:tcBorders>
            <w:shd w:val="clear" w:color="auto" w:fill="auto"/>
            <w:noWrap/>
            <w:vAlign w:val="center"/>
            <w:hideMark/>
          </w:tcPr>
          <w:p w14:paraId="0EB75BC9"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562 MVA</w:t>
            </w:r>
          </w:p>
        </w:tc>
      </w:tr>
      <w:tr w:rsidR="00FF49F1" w:rsidRPr="00FF49F1" w14:paraId="7147DFEB"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4A7EF5"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O &amp; R/</w:t>
            </w:r>
            <w:proofErr w:type="spellStart"/>
            <w:r w:rsidRPr="00FF49F1">
              <w:rPr>
                <w:rFonts w:asciiTheme="minorHAnsi" w:hAnsiTheme="minorHAnsi" w:cstheme="minorHAnsi"/>
                <w:sz w:val="16"/>
                <w:szCs w:val="16"/>
                <w:lang w:bidi="ar-SA"/>
              </w:rPr>
              <w:t>ConEd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35F54D7A" w14:textId="77777777" w:rsidR="00FF49F1" w:rsidRPr="00FF49F1" w:rsidRDefault="00FF49F1" w:rsidP="00FF49F1">
            <w:pPr>
              <w:spacing w:after="0"/>
              <w:ind w:left="0" w:firstLine="0"/>
              <w:jc w:val="center"/>
              <w:rPr>
                <w:rFonts w:asciiTheme="minorHAnsi" w:hAnsiTheme="minorHAnsi" w:cstheme="minorHAnsi"/>
                <w:sz w:val="16"/>
                <w:szCs w:val="16"/>
                <w:lang w:bidi="ar-SA"/>
              </w:rPr>
            </w:pPr>
            <w:proofErr w:type="spellStart"/>
            <w:r w:rsidRPr="00FF49F1">
              <w:rPr>
                <w:rFonts w:asciiTheme="minorHAnsi" w:hAnsiTheme="minorHAnsi" w:cstheme="minorHAnsi"/>
                <w:sz w:val="16"/>
                <w:szCs w:val="16"/>
                <w:lang w:bidi="ar-SA"/>
              </w:rPr>
              <w:t>Ladentown</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1EAA1E4F"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Lovett 345 kV Station (New Station)</w:t>
            </w:r>
          </w:p>
        </w:tc>
        <w:tc>
          <w:tcPr>
            <w:tcW w:w="0" w:type="auto"/>
            <w:tcBorders>
              <w:top w:val="nil"/>
              <w:left w:val="nil"/>
              <w:bottom w:val="single" w:sz="4" w:space="0" w:color="auto"/>
              <w:right w:val="single" w:sz="4" w:space="0" w:color="auto"/>
            </w:tcBorders>
            <w:shd w:val="clear" w:color="auto" w:fill="auto"/>
            <w:noWrap/>
            <w:vAlign w:val="center"/>
            <w:hideMark/>
          </w:tcPr>
          <w:p w14:paraId="7F598022"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2795847A"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2023</w:t>
            </w:r>
          </w:p>
        </w:tc>
        <w:tc>
          <w:tcPr>
            <w:tcW w:w="0" w:type="auto"/>
            <w:tcBorders>
              <w:top w:val="nil"/>
              <w:left w:val="nil"/>
              <w:bottom w:val="single" w:sz="4" w:space="0" w:color="auto"/>
              <w:right w:val="single" w:sz="4" w:space="0" w:color="auto"/>
            </w:tcBorders>
            <w:shd w:val="clear" w:color="auto" w:fill="auto"/>
            <w:noWrap/>
            <w:vAlign w:val="center"/>
            <w:hideMark/>
          </w:tcPr>
          <w:p w14:paraId="2E07F3FE"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02282F8B"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5AB499EC"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5D81D5F1"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3000</w:t>
            </w:r>
          </w:p>
        </w:tc>
        <w:tc>
          <w:tcPr>
            <w:tcW w:w="0" w:type="auto"/>
            <w:tcBorders>
              <w:top w:val="nil"/>
              <w:left w:val="nil"/>
              <w:bottom w:val="single" w:sz="4" w:space="0" w:color="auto"/>
              <w:right w:val="single" w:sz="4" w:space="0" w:color="auto"/>
            </w:tcBorders>
            <w:shd w:val="clear" w:color="auto" w:fill="auto"/>
            <w:noWrap/>
            <w:vAlign w:val="center"/>
            <w:hideMark/>
          </w:tcPr>
          <w:p w14:paraId="58F95BE9"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3211</w:t>
            </w:r>
          </w:p>
        </w:tc>
      </w:tr>
      <w:tr w:rsidR="00FF49F1" w:rsidRPr="00FF49F1" w14:paraId="70C458EA" w14:textId="77777777" w:rsidTr="007F4000">
        <w:trPr>
          <w:trHeight w:val="2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663840"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O &amp; R/</w:t>
            </w:r>
            <w:proofErr w:type="spellStart"/>
            <w:r w:rsidRPr="00FF49F1">
              <w:rPr>
                <w:rFonts w:asciiTheme="minorHAnsi" w:hAnsiTheme="minorHAnsi" w:cstheme="minorHAnsi"/>
                <w:sz w:val="16"/>
                <w:szCs w:val="16"/>
                <w:lang w:bidi="ar-SA"/>
              </w:rPr>
              <w:t>ConEd</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0588CF1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Lovett 345 kV Station (New Station)</w:t>
            </w:r>
          </w:p>
        </w:tc>
        <w:tc>
          <w:tcPr>
            <w:tcW w:w="0" w:type="auto"/>
            <w:tcBorders>
              <w:top w:val="nil"/>
              <w:left w:val="nil"/>
              <w:bottom w:val="single" w:sz="4" w:space="0" w:color="auto"/>
              <w:right w:val="single" w:sz="4" w:space="0" w:color="auto"/>
            </w:tcBorders>
            <w:shd w:val="clear" w:color="auto" w:fill="auto"/>
            <w:noWrap/>
            <w:vAlign w:val="center"/>
            <w:hideMark/>
          </w:tcPr>
          <w:p w14:paraId="6C7D3EC1"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Buchanan</w:t>
            </w:r>
          </w:p>
        </w:tc>
        <w:tc>
          <w:tcPr>
            <w:tcW w:w="0" w:type="auto"/>
            <w:tcBorders>
              <w:top w:val="nil"/>
              <w:left w:val="nil"/>
              <w:bottom w:val="single" w:sz="4" w:space="0" w:color="auto"/>
              <w:right w:val="single" w:sz="4" w:space="0" w:color="auto"/>
            </w:tcBorders>
            <w:shd w:val="clear" w:color="auto" w:fill="auto"/>
            <w:noWrap/>
            <w:vAlign w:val="center"/>
            <w:hideMark/>
          </w:tcPr>
          <w:p w14:paraId="1BDD620F"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S</w:t>
            </w:r>
          </w:p>
        </w:tc>
        <w:tc>
          <w:tcPr>
            <w:tcW w:w="0" w:type="auto"/>
            <w:tcBorders>
              <w:top w:val="nil"/>
              <w:left w:val="nil"/>
              <w:bottom w:val="single" w:sz="4" w:space="0" w:color="auto"/>
              <w:right w:val="single" w:sz="4" w:space="0" w:color="auto"/>
            </w:tcBorders>
            <w:shd w:val="clear" w:color="auto" w:fill="auto"/>
            <w:noWrap/>
            <w:vAlign w:val="center"/>
            <w:hideMark/>
          </w:tcPr>
          <w:p w14:paraId="17079B50"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2023</w:t>
            </w:r>
          </w:p>
        </w:tc>
        <w:tc>
          <w:tcPr>
            <w:tcW w:w="0" w:type="auto"/>
            <w:tcBorders>
              <w:top w:val="nil"/>
              <w:left w:val="nil"/>
              <w:bottom w:val="single" w:sz="4" w:space="0" w:color="auto"/>
              <w:right w:val="single" w:sz="4" w:space="0" w:color="auto"/>
            </w:tcBorders>
            <w:shd w:val="clear" w:color="auto" w:fill="auto"/>
            <w:noWrap/>
            <w:vAlign w:val="center"/>
            <w:hideMark/>
          </w:tcPr>
          <w:p w14:paraId="19DE18F1"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786F96F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345</w:t>
            </w:r>
          </w:p>
        </w:tc>
        <w:tc>
          <w:tcPr>
            <w:tcW w:w="0" w:type="auto"/>
            <w:tcBorders>
              <w:top w:val="nil"/>
              <w:left w:val="nil"/>
              <w:bottom w:val="single" w:sz="4" w:space="0" w:color="auto"/>
              <w:right w:val="single" w:sz="4" w:space="0" w:color="auto"/>
            </w:tcBorders>
            <w:shd w:val="clear" w:color="auto" w:fill="auto"/>
            <w:noWrap/>
            <w:vAlign w:val="center"/>
            <w:hideMark/>
          </w:tcPr>
          <w:p w14:paraId="6BFF4B28"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3BF33E09"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3000</w:t>
            </w:r>
          </w:p>
        </w:tc>
        <w:tc>
          <w:tcPr>
            <w:tcW w:w="0" w:type="auto"/>
            <w:tcBorders>
              <w:top w:val="nil"/>
              <w:left w:val="nil"/>
              <w:bottom w:val="single" w:sz="4" w:space="0" w:color="auto"/>
              <w:right w:val="single" w:sz="4" w:space="0" w:color="auto"/>
            </w:tcBorders>
            <w:shd w:val="clear" w:color="auto" w:fill="auto"/>
            <w:noWrap/>
            <w:vAlign w:val="center"/>
            <w:hideMark/>
          </w:tcPr>
          <w:p w14:paraId="7D9FA686" w14:textId="77777777" w:rsidR="00FF49F1" w:rsidRPr="00FF49F1" w:rsidRDefault="00FF49F1" w:rsidP="00FF49F1">
            <w:pPr>
              <w:spacing w:after="0"/>
              <w:ind w:left="0" w:firstLine="0"/>
              <w:jc w:val="center"/>
              <w:rPr>
                <w:rFonts w:asciiTheme="minorHAnsi" w:hAnsiTheme="minorHAnsi" w:cstheme="minorHAnsi"/>
                <w:sz w:val="16"/>
                <w:szCs w:val="16"/>
                <w:lang w:bidi="ar-SA"/>
              </w:rPr>
            </w:pPr>
            <w:r w:rsidRPr="00FF49F1">
              <w:rPr>
                <w:rFonts w:asciiTheme="minorHAnsi" w:hAnsiTheme="minorHAnsi" w:cstheme="minorHAnsi"/>
                <w:sz w:val="16"/>
                <w:szCs w:val="16"/>
                <w:lang w:bidi="ar-SA"/>
              </w:rPr>
              <w:t>3211</w:t>
            </w:r>
          </w:p>
        </w:tc>
      </w:tr>
    </w:tbl>
    <w:p w14:paraId="690D28A8" w14:textId="0CA830E7" w:rsidR="00FF49F1" w:rsidRDefault="00FF49F1" w:rsidP="00F15148">
      <w:pPr>
        <w:pStyle w:val="Heading2"/>
        <w:ind w:firstLine="0"/>
        <w:rPr>
          <w:highlight w:val="yellow"/>
        </w:rPr>
        <w:sectPr w:rsidR="00FF49F1" w:rsidSect="007F4000">
          <w:pgSz w:w="15840" w:h="12240" w:orient="landscape" w:code="1"/>
          <w:pgMar w:top="1080" w:right="1440" w:bottom="1080" w:left="1440" w:header="720" w:footer="58" w:gutter="0"/>
          <w:cols w:space="720"/>
          <w:docGrid w:linePitch="360"/>
        </w:sectPr>
      </w:pPr>
      <w:bookmarkStart w:id="201" w:name="_Toc80191696"/>
    </w:p>
    <w:bookmarkEnd w:id="183"/>
    <w:bookmarkEnd w:id="184"/>
    <w:bookmarkEnd w:id="185"/>
    <w:bookmarkEnd w:id="201"/>
    <w:p w14:paraId="23653F01" w14:textId="7D7F320E" w:rsidR="002C6E1B" w:rsidRPr="00EF27F3" w:rsidRDefault="002C6E1B" w:rsidP="00F338AF">
      <w:pPr>
        <w:pStyle w:val="BodyText"/>
        <w:ind w:firstLine="0"/>
        <w:rPr>
          <w:rStyle w:val="FigureChar"/>
          <w:rFonts w:ascii="Cambria" w:hAnsi="Cambria"/>
          <w:bCs/>
        </w:rPr>
      </w:pPr>
    </w:p>
    <w:sectPr w:rsidR="002C6E1B" w:rsidRPr="00EF27F3" w:rsidSect="006B2354">
      <w:pgSz w:w="12240" w:h="15840" w:code="1"/>
      <w:pgMar w:top="1440" w:right="1080" w:bottom="1440" w:left="1080" w:header="720" w:footer="5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BF48B8" w14:textId="77777777" w:rsidR="0008271B" w:rsidRDefault="0008271B" w:rsidP="00FD76C9">
      <w:pPr>
        <w:spacing w:after="0"/>
      </w:pPr>
      <w:r>
        <w:separator/>
      </w:r>
    </w:p>
  </w:endnote>
  <w:endnote w:type="continuationSeparator" w:id="0">
    <w:p w14:paraId="4FF281BA" w14:textId="77777777" w:rsidR="0008271B" w:rsidRDefault="0008271B" w:rsidP="00FD76C9">
      <w:pPr>
        <w:spacing w:after="0"/>
      </w:pPr>
      <w:r>
        <w:continuationSeparator/>
      </w:r>
    </w:p>
  </w:endnote>
  <w:endnote w:type="continuationNotice" w:id="1">
    <w:p w14:paraId="10613E92" w14:textId="77777777" w:rsidR="0008271B" w:rsidRDefault="0008271B">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dobe Garamond Pro">
    <w:altName w:val="Times New Roman"/>
    <w:panose1 w:val="02020502060506020403"/>
    <w:charset w:val="00"/>
    <w:family w:val="roman"/>
    <w:notTrueType/>
    <w:pitch w:val="variable"/>
    <w:sig w:usb0="00000007" w:usb1="00000001" w:usb2="00000000" w:usb3="00000000" w:csb0="00000093" w:csb1="00000000"/>
  </w:font>
  <w:font w:name="Franklin Gothic Medium">
    <w:panose1 w:val="020B0603020102020204"/>
    <w:charset w:val="00"/>
    <w:family w:val="swiss"/>
    <w:pitch w:val="variable"/>
    <w:sig w:usb0="00000287" w:usb1="00000000" w:usb2="00000000" w:usb3="00000000" w:csb0="0000009F" w:csb1="00000000"/>
  </w:font>
  <w:font w:name="Franklin Gothic Demi Cond">
    <w:panose1 w:val="020B0706030402020204"/>
    <w:charset w:val="00"/>
    <w:family w:val="swiss"/>
    <w:pitch w:val="variable"/>
    <w:sig w:usb0="00000287" w:usb1="00000000" w:usb2="00000000" w:usb3="00000000" w:csb0="0000009F" w:csb1="00000000"/>
  </w:font>
  <w:font w:name="Franklin Gothic Medium Cond">
    <w:panose1 w:val="020B06060304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Minion Pro">
    <w:altName w:val="Cambria Math"/>
    <w:panose1 w:val="02040503050306020203"/>
    <w:charset w:val="00"/>
    <w:family w:val="roman"/>
    <w:notTrueType/>
    <w:pitch w:val="variable"/>
    <w:sig w:usb0="60000287" w:usb1="00000001"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mn-cs">
    <w:panose1 w:val="00000000000000000000"/>
    <w:charset w:val="00"/>
    <w:family w:val="roman"/>
    <w:notTrueType/>
    <w:pitch w:val="default"/>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C3192" w14:textId="77777777" w:rsidR="00933FB9" w:rsidRDefault="00933FB9">
    <w:pPr>
      <w:pStyle w:val="Footer"/>
    </w:pPr>
    <w:r>
      <w:tab/>
    </w:r>
    <w:r>
      <w:tab/>
    </w:r>
    <w:r>
      <w:tab/>
      <w:t>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48908" w14:textId="17C621CD" w:rsidR="00933FB9" w:rsidRPr="00180509" w:rsidRDefault="00933FB9" w:rsidP="00B44233">
    <w:pPr>
      <w:pStyle w:val="Footer"/>
      <w:tabs>
        <w:tab w:val="clear" w:pos="9360"/>
        <w:tab w:val="right" w:pos="10080"/>
      </w:tabs>
      <w:ind w:left="0" w:firstLine="0"/>
      <w:rPr>
        <w:rFonts w:ascii="Franklin Gothic Medium" w:hAnsi="Franklin Gothic Medium"/>
        <w:sz w:val="16"/>
        <w:szCs w:val="16"/>
      </w:rPr>
    </w:pPr>
    <w:r>
      <w:rPr>
        <w:rFonts w:ascii="Franklin Gothic Medium" w:hAnsi="Franklin Gothic Medium"/>
        <w:color w:val="005F86"/>
        <w:sz w:val="16"/>
        <w:szCs w:val="16"/>
      </w:rPr>
      <w:t xml:space="preserve">Draft Report </w:t>
    </w:r>
    <w:r>
      <w:rPr>
        <w:rFonts w:ascii="Franklin Gothic Medium" w:hAnsi="Franklin Gothic Medium"/>
        <w:sz w:val="16"/>
        <w:szCs w:val="16"/>
      </w:rPr>
      <w:tab/>
    </w:r>
    <w:r>
      <w:rPr>
        <w:rFonts w:ascii="Franklin Gothic Medium" w:hAnsi="Franklin Gothic Medium"/>
        <w:sz w:val="16"/>
        <w:szCs w:val="16"/>
      </w:rPr>
      <w:tab/>
    </w:r>
    <w:r>
      <w:rPr>
        <w:rFonts w:ascii="Franklin Gothic Medium" w:hAnsi="Franklin Gothic Medium"/>
        <w:color w:val="005F86"/>
        <w:sz w:val="16"/>
        <w:szCs w:val="16"/>
      </w:rPr>
      <w:t xml:space="preserve">NYISO 2021-2030 Comprehensive Reliability Plan </w:t>
    </w:r>
    <w:r w:rsidRPr="00180509">
      <w:rPr>
        <w:rFonts w:ascii="Franklin Gothic Medium" w:hAnsi="Franklin Gothic Medium"/>
        <w:color w:val="5BC2E7"/>
        <w:sz w:val="16"/>
        <w:szCs w:val="16"/>
      </w:rPr>
      <w:t>|</w:t>
    </w:r>
    <w:r w:rsidRPr="00180509">
      <w:rPr>
        <w:rFonts w:ascii="Franklin Gothic Medium" w:hAnsi="Franklin Gothic Medium"/>
        <w:sz w:val="16"/>
        <w:szCs w:val="16"/>
      </w:rPr>
      <w:t xml:space="preserve">   </w:t>
    </w:r>
    <w:r w:rsidRPr="00180509">
      <w:rPr>
        <w:rFonts w:ascii="Franklin Gothic Medium" w:hAnsi="Franklin Gothic Medium"/>
        <w:color w:val="005F86"/>
        <w:sz w:val="16"/>
        <w:szCs w:val="16"/>
      </w:rPr>
      <w:fldChar w:fldCharType="begin"/>
    </w:r>
    <w:r w:rsidRPr="00180509">
      <w:rPr>
        <w:rFonts w:ascii="Franklin Gothic Medium" w:hAnsi="Franklin Gothic Medium"/>
        <w:color w:val="005F86"/>
        <w:sz w:val="16"/>
        <w:szCs w:val="16"/>
      </w:rPr>
      <w:instrText xml:space="preserve"> PAGE   \* MERGEFORMAT </w:instrText>
    </w:r>
    <w:r w:rsidRPr="00180509">
      <w:rPr>
        <w:rFonts w:ascii="Franklin Gothic Medium" w:hAnsi="Franklin Gothic Medium"/>
        <w:color w:val="005F86"/>
        <w:sz w:val="16"/>
        <w:szCs w:val="16"/>
      </w:rPr>
      <w:fldChar w:fldCharType="separate"/>
    </w:r>
    <w:r w:rsidR="00DA765A">
      <w:rPr>
        <w:rFonts w:ascii="Franklin Gothic Medium" w:hAnsi="Franklin Gothic Medium"/>
        <w:noProof/>
        <w:color w:val="005F86"/>
        <w:sz w:val="16"/>
        <w:szCs w:val="16"/>
      </w:rPr>
      <w:t>10</w:t>
    </w:r>
    <w:r w:rsidRPr="00180509">
      <w:rPr>
        <w:rFonts w:ascii="Franklin Gothic Medium" w:hAnsi="Franklin Gothic Medium"/>
        <w:color w:val="005F86"/>
        <w:sz w:val="16"/>
        <w:szCs w:val="16"/>
      </w:rPr>
      <w:fldChar w:fldCharType="end"/>
    </w:r>
  </w:p>
  <w:p w14:paraId="3A89BFEA" w14:textId="77777777" w:rsidR="00933FB9" w:rsidRDefault="00933FB9" w:rsidP="006F00C8">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40F24" w14:textId="77777777" w:rsidR="00933FB9" w:rsidRDefault="00933FB9" w:rsidP="00E97FFA">
    <w:pPr>
      <w:pStyle w:val="Footer"/>
      <w:tabs>
        <w:tab w:val="left" w:pos="9360"/>
        <w:tab w:val="left" w:pos="999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51B940" w14:textId="77777777" w:rsidR="0008271B" w:rsidRDefault="0008271B" w:rsidP="00FD76C9">
      <w:pPr>
        <w:spacing w:after="0"/>
      </w:pPr>
      <w:r>
        <w:separator/>
      </w:r>
    </w:p>
  </w:footnote>
  <w:footnote w:type="continuationSeparator" w:id="0">
    <w:p w14:paraId="6C42A6E3" w14:textId="77777777" w:rsidR="0008271B" w:rsidRDefault="0008271B" w:rsidP="00FD76C9">
      <w:pPr>
        <w:spacing w:after="0"/>
      </w:pPr>
      <w:r>
        <w:continuationSeparator/>
      </w:r>
    </w:p>
  </w:footnote>
  <w:footnote w:type="continuationNotice" w:id="1">
    <w:p w14:paraId="02457803" w14:textId="77777777" w:rsidR="0008271B" w:rsidRDefault="0008271B">
      <w:pPr>
        <w:spacing w:after="0"/>
      </w:pPr>
    </w:p>
  </w:footnote>
  <w:footnote w:id="2">
    <w:p w14:paraId="4F300611" w14:textId="77777777" w:rsidR="00933FB9" w:rsidRDefault="00933FB9" w:rsidP="002E1276">
      <w:pPr>
        <w:pStyle w:val="caption10"/>
      </w:pPr>
      <w:r w:rsidRPr="00F04F15">
        <w:rPr>
          <w:rStyle w:val="FootnoteReference"/>
          <w:sz w:val="18"/>
        </w:rPr>
        <w:footnoteRef/>
      </w:r>
      <w:r w:rsidRPr="00F04F15">
        <w:rPr>
          <w:sz w:val="18"/>
        </w:rPr>
        <w:t xml:space="preserve"> Effective May 1, 2020, the scope of the RNA is limited to years 4-10 of the planning horizon while the NYISO Short-Term Reliability Process is responsible for years 1-3 and </w:t>
      </w:r>
      <w:r>
        <w:rPr>
          <w:sz w:val="18"/>
        </w:rPr>
        <w:t xml:space="preserve">also </w:t>
      </w:r>
      <w:r w:rsidRPr="00F04F15">
        <w:rPr>
          <w:sz w:val="18"/>
        </w:rPr>
        <w:t xml:space="preserve">assesses years </w:t>
      </w:r>
      <w:r>
        <w:rPr>
          <w:sz w:val="18"/>
        </w:rPr>
        <w:t>4</w:t>
      </w:r>
      <w:r w:rsidRPr="00F04F15">
        <w:rPr>
          <w:sz w:val="18"/>
        </w:rPr>
        <w:t>-5.</w:t>
      </w:r>
    </w:p>
  </w:footnote>
  <w:footnote w:id="3">
    <w:p w14:paraId="326233FB" w14:textId="77777777" w:rsidR="00933FB9" w:rsidRDefault="00933FB9" w:rsidP="00F3136F">
      <w:pPr>
        <w:pStyle w:val="FootnoteText"/>
        <w:ind w:left="0" w:firstLine="0"/>
      </w:pPr>
      <w:r>
        <w:rPr>
          <w:rStyle w:val="FootnoteReference"/>
        </w:rPr>
        <w:footnoteRef/>
      </w:r>
      <w:r>
        <w:t xml:space="preserve"> </w:t>
      </w:r>
      <w:hyperlink r:id="rId1" w:history="1">
        <w:r w:rsidRPr="00DB3625">
          <w:rPr>
            <w:rStyle w:val="Hyperlink"/>
            <w:rFonts w:ascii="Franklin Gothic Book" w:hAnsi="Franklin Gothic Book"/>
          </w:rPr>
          <w:t>https://www.dec.ny.gov/regulations/116131.html</w:t>
        </w:r>
      </w:hyperlink>
      <w:r w:rsidRPr="00DB3625">
        <w:rPr>
          <w:rFonts w:ascii="Franklin Gothic Book" w:hAnsi="Franklin Gothic Book"/>
        </w:rPr>
        <w:t xml:space="preserve"> </w:t>
      </w:r>
    </w:p>
  </w:footnote>
  <w:footnote w:id="4">
    <w:p w14:paraId="4B175D15" w14:textId="77777777" w:rsidR="00933FB9" w:rsidRPr="00942260" w:rsidRDefault="00933FB9" w:rsidP="00A92BCE">
      <w:pPr>
        <w:pStyle w:val="FootnoteText"/>
        <w:spacing w:after="120"/>
        <w:ind w:left="144" w:hanging="144"/>
        <w:rPr>
          <w:rFonts w:asciiTheme="minorHAnsi" w:hAnsiTheme="minorHAnsi"/>
        </w:rPr>
      </w:pPr>
      <w:r w:rsidRPr="00942260">
        <w:rPr>
          <w:rStyle w:val="FootnoteReference"/>
          <w:rFonts w:asciiTheme="minorHAnsi" w:hAnsiTheme="minorHAnsi"/>
        </w:rPr>
        <w:footnoteRef/>
      </w:r>
      <w:r w:rsidRPr="00942260">
        <w:rPr>
          <w:rFonts w:asciiTheme="minorHAnsi" w:hAnsiTheme="minorHAnsi"/>
        </w:rPr>
        <w:t xml:space="preserve"> OATT Section 38.1 contains the tariff definition of a “Short-Term Reliability Process Need.” </w:t>
      </w:r>
    </w:p>
  </w:footnote>
  <w:footnote w:id="5">
    <w:p w14:paraId="5A5AB92E" w14:textId="77777777" w:rsidR="00933FB9" w:rsidRPr="007D423D" w:rsidRDefault="00933FB9" w:rsidP="00A92BCE">
      <w:pPr>
        <w:pStyle w:val="FootnoteText"/>
        <w:spacing w:after="120"/>
        <w:ind w:left="144" w:hanging="144"/>
        <w:rPr>
          <w:rFonts w:asciiTheme="minorHAnsi" w:hAnsiTheme="minorHAnsi" w:cstheme="minorHAnsi"/>
        </w:rPr>
      </w:pPr>
      <w:r w:rsidRPr="007D423D">
        <w:rPr>
          <w:rStyle w:val="FootnoteReference"/>
          <w:rFonts w:asciiTheme="minorHAnsi" w:hAnsiTheme="minorHAnsi" w:cstheme="minorHAnsi"/>
        </w:rPr>
        <w:footnoteRef/>
      </w:r>
      <w:r w:rsidRPr="007D423D">
        <w:rPr>
          <w:rFonts w:asciiTheme="minorHAnsi" w:hAnsiTheme="minorHAnsi" w:cstheme="minorHAnsi"/>
        </w:rPr>
        <w:t xml:space="preserve"> </w:t>
      </w:r>
      <w:r w:rsidRPr="00942260">
        <w:rPr>
          <w:rFonts w:asciiTheme="minorHAnsi" w:hAnsiTheme="minorHAnsi"/>
        </w:rPr>
        <w:t xml:space="preserve">OATT Section 38.1 contains the tariff definition of a “Near-Term Reliability Need.”  </w:t>
      </w:r>
      <w:r w:rsidRPr="00942260">
        <w:rPr>
          <w:rFonts w:asciiTheme="minorHAnsi" w:hAnsiTheme="minorHAnsi"/>
          <w:i/>
        </w:rPr>
        <w:t>See also</w:t>
      </w:r>
      <w:r w:rsidRPr="00942260">
        <w:rPr>
          <w:rFonts w:asciiTheme="minorHAnsi" w:hAnsiTheme="minorHAnsi"/>
        </w:rPr>
        <w:t>, OATT Section 38.3.6.</w:t>
      </w:r>
    </w:p>
  </w:footnote>
  <w:footnote w:id="6">
    <w:p w14:paraId="2641D8A9" w14:textId="77777777" w:rsidR="00933FB9" w:rsidRPr="005F6A97" w:rsidRDefault="00933FB9" w:rsidP="0064483F">
      <w:pPr>
        <w:pStyle w:val="FootnoteText"/>
        <w:ind w:left="144" w:hanging="144"/>
        <w:rPr>
          <w:rFonts w:ascii="Cambria" w:hAnsi="Cambria" w:cstheme="minorHAnsi"/>
        </w:rPr>
      </w:pPr>
      <w:r w:rsidRPr="005F6A97">
        <w:rPr>
          <w:rStyle w:val="FootnoteReference"/>
          <w:rFonts w:ascii="Cambria" w:hAnsi="Cambria" w:cstheme="minorHAnsi"/>
        </w:rPr>
        <w:footnoteRef/>
      </w:r>
      <w:r w:rsidRPr="005F6A97">
        <w:rPr>
          <w:rFonts w:ascii="Cambria" w:hAnsi="Cambria" w:cstheme="minorHAnsi"/>
        </w:rPr>
        <w:t xml:space="preserve"> </w:t>
      </w:r>
      <w:hyperlink r:id="rId2" w:history="1">
        <w:r w:rsidRPr="00942260">
          <w:rPr>
            <w:rStyle w:val="Hyperlink"/>
          </w:rPr>
          <w:t>https://www.nyiso.com/documents/20142/16004172/2020-Q3-STAR-Report-vFinal.pdf/</w:t>
        </w:r>
      </w:hyperlink>
      <w:r w:rsidRPr="005F6A97">
        <w:rPr>
          <w:rFonts w:ascii="Cambria" w:hAnsi="Cambria" w:cstheme="minorHAnsi"/>
        </w:rPr>
        <w:t xml:space="preserve"> </w:t>
      </w:r>
    </w:p>
  </w:footnote>
  <w:footnote w:id="7">
    <w:p w14:paraId="6BAEC8F4" w14:textId="139BAA29" w:rsidR="00933FB9" w:rsidRDefault="00933FB9" w:rsidP="00DE30BE">
      <w:pPr>
        <w:pStyle w:val="FootnoteText"/>
      </w:pPr>
      <w:r>
        <w:rPr>
          <w:rStyle w:val="FootnoteReference"/>
        </w:rPr>
        <w:footnoteRef/>
      </w:r>
      <w:r>
        <w:t xml:space="preserve"> Additional LTPs were subsequently presented by the Transmission Owners, such as further changing the status of the series reactors on Con Edison’s cables #41 and #42 from assumed bypassed in this CRP (starting 2023) to in-service, starting summer 2025 – details in the July 23, 2021 ESPWG Con Edison’s presentation [</w:t>
      </w:r>
      <w:hyperlink r:id="rId3" w:history="1">
        <w:r w:rsidRPr="009A7F57">
          <w:rPr>
            <w:rStyle w:val="Hyperlink"/>
          </w:rPr>
          <w:t>link</w:t>
        </w:r>
      </w:hyperlink>
      <w:r>
        <w:t xml:space="preserve">].  This change is reflected in the 2021 Q3 STAR models, which targets October 13, </w:t>
      </w:r>
      <w:r>
        <w:t>2021 for completion and posting.</w:t>
      </w:r>
    </w:p>
  </w:footnote>
  <w:footnote w:id="8">
    <w:p w14:paraId="5E5C0713" w14:textId="24ADAF4C" w:rsidR="00933FB9" w:rsidRDefault="00933FB9">
      <w:pPr>
        <w:pStyle w:val="FootnoteText"/>
      </w:pPr>
      <w:r>
        <w:rPr>
          <w:rStyle w:val="FootnoteReference"/>
        </w:rPr>
        <w:footnoteRef/>
      </w:r>
      <w:r>
        <w:t xml:space="preserve"> Generation resources are from the summer capability listed in the 2021 Load and Capacity Data Report and do not reflect the capabilities utilized in the resource adequacy analysis.</w:t>
      </w:r>
    </w:p>
  </w:footnote>
  <w:footnote w:id="9">
    <w:p w14:paraId="5FAE9D5F" w14:textId="1B0A79BC" w:rsidR="00933FB9" w:rsidRDefault="00933FB9">
      <w:pPr>
        <w:pStyle w:val="FootnoteText"/>
      </w:pPr>
      <w:r>
        <w:rPr>
          <w:rStyle w:val="FootnoteReference"/>
        </w:rPr>
        <w:footnoteRef/>
      </w:r>
      <w:r>
        <w:t xml:space="preserve"> NYSRC’s “Resource Adequacy Metrics and their Application”: </w:t>
      </w:r>
      <w:hyperlink r:id="rId4" w:history="1">
        <w:r w:rsidRPr="00DC4349">
          <w:rPr>
            <w:rStyle w:val="Hyperlink"/>
          </w:rPr>
          <w:t>https://www.nysrc.org/PDF/Reports/Resource%20Adequacy%20Metric%20Report%20Final%204-20-2020[6431].pdf</w:t>
        </w:r>
      </w:hyperlink>
      <w:r>
        <w:t xml:space="preserve"> </w:t>
      </w:r>
    </w:p>
  </w:footnote>
  <w:footnote w:id="10">
    <w:p w14:paraId="045FB012" w14:textId="77777777" w:rsidR="00933FB9" w:rsidRDefault="00933FB9" w:rsidP="00DD1693">
      <w:pPr>
        <w:pStyle w:val="FootnoteText"/>
      </w:pPr>
      <w:r>
        <w:rPr>
          <w:rStyle w:val="FootnoteReference"/>
        </w:rPr>
        <w:footnoteRef/>
      </w:r>
      <w:r>
        <w:t xml:space="preserve"> NYSRC’s “Resource Adequacy Metrics and their Application”: </w:t>
      </w:r>
      <w:hyperlink r:id="rId5" w:history="1">
        <w:r w:rsidRPr="00DC4349">
          <w:rPr>
            <w:rStyle w:val="Hyperlink"/>
          </w:rPr>
          <w:t>https://www.nysrc.org/PDF/Reports/Resource%20Adequacy%20Metric%20Report%20Final%204-20-2020[6431].pdf</w:t>
        </w:r>
      </w:hyperlink>
      <w:r>
        <w:t xml:space="preserve"> </w:t>
      </w:r>
    </w:p>
  </w:footnote>
  <w:footnote w:id="11">
    <w:p w14:paraId="249BBA93" w14:textId="77777777" w:rsidR="00933FB9" w:rsidRDefault="00933FB9" w:rsidP="0033617D">
      <w:pPr>
        <w:pStyle w:val="FootnoteText"/>
      </w:pPr>
      <w:r>
        <w:rPr>
          <w:rStyle w:val="FootnoteReference"/>
        </w:rPr>
        <w:footnoteRef/>
      </w:r>
      <w:r>
        <w:t xml:space="preserve"> </w:t>
      </w:r>
      <w:r w:rsidRPr="007C1B79">
        <w:t>https://www.nyiso.com/documents/20142/19415353/07 2020-2021RPP_PostRNABaseCaseUpdates.pdf/</w:t>
      </w:r>
    </w:p>
  </w:footnote>
  <w:footnote w:id="12">
    <w:p w14:paraId="05515C2B" w14:textId="77777777" w:rsidR="00933FB9" w:rsidRDefault="00933FB9" w:rsidP="0033617D">
      <w:pPr>
        <w:pStyle w:val="FootnoteText"/>
      </w:pPr>
      <w:r>
        <w:rPr>
          <w:rStyle w:val="FootnoteReference"/>
          <w:rFonts w:eastAsia="Arial Narrow"/>
        </w:rPr>
        <w:footnoteRef/>
      </w:r>
      <w:r>
        <w:t xml:space="preserve"> Con Edison, </w:t>
      </w:r>
      <w:hyperlink r:id="rId6" w:history="1">
        <w:r w:rsidRPr="00BC5E3D">
          <w:rPr>
            <w:rStyle w:val="Hyperlink"/>
          </w:rPr>
          <w:t>TP-7100-18 Transmission Planning Criteria</w:t>
        </w:r>
      </w:hyperlink>
      <w:r>
        <w:t>, dated August 2019</w:t>
      </w:r>
    </w:p>
  </w:footnote>
  <w:footnote w:id="13">
    <w:p w14:paraId="1D498B08" w14:textId="77777777" w:rsidR="00933FB9" w:rsidRDefault="00933FB9" w:rsidP="0033617D">
      <w:pPr>
        <w:pStyle w:val="FootnoteText"/>
        <w:ind w:left="360"/>
      </w:pPr>
      <w:r>
        <w:rPr>
          <w:rStyle w:val="FootnoteReference"/>
          <w:rFonts w:eastAsia="Arial Narrow"/>
        </w:rPr>
        <w:footnoteRef/>
      </w:r>
      <w:r>
        <w:t xml:space="preserve"> </w:t>
      </w:r>
      <w:hyperlink r:id="rId7" w:history="1">
        <w:r w:rsidRPr="00A766A8">
          <w:rPr>
            <w:rStyle w:val="Hyperlink"/>
          </w:rPr>
          <w:t>https://www.nyiso.com/documents/20142/3691300/Summer-2020-Operating-Study-Draft-Final-OC-Approved.pdf/</w:t>
        </w:r>
      </w:hyperlink>
      <w:r>
        <w:t xml:space="preserve"> </w:t>
      </w:r>
    </w:p>
  </w:footnote>
  <w:footnote w:id="14">
    <w:p w14:paraId="2967683B" w14:textId="3E4FF363" w:rsidR="00933FB9" w:rsidRDefault="00933FB9" w:rsidP="0033617D">
      <w:pPr>
        <w:pStyle w:val="FootnoteText"/>
        <w:ind w:left="360"/>
      </w:pPr>
      <w:r>
        <w:rPr>
          <w:rStyle w:val="FootnoteReference"/>
        </w:rPr>
        <w:footnoteRef/>
      </w:r>
      <w:r>
        <w:t xml:space="preserve"> This value is calculated as 1,318 MW – 1,310 MW = 8 MW.</w:t>
      </w:r>
    </w:p>
  </w:footnote>
  <w:footnote w:id="15">
    <w:p w14:paraId="16916987" w14:textId="386BED63" w:rsidR="00933FB9" w:rsidRPr="0053138D" w:rsidRDefault="00933FB9" w:rsidP="0053138D">
      <w:pPr>
        <w:pStyle w:val="FootnoteText"/>
        <w:ind w:left="0" w:firstLine="0"/>
        <w:rPr>
          <w:rFonts w:ascii="Franklin Gothic Book" w:eastAsia="Arial Narrow" w:hAnsi="Franklin Gothic Book"/>
          <w:bCs/>
          <w:sz w:val="18"/>
          <w:szCs w:val="22"/>
          <w:lang w:bidi="ar-SA"/>
        </w:rPr>
      </w:pPr>
      <w:r>
        <w:rPr>
          <w:rStyle w:val="FootnoteReference"/>
        </w:rPr>
        <w:footnoteRef/>
      </w:r>
      <w:r>
        <w:t xml:space="preserve"> </w:t>
      </w:r>
      <w:r w:rsidRPr="0053138D">
        <w:rPr>
          <w:rFonts w:ascii="Franklin Gothic Book" w:eastAsia="Arial Narrow" w:hAnsi="Franklin Gothic Book"/>
          <w:bCs/>
          <w:sz w:val="18"/>
          <w:szCs w:val="22"/>
          <w:lang w:bidi="ar-SA"/>
        </w:rPr>
        <w:t>The vortex hit in earnest in early January 2014. On Jan 7, the high in Central Park was 4 degrees F, breaking a low record set in 1896.</w:t>
      </w:r>
    </w:p>
  </w:footnote>
  <w:footnote w:id="16">
    <w:p w14:paraId="6E6B36C1" w14:textId="77777777" w:rsidR="00933FB9" w:rsidRDefault="00933FB9" w:rsidP="00991888">
      <w:pPr>
        <w:autoSpaceDE w:val="0"/>
        <w:autoSpaceDN w:val="0"/>
        <w:adjustRightInd w:val="0"/>
        <w:spacing w:after="0"/>
        <w:ind w:left="0" w:firstLine="0"/>
        <w:rPr>
          <w:rFonts w:ascii="Times New Roman" w:hAnsi="Times New Roman"/>
          <w:szCs w:val="20"/>
          <w:lang w:bidi="ar-SA"/>
        </w:rPr>
      </w:pPr>
      <w:r>
        <w:rPr>
          <w:rStyle w:val="FootnoteReference"/>
        </w:rPr>
        <w:footnoteRef/>
      </w:r>
      <w:r>
        <w:t xml:space="preserve"> </w:t>
      </w:r>
      <w:r>
        <w:rPr>
          <w:rFonts w:ascii="Times New Roman" w:hAnsi="Times New Roman"/>
          <w:szCs w:val="20"/>
          <w:lang w:bidi="ar-SA"/>
        </w:rPr>
        <w:t xml:space="preserve">2019 Laws of New York, </w:t>
      </w:r>
      <w:r>
        <w:rPr>
          <w:rFonts w:ascii="Times New Roman" w:hAnsi="Times New Roman"/>
          <w:szCs w:val="20"/>
          <w:lang w:bidi="ar-SA"/>
        </w:rPr>
        <w:t>ch. 106. The CLCPA requires that seventy percent of energy consumed in New</w:t>
      </w:r>
    </w:p>
    <w:p w14:paraId="222071E4" w14:textId="77777777" w:rsidR="00933FB9" w:rsidRDefault="00933FB9" w:rsidP="00991888">
      <w:pPr>
        <w:autoSpaceDE w:val="0"/>
        <w:autoSpaceDN w:val="0"/>
        <w:adjustRightInd w:val="0"/>
        <w:spacing w:after="0"/>
        <w:ind w:left="0" w:firstLine="0"/>
        <w:rPr>
          <w:rFonts w:ascii="Times New Roman" w:hAnsi="Times New Roman"/>
          <w:szCs w:val="20"/>
          <w:lang w:bidi="ar-SA"/>
        </w:rPr>
      </w:pPr>
      <w:r>
        <w:rPr>
          <w:rFonts w:ascii="Times New Roman" w:hAnsi="Times New Roman"/>
          <w:szCs w:val="20"/>
          <w:lang w:bidi="ar-SA"/>
        </w:rPr>
        <w:t>York State be produced by renewable resources by 2030. By 2040 energy consumed must be completely emissions</w:t>
      </w:r>
    </w:p>
    <w:p w14:paraId="51BE0155" w14:textId="77777777" w:rsidR="00933FB9" w:rsidRDefault="00933FB9" w:rsidP="00991888">
      <w:pPr>
        <w:autoSpaceDE w:val="0"/>
        <w:autoSpaceDN w:val="0"/>
        <w:adjustRightInd w:val="0"/>
        <w:spacing w:after="0"/>
        <w:ind w:left="0" w:firstLine="0"/>
        <w:rPr>
          <w:rFonts w:ascii="Times New Roman" w:hAnsi="Times New Roman"/>
          <w:szCs w:val="20"/>
          <w:lang w:bidi="ar-SA"/>
        </w:rPr>
      </w:pPr>
      <w:r>
        <w:rPr>
          <w:rFonts w:ascii="Times New Roman" w:hAnsi="Times New Roman"/>
          <w:szCs w:val="20"/>
          <w:lang w:bidi="ar-SA"/>
        </w:rPr>
        <w:t>free.</w:t>
      </w:r>
    </w:p>
    <w:p w14:paraId="58E804CB" w14:textId="782AA9A7" w:rsidR="00933FB9" w:rsidRDefault="00933FB9" w:rsidP="00641F71">
      <w:pPr>
        <w:pStyle w:val="FootnoteText"/>
        <w:ind w:left="0" w:firstLine="0"/>
      </w:pPr>
    </w:p>
  </w:footnote>
  <w:footnote w:id="17">
    <w:p w14:paraId="030E3A4C" w14:textId="62DB9956" w:rsidR="00933FB9" w:rsidRDefault="00933FB9">
      <w:pPr>
        <w:pStyle w:val="FootnoteText"/>
      </w:pPr>
      <w:r>
        <w:rPr>
          <w:rStyle w:val="FootnoteReference"/>
        </w:rPr>
        <w:footnoteRef/>
      </w:r>
      <w:r>
        <w:t xml:space="preserve"> 6 NYCRR Part 227-3. </w:t>
      </w:r>
      <w:r w:rsidRPr="00DE5719">
        <w:rPr>
          <w:i/>
        </w:rPr>
        <w:t xml:space="preserve">See </w:t>
      </w:r>
      <w:r w:rsidRPr="00DE5719">
        <w:t>https://casetext.com/regulation/new-york-codes-rules-and-regulations/title-6-department-of-environmental-conservation/chapter-iii-air-resources/subchapter-a-prevention-and-control-of-air-contamination-and-air-pollution/part-227-stationary-combustion-installations/subpart-227-3-ozone-season-oxides-of-nitrogen-nox-emission-limits-for-simple-cycle-and-regenerative-combustion-turbines</w:t>
      </w:r>
    </w:p>
  </w:footnote>
  <w:footnote w:id="18">
    <w:p w14:paraId="26C17D9B" w14:textId="00F4201B" w:rsidR="00933FB9" w:rsidRPr="00DE5719" w:rsidRDefault="00933FB9">
      <w:pPr>
        <w:pStyle w:val="FootnoteText"/>
        <w:rPr>
          <w:rFonts w:asciiTheme="majorHAnsi" w:hAnsiTheme="majorHAnsi"/>
        </w:rPr>
      </w:pPr>
      <w:r w:rsidRPr="00DE5719">
        <w:rPr>
          <w:rStyle w:val="FootnoteReference"/>
          <w:rFonts w:asciiTheme="majorHAnsi" w:hAnsiTheme="majorHAnsi"/>
        </w:rPr>
        <w:footnoteRef/>
      </w:r>
      <w:r w:rsidRPr="00DE5719">
        <w:rPr>
          <w:rFonts w:asciiTheme="majorHAnsi" w:hAnsiTheme="majorHAnsi"/>
        </w:rPr>
        <w:t xml:space="preserve"> https://www1.nyc.gov/assets/sustainability/downloads/pdf/publications/Carbon-Neutral-NYC.pdf</w:t>
      </w:r>
    </w:p>
  </w:footnote>
  <w:footnote w:id="19">
    <w:p w14:paraId="438866E1" w14:textId="5F0264BE" w:rsidR="00933FB9" w:rsidRDefault="00933FB9" w:rsidP="00712742">
      <w:pPr>
        <w:pStyle w:val="FootnoteText"/>
      </w:pPr>
      <w:r>
        <w:rPr>
          <w:rStyle w:val="FootnoteReference"/>
        </w:rPr>
        <w:footnoteRef/>
      </w:r>
      <w:r>
        <w:t xml:space="preserve"> North American Electric Reliability Corporation, Integrating Inverter-Based Resources into Low Short Circuit Strength Systems Reliability Guideline, dated December 2017.</w:t>
      </w:r>
    </w:p>
  </w:footnote>
  <w:footnote w:id="20">
    <w:p w14:paraId="0DEBB376" w14:textId="47089524" w:rsidR="00933FB9" w:rsidRDefault="00933FB9" w:rsidP="00D229FC">
      <w:pPr>
        <w:pStyle w:val="FootnoteText"/>
      </w:pPr>
      <w:r>
        <w:rPr>
          <w:rStyle w:val="FootnoteReference"/>
        </w:rPr>
        <w:footnoteRef/>
      </w:r>
      <w:r>
        <w:t xml:space="preserve"> </w:t>
      </w:r>
      <w:r>
        <w:t>North American Electric Reliability Corporation, Short-Circuit Modeling and System Strength, dated February 2018.</w:t>
      </w:r>
    </w:p>
  </w:footnote>
  <w:footnote w:id="21">
    <w:p w14:paraId="2CCC0258" w14:textId="333FCC0B" w:rsidR="00933FB9" w:rsidRDefault="00933FB9" w:rsidP="00D229FC">
      <w:pPr>
        <w:pStyle w:val="FootnoteText"/>
      </w:pPr>
      <w:r>
        <w:rPr>
          <w:rStyle w:val="FootnoteReference"/>
        </w:rPr>
        <w:footnoteRef/>
      </w:r>
      <w:r>
        <w:t xml:space="preserve"> </w:t>
      </w:r>
      <w:hyperlink r:id="rId8" w:history="1">
        <w:r w:rsidRPr="001E3394">
          <w:rPr>
            <w:rStyle w:val="Hyperlink"/>
          </w:rPr>
          <w:t>Avangrid Electric Transmission Planning Manual</w:t>
        </w:r>
      </w:hyperlink>
      <w:r>
        <w:t>, Technical Manual TM 1.2.00, dated June 29, 2019.</w:t>
      </w:r>
    </w:p>
  </w:footnote>
  <w:footnote w:id="22">
    <w:p w14:paraId="3C7B7C48" w14:textId="2588453A" w:rsidR="00933FB9" w:rsidRDefault="00933FB9">
      <w:pPr>
        <w:pStyle w:val="FootnoteText"/>
      </w:pPr>
      <w:r>
        <w:rPr>
          <w:rStyle w:val="FootnoteReference"/>
        </w:rPr>
        <w:footnoteRef/>
      </w:r>
      <w:r>
        <w:t xml:space="preserve">  Page 13 of the Climate Change Impact and Resilience Study – Phase II</w:t>
      </w:r>
    </w:p>
    <w:p w14:paraId="77D488BA" w14:textId="58B502DB" w:rsidR="00933FB9" w:rsidRDefault="0008271B">
      <w:pPr>
        <w:pStyle w:val="FootnoteText"/>
      </w:pPr>
      <w:hyperlink r:id="rId9" w:history="1">
        <w:r w:rsidR="00933FB9" w:rsidRPr="00B27D82">
          <w:rPr>
            <w:rStyle w:val="Hyperlink"/>
          </w:rPr>
          <w:t>https://www.nyiso.com/documents/20142/10773574/NYISO-Climate-Impact-Study-Phase-2-Report.pdf</w:t>
        </w:r>
      </w:hyperlink>
    </w:p>
  </w:footnote>
  <w:footnote w:id="23">
    <w:p w14:paraId="56317D41" w14:textId="4B9540F3" w:rsidR="00933FB9" w:rsidRDefault="00933FB9">
      <w:pPr>
        <w:pStyle w:val="FootnoteText"/>
      </w:pPr>
      <w:r>
        <w:rPr>
          <w:rStyle w:val="FootnoteReference"/>
        </w:rPr>
        <w:footnoteRef/>
      </w:r>
      <w:r>
        <w:t xml:space="preserve"> C</w:t>
      </w:r>
      <w:r w:rsidRPr="00641F71">
        <w:t>ommissioned by the NYC Mayor’s Office of Sustainability (MOS), Con Edison, and National Grid</w:t>
      </w:r>
      <w:r>
        <w:t>: [</w:t>
      </w:r>
      <w:hyperlink r:id="rId10" w:history="1">
        <w:r w:rsidRPr="00BC0D7A">
          <w:rPr>
            <w:rStyle w:val="Hyperlink"/>
          </w:rPr>
          <w:t>link</w:t>
        </w:r>
      </w:hyperlink>
      <w:r>
        <w:t xml:space="preserve">] </w:t>
      </w:r>
    </w:p>
  </w:footnote>
  <w:footnote w:id="24">
    <w:p w14:paraId="5E8E5329" w14:textId="0C89A984" w:rsidR="00933FB9" w:rsidRDefault="00933FB9">
      <w:pPr>
        <w:pStyle w:val="FootnoteText"/>
      </w:pPr>
      <w:r>
        <w:rPr>
          <w:rStyle w:val="FootnoteReference"/>
        </w:rPr>
        <w:footnoteRef/>
      </w:r>
      <w:r>
        <w:t xml:space="preserve"> 2020 Laws of N.Y. Ch. 58, Part JJJ. </w:t>
      </w:r>
    </w:p>
  </w:footnote>
  <w:footnote w:id="25">
    <w:p w14:paraId="47C103A8" w14:textId="795DE07A" w:rsidR="00933FB9" w:rsidRDefault="00933FB9">
      <w:pPr>
        <w:pStyle w:val="FootnoteText"/>
      </w:pPr>
      <w:r>
        <w:rPr>
          <w:rStyle w:val="FootnoteReference"/>
        </w:rPr>
        <w:footnoteRef/>
      </w:r>
      <w:r>
        <w:t xml:space="preserve"> PSC Case 20-E-0197, Proceeding on Motion of the Commission to Implement Transmission Planning Pursuant to the Accelerated Renewable Energy Growth and Community Benefit Act, </w:t>
      </w:r>
      <w:r w:rsidRPr="00BF61A4">
        <w:rPr>
          <w:i/>
        </w:rPr>
        <w:t>Order on Priority Transmission Projects</w:t>
      </w:r>
      <w:r>
        <w:t xml:space="preserve"> (October 16, 2020). </w:t>
      </w:r>
    </w:p>
  </w:footnote>
  <w:footnote w:id="26">
    <w:p w14:paraId="47AD39B1" w14:textId="3CC023A3" w:rsidR="00933FB9" w:rsidRDefault="00933FB9" w:rsidP="00A20A49">
      <w:pPr>
        <w:pStyle w:val="FootnoteText"/>
      </w:pPr>
      <w:r>
        <w:rPr>
          <w:rStyle w:val="FootnoteReference"/>
        </w:rPr>
        <w:footnoteRef/>
      </w:r>
      <w:r w:rsidRPr="002B1B27">
        <w:rPr>
          <w:i/>
        </w:rPr>
        <w:t xml:space="preserve"> See</w:t>
      </w:r>
      <w:r>
        <w:t xml:space="preserve"> </w:t>
      </w:r>
      <w:hyperlink r:id="rId11" w:history="1">
        <w:r w:rsidRPr="00077084">
          <w:rPr>
            <w:rStyle w:val="Hyperlink"/>
          </w:rPr>
          <w:t>https://www.nyiso.com/documents/20142/18663846/20210119-NYISOCommentsCase20E0197-complete.pdf</w:t>
        </w:r>
      </w:hyperlink>
      <w:r>
        <w:t xml:space="preserve"> </w:t>
      </w:r>
    </w:p>
  </w:footnote>
  <w:footnote w:id="27">
    <w:p w14:paraId="19CEEDAB" w14:textId="07E42ED6" w:rsidR="00933FB9" w:rsidRDefault="00933FB9">
      <w:pPr>
        <w:pStyle w:val="FootnoteText"/>
      </w:pPr>
      <w:r>
        <w:rPr>
          <w:rStyle w:val="FootnoteReference"/>
        </w:rPr>
        <w:footnoteRef/>
      </w:r>
      <w:r w:rsidRPr="0033514E">
        <w:rPr>
          <w:i/>
        </w:rPr>
        <w:t xml:space="preserve"> See</w:t>
      </w:r>
      <w:r>
        <w:t xml:space="preserve"> </w:t>
      </w:r>
      <w:hyperlink r:id="rId12" w:history="1">
        <w:r w:rsidRPr="00AA74AF">
          <w:rPr>
            <w:rStyle w:val="Hyperlink"/>
          </w:rPr>
          <w:t>https://www.nyiso.com/documents/20142/18663846/20210119-NYISOCommentsCase20E0197-complete.pdf</w:t>
        </w:r>
      </w:hyperlink>
    </w:p>
  </w:footnote>
  <w:footnote w:id="28">
    <w:p w14:paraId="7078A58B" w14:textId="79B15F62" w:rsidR="00933FB9" w:rsidRDefault="00933FB9">
      <w:pPr>
        <w:pStyle w:val="FootnoteText"/>
      </w:pPr>
      <w:r>
        <w:rPr>
          <w:rStyle w:val="FootnoteReference"/>
        </w:rPr>
        <w:footnoteRef/>
      </w:r>
      <w:r>
        <w:t xml:space="preserve"> Case No. 20-E-0497 and Case No. 18-E-0623, </w:t>
      </w:r>
      <w:r w:rsidRPr="00DF1097">
        <w:rPr>
          <w:i/>
        </w:rPr>
        <w:t xml:space="preserve">Order Addressing Public Policy Requirements for Transmission Planning Purposes </w:t>
      </w:r>
      <w:r>
        <w:t>(March 19, 2021).</w:t>
      </w:r>
    </w:p>
  </w:footnote>
  <w:footnote w:id="29">
    <w:p w14:paraId="1652776C" w14:textId="77777777" w:rsidR="00933FB9" w:rsidRDefault="00933FB9" w:rsidP="003C79D6">
      <w:pPr>
        <w:pStyle w:val="caption10"/>
      </w:pPr>
      <w:r>
        <w:rPr>
          <w:rStyle w:val="FootnoteReference"/>
        </w:rPr>
        <w:footnoteRef/>
      </w:r>
      <w:r>
        <w:t xml:space="preserve"> </w:t>
      </w:r>
      <w:hyperlink r:id="rId13" w:history="1">
        <w:r w:rsidRPr="003435E8">
          <w:rPr>
            <w:rStyle w:val="Hyperlink"/>
          </w:rPr>
          <w:t>https://www.dec.ny.gov/regulations/116131.html</w:t>
        </w:r>
      </w:hyperlink>
    </w:p>
  </w:footnote>
  <w:footnote w:id="30">
    <w:p w14:paraId="3DBADDCD" w14:textId="77777777" w:rsidR="0028239F" w:rsidRDefault="0028239F" w:rsidP="0028239F">
      <w:pPr>
        <w:pStyle w:val="Footnote"/>
      </w:pPr>
      <w:r>
        <w:rPr>
          <w:rStyle w:val="FootnoteReference"/>
        </w:rPr>
        <w:footnoteRef/>
      </w:r>
      <w:r>
        <w:t xml:space="preserve"> No generation pockets in Zone J and Zone K are modeled in detail in MARS.</w:t>
      </w:r>
    </w:p>
  </w:footnote>
  <w:footnote w:id="31">
    <w:p w14:paraId="702C6881" w14:textId="77777777" w:rsidR="00933FB9" w:rsidRDefault="00933FB9" w:rsidP="00944AD5">
      <w:pPr>
        <w:pStyle w:val="FootnoteText"/>
      </w:pPr>
      <w:r>
        <w:rPr>
          <w:rStyle w:val="FootnoteReference"/>
        </w:rPr>
        <w:footnoteRef/>
      </w:r>
      <w:r>
        <w:t xml:space="preserve"> </w:t>
      </w:r>
      <w:r w:rsidRPr="00D87813">
        <w:rPr>
          <w:rFonts w:ascii="Franklin Gothic Book" w:hAnsi="Franklin Gothic Book"/>
          <w:sz w:val="14"/>
          <w:szCs w:val="14"/>
        </w:rPr>
        <w:t xml:space="preserve">NREL’s </w:t>
      </w:r>
      <w:r w:rsidRPr="00D87813">
        <w:rPr>
          <w:rFonts w:ascii="Franklin Gothic Book" w:hAnsi="Franklin Gothic Book"/>
          <w:sz w:val="14"/>
          <w:szCs w:val="14"/>
        </w:rPr>
        <w:t>PVWatts Calculator</w:t>
      </w:r>
      <w:r>
        <w:rPr>
          <w:rFonts w:ascii="Franklin Gothic Book" w:hAnsi="Franklin Gothic Book"/>
          <w:sz w:val="14"/>
          <w:szCs w:val="14"/>
        </w:rPr>
        <w:t xml:space="preserve">, </w:t>
      </w:r>
      <w:r w:rsidRPr="00D87813">
        <w:rPr>
          <w:rFonts w:ascii="Franklin Gothic Book" w:hAnsi="Franklin Gothic Book"/>
          <w:sz w:val="14"/>
          <w:szCs w:val="14"/>
        </w:rPr>
        <w:t xml:space="preserve">credit </w:t>
      </w:r>
      <w:r>
        <w:rPr>
          <w:rFonts w:ascii="Franklin Gothic Book" w:hAnsi="Franklin Gothic Book"/>
          <w:sz w:val="14"/>
          <w:szCs w:val="14"/>
        </w:rPr>
        <w:t xml:space="preserve">of </w:t>
      </w:r>
      <w:r w:rsidRPr="00D87813">
        <w:rPr>
          <w:rFonts w:ascii="Franklin Gothic Book" w:hAnsi="Franklin Gothic Book"/>
          <w:sz w:val="14"/>
          <w:szCs w:val="14"/>
        </w:rPr>
        <w:t xml:space="preserve">the U.S. Department </w:t>
      </w:r>
      <w:r>
        <w:rPr>
          <w:rFonts w:ascii="Franklin Gothic Book" w:hAnsi="Franklin Gothic Book"/>
          <w:sz w:val="14"/>
          <w:szCs w:val="14"/>
        </w:rPr>
        <w:t>of</w:t>
      </w:r>
      <w:r w:rsidRPr="00D87813">
        <w:rPr>
          <w:rFonts w:ascii="Franklin Gothic Book" w:hAnsi="Franklin Gothic Book"/>
          <w:sz w:val="14"/>
          <w:szCs w:val="14"/>
        </w:rPr>
        <w:t xml:space="preserve"> Energy (DOE)/NREL/Alliance (Alliance for Sustainable Energy, LLC)</w:t>
      </w:r>
      <w:r>
        <w:rPr>
          <w:rFonts w:ascii="Franklin Gothic Book" w:hAnsi="Franklin Gothic Book"/>
          <w:sz w:val="14"/>
          <w:szCs w:val="14"/>
        </w:rPr>
        <w:t>.</w:t>
      </w:r>
    </w:p>
  </w:footnote>
  <w:footnote w:id="32">
    <w:p w14:paraId="43B33966" w14:textId="77777777" w:rsidR="00933FB9" w:rsidRDefault="00933FB9" w:rsidP="00FF49F1">
      <w:pPr>
        <w:pStyle w:val="FootnoteText"/>
        <w:ind w:left="360"/>
      </w:pPr>
      <w:r>
        <w:rPr>
          <w:rStyle w:val="FootnoteReference"/>
          <w:rFonts w:eastAsia="Arial Narrow"/>
        </w:rPr>
        <w:footnoteRef/>
      </w:r>
      <w:r>
        <w:t xml:space="preserve"> </w:t>
      </w:r>
      <w:hyperlink r:id="rId14" w:history="1">
        <w:r w:rsidRPr="00A766A8">
          <w:rPr>
            <w:rStyle w:val="Hyperlink"/>
          </w:rPr>
          <w:t>https://www.nyiso.com/documents/20142/3691300/Summer-2020-Operating-Study-Draft-Final-OC-Approved.pdf/</w:t>
        </w:r>
      </w:hyperlink>
      <w:r>
        <w:t xml:space="preserve"> </w:t>
      </w:r>
    </w:p>
  </w:footnote>
  <w:footnote w:id="33">
    <w:p w14:paraId="4DADC982" w14:textId="77777777" w:rsidR="00933FB9" w:rsidRDefault="00933FB9" w:rsidP="00FF49F1">
      <w:pPr>
        <w:pStyle w:val="FootnoteText"/>
        <w:ind w:left="360"/>
      </w:pPr>
      <w:r>
        <w:rPr>
          <w:rStyle w:val="FootnoteReference"/>
        </w:rPr>
        <w:footnoteRef/>
      </w:r>
      <w:r>
        <w:t xml:space="preserve"> This value is calculated as 1,318 MW – 1,310 MW = 8 MW.</w:t>
      </w:r>
    </w:p>
  </w:footnote>
  <w:footnote w:id="34">
    <w:p w14:paraId="1F1856B2" w14:textId="77777777" w:rsidR="00933FB9" w:rsidRDefault="00933FB9" w:rsidP="00FF49F1">
      <w:pPr>
        <w:pStyle w:val="FootnoteText"/>
      </w:pPr>
      <w:r>
        <w:rPr>
          <w:rStyle w:val="FootnoteReference"/>
          <w:rFonts w:eastAsia="Arial Narrow"/>
        </w:rPr>
        <w:footnoteRef/>
      </w:r>
      <w:r>
        <w:t xml:space="preserve"> Con Edison, </w:t>
      </w:r>
      <w:hyperlink r:id="rId15" w:history="1">
        <w:r w:rsidRPr="00BC5E3D">
          <w:rPr>
            <w:rStyle w:val="Hyperlink"/>
          </w:rPr>
          <w:t>TP-7100-18 Transmission Planning Criteria</w:t>
        </w:r>
      </w:hyperlink>
      <w:r>
        <w:t>, dated August 2019.</w:t>
      </w:r>
    </w:p>
  </w:footnote>
  <w:footnote w:id="35">
    <w:p w14:paraId="03C2B5AC" w14:textId="77777777" w:rsidR="00933FB9" w:rsidRDefault="00933FB9" w:rsidP="00FF49F1">
      <w:pPr>
        <w:pStyle w:val="FootnoteText"/>
      </w:pPr>
      <w:r>
        <w:rPr>
          <w:rStyle w:val="FootnoteReference"/>
          <w:rFonts w:eastAsia="Arial Narrow"/>
        </w:rPr>
        <w:footnoteRef/>
      </w:r>
      <w:r>
        <w:t xml:space="preserve"> </w:t>
      </w:r>
      <w:hyperlink r:id="rId16" w:history="1">
        <w:r w:rsidRPr="00DA16FE">
          <w:rPr>
            <w:rStyle w:val="Hyperlink"/>
          </w:rPr>
          <w:t>https://www.nyiso.com/documents/20142/19415353/07 2020-2021RPP_PostRNABaseCaseUpdates.pdf/</w:t>
        </w:r>
      </w:hyperlink>
      <w:r>
        <w:t xml:space="preserve"> </w:t>
      </w:r>
    </w:p>
  </w:footnote>
  <w:footnote w:id="36">
    <w:p w14:paraId="4AA7D38A" w14:textId="77777777" w:rsidR="00E93357" w:rsidRPr="00034BC6" w:rsidRDefault="00E93357" w:rsidP="00E93357">
      <w:pPr>
        <w:pStyle w:val="BodyText"/>
        <w:spacing w:line="240" w:lineRule="auto"/>
        <w:jc w:val="left"/>
        <w:rPr>
          <w:sz w:val="20"/>
          <w:szCs w:val="20"/>
        </w:rPr>
      </w:pPr>
      <w:r>
        <w:rPr>
          <w:rStyle w:val="FootnoteReference"/>
        </w:rPr>
        <w:footnoteRef/>
      </w:r>
      <w:r>
        <w:t xml:space="preserve"> </w:t>
      </w:r>
      <w:r w:rsidRPr="00034BC6">
        <w:rPr>
          <w:sz w:val="20"/>
          <w:szCs w:val="20"/>
        </w:rPr>
        <w:t xml:space="preserve">In 2020, the New York State Department of Environmental Conservation adopted a regulation to limit nitrogen oxides (NOx) emissions from simple-cycle combustion turbines (“Peaking Units”) (referred to as the “Peaker Rule”). </w:t>
      </w:r>
      <w:r>
        <w:rPr>
          <w:sz w:val="20"/>
          <w:szCs w:val="20"/>
        </w:rPr>
        <w:t xml:space="preserve"> 6 NYCRR Part 227-3.  </w:t>
      </w:r>
      <w:r w:rsidRPr="0033514E">
        <w:rPr>
          <w:i/>
          <w:sz w:val="20"/>
          <w:szCs w:val="20"/>
        </w:rPr>
        <w:t>See</w:t>
      </w:r>
      <w:r>
        <w:rPr>
          <w:sz w:val="20"/>
          <w:szCs w:val="20"/>
        </w:rPr>
        <w:t xml:space="preserve"> </w:t>
      </w:r>
      <w:hyperlink r:id="rId17" w:history="1">
        <w:r w:rsidRPr="00F110FF">
          <w:rPr>
            <w:rStyle w:val="Hyperlink"/>
            <w:sz w:val="20"/>
            <w:szCs w:val="20"/>
          </w:rPr>
          <w:t>https://govt.westlaw.com/nycrr/Browse/Home/NewYork/NewYorkCodesRulesandRegulations?guid=I9e8759705fd311eaa71dc9fbe3ec8164&amp;originationContext=documenttoc&amp;transitionType=Default&amp;contextData=(sc.Default)&amp;bhcp=1</w:t>
        </w:r>
      </w:hyperlink>
      <w:r>
        <w:rPr>
          <w:sz w:val="20"/>
          <w:szCs w:val="20"/>
        </w:rPr>
        <w:t xml:space="preserve">  </w:t>
      </w:r>
      <w:r w:rsidRPr="00034BC6">
        <w:rPr>
          <w:sz w:val="20"/>
          <w:szCs w:val="20"/>
        </w:rPr>
        <w:t xml:space="preserve">The Peaker Rule required all impacted plant owners to file compliance plans by March 2, 2020.  </w:t>
      </w:r>
    </w:p>
    <w:p w14:paraId="236B42C1" w14:textId="77777777" w:rsidR="00E93357" w:rsidRDefault="00E93357" w:rsidP="00E93357">
      <w:pPr>
        <w:pStyle w:val="FootnoteText"/>
      </w:pPr>
    </w:p>
  </w:footnote>
  <w:footnote w:id="37">
    <w:p w14:paraId="59AFC2DE" w14:textId="77777777" w:rsidR="00933FB9" w:rsidRDefault="00933FB9" w:rsidP="001752D6">
      <w:pPr>
        <w:pStyle w:val="FootnoteText"/>
      </w:pPr>
      <w:r>
        <w:rPr>
          <w:rStyle w:val="FootnoteReference"/>
        </w:rPr>
        <w:footnoteRef/>
      </w:r>
      <w:r>
        <w:t xml:space="preserve"> We currently simulate 2000 replications per study year and load level (7 load bins), for a total of 14,000 replications per study year.  Weighted average is based on load bin probability, total </w:t>
      </w:r>
      <w:r>
        <w:t>bin  event days, and total number of replications.</w:t>
      </w:r>
    </w:p>
  </w:footnote>
  <w:footnote w:id="38">
    <w:p w14:paraId="46D3A42D" w14:textId="77777777" w:rsidR="00933FB9" w:rsidRDefault="00933FB9" w:rsidP="001752D6">
      <w:pPr>
        <w:pStyle w:val="FootnoteText"/>
      </w:pPr>
      <w:r>
        <w:rPr>
          <w:rStyle w:val="FootnoteReference"/>
        </w:rPr>
        <w:footnoteRef/>
      </w:r>
      <w:r>
        <w:t xml:space="preserve"> NYSRC’s “Resource Adequacy Metrics and their Application”: </w:t>
      </w:r>
      <w:hyperlink r:id="rId18" w:history="1">
        <w:r w:rsidRPr="00DC4349">
          <w:rPr>
            <w:rStyle w:val="Hyperlink"/>
          </w:rPr>
          <w:t>https://www.nysrc.org/PDF/Reports/Resource%20Adequacy%20Metric%20Report%20Final%204-20-2020[6431].pdf</w:t>
        </w:r>
      </w:hyperlink>
      <w:r>
        <w:t xml:space="preserve"> </w:t>
      </w:r>
    </w:p>
  </w:footnote>
  <w:footnote w:id="39">
    <w:p w14:paraId="404E30E8" w14:textId="77777777" w:rsidR="00933FB9" w:rsidRDefault="00933FB9" w:rsidP="001752D6">
      <w:pPr>
        <w:pStyle w:val="FootnoteText"/>
      </w:pPr>
      <w:r>
        <w:rPr>
          <w:rStyle w:val="FootnoteReference"/>
        </w:rPr>
        <w:footnoteRef/>
      </w:r>
      <w:r>
        <w:t xml:space="preserve"> NYSRC’s “Resource Adequacy Metrics and their Application”: </w:t>
      </w:r>
      <w:hyperlink r:id="rId19" w:history="1">
        <w:r w:rsidRPr="00DC4349">
          <w:rPr>
            <w:rStyle w:val="Hyperlink"/>
          </w:rPr>
          <w:t>https://www.nysrc.org/PDF/Reports/Resource%20Adequacy%20Metric%20Report%20Final%204-20-2020[6431].pdf</w:t>
        </w:r>
      </w:hyperlink>
      <w:r>
        <w:t xml:space="preserve"> </w:t>
      </w:r>
    </w:p>
  </w:footnote>
  <w:footnote w:id="40">
    <w:p w14:paraId="1F410719" w14:textId="77777777" w:rsidR="00933FB9" w:rsidRDefault="00933FB9" w:rsidP="00E66CCA">
      <w:pPr>
        <w:pStyle w:val="FootnoteText"/>
      </w:pPr>
      <w:r>
        <w:rPr>
          <w:rStyle w:val="FootnoteReference"/>
        </w:rPr>
        <w:footnoteRef/>
      </w:r>
      <w:r>
        <w:t xml:space="preserve"> </w:t>
      </w:r>
      <w:hyperlink r:id="rId20" w:history="1">
        <w:r w:rsidRPr="00AA2934">
          <w:rPr>
            <w:rStyle w:val="Hyperlink"/>
          </w:rPr>
          <w:t>https://www.nyiso.com/documents/20142/2248793/2020-RNAReport-Nov2020.pdf/</w:t>
        </w:r>
      </w:hyperlink>
      <w:r>
        <w:t xml:space="preserve"> </w:t>
      </w:r>
    </w:p>
  </w:footnote>
  <w:footnote w:id="41">
    <w:p w14:paraId="1CBA1935" w14:textId="77777777" w:rsidR="00933FB9" w:rsidRDefault="00933FB9" w:rsidP="00E66CCA">
      <w:pPr>
        <w:pStyle w:val="FootnoteText"/>
      </w:pPr>
      <w:r>
        <w:rPr>
          <w:rStyle w:val="FootnoteReference"/>
        </w:rPr>
        <w:footnoteRef/>
      </w:r>
      <w:r>
        <w:t xml:space="preserve"> </w:t>
      </w:r>
      <w:hyperlink r:id="rId21" w:history="1">
        <w:r w:rsidRPr="00AA2934">
          <w:rPr>
            <w:rStyle w:val="Hyperlink"/>
          </w:rPr>
          <w:t>https://www.nyiso.com/documents/20142/2226108/2019-CARIS-Phase1-Report-Final.pdf/</w:t>
        </w:r>
      </w:hyperlink>
      <w:r>
        <w:t xml:space="preserve"> </w:t>
      </w:r>
    </w:p>
  </w:footnote>
  <w:footnote w:id="42">
    <w:p w14:paraId="2A65D8E7" w14:textId="77777777" w:rsidR="00933FB9" w:rsidRDefault="00933FB9" w:rsidP="00E66CCA">
      <w:pPr>
        <w:pStyle w:val="FootnoteText"/>
        <w:rPr>
          <w:rFonts w:asciiTheme="minorHAnsi" w:hAnsiTheme="minorHAnsi" w:cstheme="minorBidi"/>
        </w:rPr>
      </w:pPr>
      <w:r>
        <w:rPr>
          <w:rStyle w:val="FootnoteReference"/>
        </w:rPr>
        <w:footnoteRef/>
      </w:r>
      <w:r>
        <w:t xml:space="preserve"> REGCA1 is a renewable energy generator/converter model and REECA1 is a generic renewable electrical control model.  As generators connect to the NYCA they are required to provide all relevant modeling data (such as dynamics modeling data) as documented in the NYISO Reliability Analysis Data Manual.</w:t>
      </w:r>
    </w:p>
  </w:footnote>
  <w:footnote w:id="43">
    <w:p w14:paraId="203ED6CF" w14:textId="77777777" w:rsidR="00933FB9" w:rsidRDefault="00933FB9" w:rsidP="00E66CCA">
      <w:pPr>
        <w:pStyle w:val="FootnoteText"/>
      </w:pPr>
      <w:r>
        <w:rPr>
          <w:rStyle w:val="FootnoteReference"/>
        </w:rPr>
        <w:footnoteRef/>
      </w:r>
      <w:r>
        <w:t xml:space="preserve"> New York Independent System Operator, Transmission Expansion and Interconnection Manual Guideline 3-1, dated December 2020</w:t>
      </w:r>
    </w:p>
  </w:footnote>
  <w:footnote w:id="44">
    <w:p w14:paraId="25C38237" w14:textId="3C43C25F" w:rsidR="00933FB9" w:rsidRDefault="00933FB9" w:rsidP="00E66CCA">
      <w:pPr>
        <w:pStyle w:val="FootnoteText"/>
      </w:pPr>
      <w:r>
        <w:rPr>
          <w:rStyle w:val="FootnoteReference"/>
        </w:rPr>
        <w:footnoteRef/>
      </w:r>
      <w:r>
        <w:t xml:space="preserve"> North American Electric Reliability Corporation, </w:t>
      </w:r>
      <w:hyperlink r:id="rId22" w:history="1">
        <w:r w:rsidRPr="005B7D3E">
          <w:rPr>
            <w:rStyle w:val="Hyperlink"/>
            <w:rFonts w:eastAsia="Arial Narrow"/>
          </w:rPr>
          <w:t>Essential Reliability Services Whitepaper on Sufficiency Guidelines</w:t>
        </w:r>
      </w:hyperlink>
      <w:r>
        <w:t>, dated December 2016.</w:t>
      </w:r>
    </w:p>
  </w:footnote>
  <w:footnote w:id="45">
    <w:p w14:paraId="5867489A" w14:textId="720539BF" w:rsidR="00933FB9" w:rsidRDefault="00933FB9" w:rsidP="00E66CCA">
      <w:pPr>
        <w:pStyle w:val="FootnoteText"/>
      </w:pPr>
      <w:r>
        <w:rPr>
          <w:rStyle w:val="FootnoteReference"/>
        </w:rPr>
        <w:footnoteRef/>
      </w:r>
      <w:r>
        <w:t xml:space="preserve"> New York Independent System Operator, Transmission and Dispatch Operations Manual (Manual 12), dated March 2021.</w:t>
      </w:r>
    </w:p>
  </w:footnote>
  <w:footnote w:id="46">
    <w:p w14:paraId="0D5926DF" w14:textId="5840FAFE" w:rsidR="00933FB9" w:rsidRDefault="00933FB9" w:rsidP="00E66CCA">
      <w:pPr>
        <w:pStyle w:val="FootnoteText"/>
      </w:pPr>
      <w:r>
        <w:rPr>
          <w:rStyle w:val="FootnoteReference"/>
        </w:rPr>
        <w:footnoteRef/>
      </w:r>
      <w:r>
        <w:t xml:space="preserve"> Under-Frequency Load Shedding is an extreme action taken to arrest declining frequency, assist recovery of frequency following under-frequency events and provide last resort system preservation measures.  See NERC Standards PRC-006 and PRC-006-NPCC. </w:t>
      </w:r>
    </w:p>
  </w:footnote>
  <w:footnote w:id="47">
    <w:p w14:paraId="3034F435" w14:textId="77777777" w:rsidR="00933FB9" w:rsidRDefault="00933FB9" w:rsidP="00E66CCA">
      <w:pPr>
        <w:pStyle w:val="FootnoteText"/>
      </w:pPr>
      <w:r>
        <w:rPr>
          <w:rStyle w:val="FootnoteReference"/>
        </w:rPr>
        <w:footnoteRef/>
      </w:r>
      <w:r>
        <w:t xml:space="preserve"> For New York this is 59.5 Hz.  See North American Electric Reliability Corporation Reliability Standard PRC-006-NPCC-2.</w:t>
      </w:r>
    </w:p>
  </w:footnote>
  <w:footnote w:id="48">
    <w:p w14:paraId="7A895BC2" w14:textId="77777777" w:rsidR="00933FB9" w:rsidRDefault="00933FB9" w:rsidP="00E66CCA">
      <w:pPr>
        <w:pStyle w:val="FootnoteText"/>
      </w:pPr>
      <w:r>
        <w:rPr>
          <w:rStyle w:val="FootnoteReference"/>
        </w:rPr>
        <w:footnoteRef/>
      </w:r>
      <w:r>
        <w:t xml:space="preserve"> North American Electric Reliability Corporation, </w:t>
      </w:r>
      <w:hyperlink r:id="rId23" w:history="1">
        <w:r w:rsidRPr="00A22051">
          <w:rPr>
            <w:rStyle w:val="Hyperlink"/>
            <w:rFonts w:eastAsia="Arial Narrow"/>
          </w:rPr>
          <w:t>Primary Frequency Control Reliability Guideline</w:t>
        </w:r>
      </w:hyperlink>
      <w:r>
        <w:t>, dated May 2019.</w:t>
      </w:r>
    </w:p>
  </w:footnote>
  <w:footnote w:id="49">
    <w:p w14:paraId="02921EC3" w14:textId="77777777" w:rsidR="00933FB9" w:rsidRDefault="00933FB9" w:rsidP="00E66CCA">
      <w:pPr>
        <w:pStyle w:val="FootnoteText"/>
      </w:pPr>
      <w:r>
        <w:rPr>
          <w:rStyle w:val="FootnoteReference"/>
        </w:rPr>
        <w:footnoteRef/>
      </w:r>
      <w:r>
        <w:t xml:space="preserve"> North American Electric Reliability Corporation, </w:t>
      </w:r>
      <w:hyperlink r:id="rId24" w:history="1">
        <w:r w:rsidRPr="00CB663B">
          <w:rPr>
            <w:rStyle w:val="Hyperlink"/>
            <w:rFonts w:eastAsia="Arial Narrow"/>
          </w:rPr>
          <w:t>The Reliability Role of Frequency Response</w:t>
        </w:r>
      </w:hyperlink>
      <w:r>
        <w:t>, dated October 30, 2012.</w:t>
      </w:r>
    </w:p>
  </w:footnote>
  <w:footnote w:id="50">
    <w:p w14:paraId="3AB2C6ED" w14:textId="362ABBFE" w:rsidR="00933FB9" w:rsidRDefault="00933FB9" w:rsidP="00E66CCA">
      <w:pPr>
        <w:pStyle w:val="FootnoteText"/>
      </w:pPr>
      <w:r>
        <w:rPr>
          <w:rStyle w:val="FootnoteReference"/>
        </w:rPr>
        <w:footnoteRef/>
      </w:r>
      <w:r>
        <w:t xml:space="preserve"> A machine’s inertia constant H is defined as the kinetic energy divided by the machine’s rating capacity.  The H constant is the time in units of seconds that it would take to deliver all of its stored kinetic energy to the power grid assuming that it is producing at rated power and speed.</w:t>
      </w:r>
    </w:p>
  </w:footnote>
  <w:footnote w:id="51">
    <w:p w14:paraId="778652C1" w14:textId="77777777" w:rsidR="00933FB9" w:rsidRDefault="00933FB9" w:rsidP="00E66CCA">
      <w:pPr>
        <w:pStyle w:val="FootnoteText"/>
      </w:pPr>
      <w:r>
        <w:rPr>
          <w:rStyle w:val="FootnoteReference"/>
        </w:rPr>
        <w:footnoteRef/>
      </w:r>
      <w:r>
        <w:t xml:space="preserve"> ERCOT, Inertia:  Basic Concepts and Impacts on the ERCOT Grid, dated 2018.  </w:t>
      </w:r>
      <w:hyperlink r:id="rId25" w:history="1">
        <w:r w:rsidRPr="00E23B53">
          <w:rPr>
            <w:rStyle w:val="Hyperlink"/>
          </w:rPr>
          <w:t>http://www.ercot.com/content/wcm/key_documents_lists/141324/Inertia_Basic_Concepts_Impacts_On_ERCOT_v0.pdf</w:t>
        </w:r>
      </w:hyperlink>
      <w:r>
        <w:t xml:space="preserve"> </w:t>
      </w:r>
    </w:p>
  </w:footnote>
  <w:footnote w:id="52">
    <w:p w14:paraId="7721B317" w14:textId="77777777" w:rsidR="00933FB9" w:rsidRDefault="00933FB9" w:rsidP="00E66CCA">
      <w:pPr>
        <w:pStyle w:val="FootnoteText"/>
      </w:pPr>
      <w:r>
        <w:rPr>
          <w:rStyle w:val="FootnoteReference"/>
        </w:rPr>
        <w:footnoteRef/>
      </w:r>
      <w:r>
        <w:t xml:space="preserve"> </w:t>
      </w:r>
      <w:r w:rsidRPr="00CE422A">
        <w:t>https://www.ferc.gov/sites/default/files/2020-06/Order-842.pdf</w:t>
      </w:r>
      <w:r>
        <w:t xml:space="preserve"> </w:t>
      </w:r>
      <w:hyperlink r:id="rId26" w:history="1">
        <w:r w:rsidRPr="00550209">
          <w:rPr>
            <w:rStyle w:val="Hyperlink"/>
          </w:rPr>
          <w:t>https://www.ferc.gov/sites/default/files/2020-06/Order-842.pdf</w:t>
        </w:r>
      </w:hyperlink>
    </w:p>
    <w:p w14:paraId="62E078A8" w14:textId="77777777" w:rsidR="00933FB9" w:rsidRDefault="00933FB9" w:rsidP="00E66CCA">
      <w:pPr>
        <w:pStyle w:val="FootnoteText"/>
      </w:pPr>
    </w:p>
  </w:footnote>
  <w:footnote w:id="53">
    <w:p w14:paraId="5881B63F" w14:textId="77777777" w:rsidR="00933FB9" w:rsidRDefault="00933FB9" w:rsidP="00E66CCA">
      <w:pPr>
        <w:pStyle w:val="FootnoteText"/>
      </w:pPr>
      <w:r>
        <w:rPr>
          <w:rStyle w:val="FootnoteReference"/>
        </w:rPr>
        <w:footnoteRef/>
      </w:r>
      <w:r>
        <w:t xml:space="preserve"> North American Electric Reliability Corporation, </w:t>
      </w:r>
      <w:hyperlink r:id="rId27" w:history="1">
        <w:r w:rsidRPr="00A22051">
          <w:rPr>
            <w:rStyle w:val="Hyperlink"/>
            <w:rFonts w:eastAsia="Arial Narrow"/>
          </w:rPr>
          <w:t>Primary Frequency Control Reliability Guideline</w:t>
        </w:r>
      </w:hyperlink>
      <w:r>
        <w:t>, dated May 2019</w:t>
      </w:r>
    </w:p>
  </w:footnote>
  <w:footnote w:id="54">
    <w:p w14:paraId="03397A57" w14:textId="77777777" w:rsidR="00933FB9" w:rsidRDefault="00933FB9" w:rsidP="00E66CCA">
      <w:pPr>
        <w:pStyle w:val="FootnoteText"/>
      </w:pPr>
      <w:r>
        <w:rPr>
          <w:rStyle w:val="FootnoteReference"/>
        </w:rPr>
        <w:footnoteRef/>
      </w:r>
      <w:r>
        <w:t xml:space="preserve"> </w:t>
      </w:r>
      <w:r w:rsidRPr="00F36A10">
        <w:t>ROCOF is a measure of how quickly the frequency changes following sudden imbalance between generation and load</w:t>
      </w:r>
      <w:r>
        <w:t>.</w:t>
      </w:r>
    </w:p>
  </w:footnote>
  <w:footnote w:id="55">
    <w:p w14:paraId="4F16FADA" w14:textId="77777777" w:rsidR="00933FB9" w:rsidRDefault="00933FB9" w:rsidP="00E66CCA">
      <w:pPr>
        <w:pStyle w:val="FootnoteText"/>
      </w:pPr>
      <w:r>
        <w:rPr>
          <w:rStyle w:val="FootnoteReference"/>
        </w:rPr>
        <w:footnoteRef/>
      </w:r>
      <w:r>
        <w:t xml:space="preserve"> North American Electric Reliability Corporation, </w:t>
      </w:r>
      <w:hyperlink r:id="rId28" w:history="1">
        <w:r w:rsidRPr="002C349D">
          <w:rPr>
            <w:rStyle w:val="Hyperlink"/>
            <w:rFonts w:eastAsia="Arial Narrow"/>
          </w:rPr>
          <w:t>Fast Frequency Response Concepts and BPS Reliability Needs</w:t>
        </w:r>
      </w:hyperlink>
      <w:r>
        <w:t>, dated March 2020.</w:t>
      </w:r>
    </w:p>
  </w:footnote>
  <w:footnote w:id="56">
    <w:p w14:paraId="3FA24D39" w14:textId="350ADF7A" w:rsidR="00933FB9" w:rsidRDefault="00933FB9" w:rsidP="00E66CCA">
      <w:pPr>
        <w:pStyle w:val="FootnoteText"/>
      </w:pPr>
      <w:r>
        <w:rPr>
          <w:rStyle w:val="FootnoteReference"/>
        </w:rPr>
        <w:footnoteRef/>
      </w:r>
      <w:r>
        <w:t xml:space="preserve"> See ERAG MMWG Manual for the process on changing a governor response to squelched.</w:t>
      </w:r>
    </w:p>
  </w:footnote>
  <w:footnote w:id="57">
    <w:p w14:paraId="370D9A8E" w14:textId="77777777" w:rsidR="00933FB9" w:rsidRDefault="00933FB9" w:rsidP="00E66CCA">
      <w:pPr>
        <w:pStyle w:val="FootnoteText"/>
      </w:pPr>
      <w:r>
        <w:rPr>
          <w:rStyle w:val="FootnoteReference"/>
        </w:rPr>
        <w:footnoteRef/>
      </w:r>
      <w:r>
        <w:t xml:space="preserve"> North American Electric Reliability Corporation, Integrating Inverter-Based Resources into Low Short Circuit Strength Systems Reliability Guideline, dated December 2017.</w:t>
      </w:r>
    </w:p>
  </w:footnote>
  <w:footnote w:id="58">
    <w:p w14:paraId="1FEF00B2" w14:textId="77777777" w:rsidR="00933FB9" w:rsidRDefault="00933FB9" w:rsidP="00E66CCA">
      <w:pPr>
        <w:pStyle w:val="FootnoteText"/>
      </w:pPr>
      <w:r>
        <w:rPr>
          <w:rStyle w:val="FootnoteReference"/>
        </w:rPr>
        <w:footnoteRef/>
      </w:r>
      <w:r>
        <w:t xml:space="preserve"> North American Electric Reliability Corporation, Short-Circuit Modeling and System Strength, dated February 2018</w:t>
      </w:r>
    </w:p>
  </w:footnote>
  <w:footnote w:id="59">
    <w:p w14:paraId="05BC97D1" w14:textId="77777777" w:rsidR="00933FB9" w:rsidRDefault="00933FB9" w:rsidP="00E66CCA">
      <w:pPr>
        <w:pStyle w:val="FootnoteText"/>
      </w:pPr>
      <w:r>
        <w:rPr>
          <w:rStyle w:val="FootnoteReference"/>
        </w:rPr>
        <w:footnoteRef/>
      </w:r>
      <w:r>
        <w:t xml:space="preserve"> </w:t>
      </w:r>
      <w:hyperlink r:id="rId29" w:history="1">
        <w:r w:rsidRPr="001E3394">
          <w:rPr>
            <w:rStyle w:val="Hyperlink"/>
          </w:rPr>
          <w:t>Avangrid Electric Transmission Planning Manual</w:t>
        </w:r>
      </w:hyperlink>
      <w:r>
        <w:t>, Technical Manual TM 1.2.00, dated June 29, 2019.</w:t>
      </w:r>
    </w:p>
  </w:footnote>
  <w:footnote w:id="60">
    <w:p w14:paraId="2F18D6AA" w14:textId="77777777" w:rsidR="00933FB9" w:rsidRDefault="00933FB9" w:rsidP="00E66CCA">
      <w:pPr>
        <w:pStyle w:val="FootnoteText"/>
      </w:pPr>
      <w:r>
        <w:rPr>
          <w:rStyle w:val="FootnoteReference"/>
        </w:rPr>
        <w:footnoteRef/>
      </w:r>
      <w:r>
        <w:t xml:space="preserve"> In the plot scale, a 0 represents no change in per-unit voltage and a 1 represents at 0.03 per-unit voltage decline.</w:t>
      </w:r>
    </w:p>
  </w:footnote>
  <w:footnote w:id="61">
    <w:p w14:paraId="549C31A1" w14:textId="77777777" w:rsidR="00933FB9" w:rsidRDefault="00933FB9" w:rsidP="00C32729">
      <w:pPr>
        <w:pStyle w:val="caption10"/>
      </w:pPr>
      <w:r>
        <w:rPr>
          <w:rStyle w:val="FootnoteReference"/>
        </w:rPr>
        <w:footnoteRef/>
      </w:r>
      <w:r>
        <w:t xml:space="preserve"> Link to RPP Manual: </w:t>
      </w:r>
      <w:r w:rsidRPr="00282282">
        <w:rPr>
          <w:rStyle w:val="Hyperlink"/>
        </w:rPr>
        <w:t>https://www.nyiso.com/documents/20142/2924447/rpp_mnl.pdf/85b28e6b-16b0-0ce7-60f3-c2291733acea</w:t>
      </w:r>
    </w:p>
  </w:footnote>
  <w:footnote w:id="62">
    <w:p w14:paraId="0728C66F" w14:textId="77777777" w:rsidR="00933FB9" w:rsidRDefault="00933FB9" w:rsidP="00C32729">
      <w:pPr>
        <w:pStyle w:val="caption10"/>
      </w:pPr>
      <w:r>
        <w:rPr>
          <w:rStyle w:val="FootnoteReference"/>
        </w:rPr>
        <w:footnoteRef/>
      </w:r>
      <w:r>
        <w:t xml:space="preserve"> Link to LTPP: </w:t>
      </w:r>
      <w:hyperlink r:id="rId30" w:history="1">
        <w:r w:rsidRPr="001942CA">
          <w:rPr>
            <w:rStyle w:val="Hyperlink"/>
          </w:rPr>
          <w:t>https://www.nyiso.com/documents/20142/3632262/Local-Transmission-Owner-Planning-Process-LTPP.pdf/025b47f1-d90a-94e3-8eba-c21e7a6131aa</w:t>
        </w:r>
      </w:hyperlink>
    </w:p>
    <w:p w14:paraId="425134BD" w14:textId="77777777" w:rsidR="00933FB9" w:rsidRDefault="00933FB9" w:rsidP="00C32729">
      <w:pPr>
        <w:pStyle w:val="FootnoteText"/>
      </w:pPr>
    </w:p>
    <w:p w14:paraId="40611B24" w14:textId="77777777" w:rsidR="00933FB9" w:rsidRDefault="00933FB9" w:rsidP="00C32729">
      <w:pPr>
        <w:pStyle w:val="FootnoteText"/>
      </w:pPr>
    </w:p>
  </w:footnote>
  <w:footnote w:id="63">
    <w:p w14:paraId="685AFDCE" w14:textId="77777777" w:rsidR="00933FB9" w:rsidRDefault="00933FB9" w:rsidP="00C32729">
      <w:pPr>
        <w:pStyle w:val="FootnoteText"/>
      </w:pPr>
      <w:r>
        <w:rPr>
          <w:rStyle w:val="FootnoteReference"/>
        </w:rPr>
        <w:footnoteRef/>
      </w:r>
      <w:r>
        <w:t xml:space="preserve"> NYSRC Reliability Rules: “</w:t>
      </w:r>
      <w:r w:rsidRPr="008B16DB">
        <w:t xml:space="preserve">The loss of load expectation (LOLE) of disconnecting firm load due to resource deficiencies shall be, on average, no more than 0.1 day per year.  LOLE evaluations shall </w:t>
      </w:r>
      <w:r w:rsidRPr="008B16DB">
        <w:t xml:space="preserve">make due allowance for demand uncertainty, scheduled outages and deratings, forced outages and deratings, assistance over interconnections with neighboring control areas, NYS Transmission System emergency transfer capability, and capacity and/or load relief from </w:t>
      </w:r>
      <w:r>
        <w:t xml:space="preserve">available operating procedures.” </w:t>
      </w:r>
    </w:p>
  </w:footnote>
  <w:footnote w:id="64">
    <w:p w14:paraId="05C7BDDA" w14:textId="77777777" w:rsidR="00933FB9" w:rsidRPr="00BF61A4" w:rsidRDefault="00933FB9" w:rsidP="00C32729">
      <w:pPr>
        <w:pStyle w:val="FootnoteText"/>
        <w:ind w:left="144" w:hanging="144"/>
        <w:rPr>
          <w:rFonts w:asciiTheme="minorHAnsi" w:hAnsiTheme="minorHAnsi"/>
        </w:rPr>
      </w:pPr>
      <w:r w:rsidRPr="00BF61A4">
        <w:rPr>
          <w:rStyle w:val="FootnoteReference"/>
          <w:rFonts w:asciiTheme="minorHAnsi" w:hAnsiTheme="minorHAnsi"/>
        </w:rPr>
        <w:footnoteRef/>
      </w:r>
      <w:r w:rsidRPr="00BF61A4">
        <w:rPr>
          <w:rFonts w:asciiTheme="minorHAnsi" w:hAnsiTheme="minorHAnsi"/>
        </w:rPr>
        <w:t xml:space="preserve"> Generator Deactivation Reliability Needs that arise on local facilities, not on the BPTF, must always be addressed in the STRP.</w:t>
      </w:r>
    </w:p>
  </w:footnote>
  <w:footnote w:id="65">
    <w:p w14:paraId="5C11D224" w14:textId="77777777" w:rsidR="00933FB9" w:rsidRPr="000476A4" w:rsidRDefault="00933FB9" w:rsidP="00EE6957">
      <w:pPr>
        <w:pStyle w:val="caption10"/>
        <w:rPr>
          <w:sz w:val="18"/>
        </w:rPr>
      </w:pPr>
      <w:r w:rsidRPr="000476A4">
        <w:rPr>
          <w:rStyle w:val="FootnoteReference"/>
          <w:sz w:val="18"/>
        </w:rPr>
        <w:footnoteRef/>
      </w:r>
      <w:r w:rsidRPr="000476A4">
        <w:rPr>
          <w:sz w:val="18"/>
        </w:rPr>
        <w:t xml:space="preserve"> </w:t>
      </w:r>
      <w:hyperlink r:id="rId31" w:history="1">
        <w:r w:rsidRPr="000476A4">
          <w:rPr>
            <w:rStyle w:val="Hyperlink"/>
            <w:sz w:val="18"/>
          </w:rPr>
          <w:t>https://www.nyiso.com/planning-reliability-compliance</w:t>
        </w:r>
      </w:hyperlink>
    </w:p>
  </w:footnote>
  <w:footnote w:id="66">
    <w:p w14:paraId="32B799DA" w14:textId="77777777" w:rsidR="00933FB9" w:rsidRPr="00560433" w:rsidRDefault="00933FB9" w:rsidP="00EE6957">
      <w:pPr>
        <w:pStyle w:val="caption10"/>
      </w:pPr>
      <w:r w:rsidRPr="000476A4">
        <w:rPr>
          <w:rStyle w:val="FootnoteReference"/>
          <w:sz w:val="18"/>
        </w:rPr>
        <w:footnoteRef/>
      </w:r>
      <w:r w:rsidRPr="000476A4">
        <w:rPr>
          <w:sz w:val="18"/>
        </w:rPr>
        <w:t xml:space="preserve"> </w:t>
      </w:r>
      <w:hyperlink r:id="rId32" w:history="1">
        <w:r w:rsidRPr="000476A4">
          <w:rPr>
            <w:rStyle w:val="Hyperlink"/>
            <w:sz w:val="18"/>
          </w:rPr>
          <w:t>https://www.nyiso.com/documents/20142/2924447/rel-anl-data-mnl.pdf</w:t>
        </w:r>
      </w:hyperlink>
      <w:r w:rsidRPr="000476A4">
        <w:rPr>
          <w:sz w:val="18"/>
        </w:rPr>
        <w:t xml:space="preserve"> </w:t>
      </w:r>
    </w:p>
  </w:footnote>
  <w:footnote w:id="67">
    <w:p w14:paraId="4D8D8AD0" w14:textId="2DA0B9A7" w:rsidR="00933FB9" w:rsidRDefault="00933FB9" w:rsidP="0066335B">
      <w:pPr>
        <w:pStyle w:val="FootnoteText"/>
        <w:ind w:left="360"/>
      </w:pPr>
      <w:r>
        <w:rPr>
          <w:rStyle w:val="FootnoteReference"/>
        </w:rPr>
        <w:footnoteRef/>
      </w:r>
      <w:r>
        <w:t xml:space="preserve"> </w:t>
      </w:r>
      <w:hyperlink r:id="rId33" w:history="1">
        <w:r w:rsidRPr="00EC67C9">
          <w:rPr>
            <w:rStyle w:val="Hyperlink"/>
          </w:rPr>
          <w:t>https://www.nyiso.com/documents/20142/1397660/2020-Comprehensive-Area-Transmission-Review.pdf/</w:t>
        </w:r>
      </w:hyperlink>
      <w:r>
        <w:t xml:space="preserve"> </w:t>
      </w:r>
    </w:p>
  </w:footnote>
  <w:footnote w:id="68">
    <w:p w14:paraId="7DCA4E03" w14:textId="77777777" w:rsidR="00933FB9" w:rsidRDefault="00933FB9" w:rsidP="00EE6957">
      <w:pPr>
        <w:pStyle w:val="caption10"/>
      </w:pPr>
      <w:r>
        <w:rPr>
          <w:rStyle w:val="FootnoteReference"/>
        </w:rPr>
        <w:footnoteRef/>
      </w:r>
      <w:r>
        <w:t xml:space="preserve"> NYSRC Reliability Rule A.3, R.3.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4375E" w14:textId="2F4578A9" w:rsidR="00933FB9" w:rsidRDefault="00933FB9" w:rsidP="00072EFB">
    <w:pPr>
      <w:pStyle w:val="Header"/>
      <w:tabs>
        <w:tab w:val="clear" w:pos="4680"/>
        <w:tab w:val="left" w:pos="9360"/>
        <w:tab w:val="right" w:pos="9450"/>
      </w:tabs>
      <w:jc w:val="right"/>
    </w:pPr>
    <w:r>
      <w:t xml:space="preserve">  </w:t>
    </w:r>
    <w:r w:rsidR="00200CA4">
      <w:rPr>
        <w:noProof/>
        <w:lang w:bidi="ar-SA"/>
      </w:rPr>
      <w:drawing>
        <wp:inline distT="0" distB="0" distL="0" distR="0" wp14:anchorId="427F80F6" wp14:editId="37BE8619">
          <wp:extent cx="1057275" cy="20955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7275" cy="20955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ECCDC" w14:textId="77777777" w:rsidR="00933FB9" w:rsidRDefault="00933FB9">
    <w:pPr>
      <w:pStyle w:val="Header"/>
    </w:pPr>
  </w:p>
  <w:p w14:paraId="6A35FC12" w14:textId="77777777" w:rsidR="00933FB9" w:rsidRDefault="00933FB9">
    <w:pPr>
      <w:pStyle w:val="Header"/>
    </w:pPr>
  </w:p>
  <w:p w14:paraId="34142AD0" w14:textId="77777777" w:rsidR="00933FB9" w:rsidRDefault="00933FB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22EBA"/>
    <w:multiLevelType w:val="hybridMultilevel"/>
    <w:tmpl w:val="DE62F4D2"/>
    <w:lvl w:ilvl="0" w:tplc="799A703A">
      <w:start w:val="2"/>
      <w:numFmt w:val="bullet"/>
      <w:lvlText w:val=""/>
      <w:lvlJc w:val="left"/>
      <w:pPr>
        <w:ind w:left="1080" w:hanging="360"/>
      </w:pPr>
      <w:rPr>
        <w:rFonts w:ascii="Symbol" w:eastAsia="Calibr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6E53147"/>
    <w:multiLevelType w:val="hybridMultilevel"/>
    <w:tmpl w:val="B8120DE0"/>
    <w:lvl w:ilvl="0" w:tplc="44D4FC2C">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 w15:restartNumberingAfterBreak="0">
    <w:nsid w:val="09430BDE"/>
    <w:multiLevelType w:val="hybridMultilevel"/>
    <w:tmpl w:val="F39E765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3" w15:restartNumberingAfterBreak="0">
    <w:nsid w:val="09D26A4B"/>
    <w:multiLevelType w:val="hybridMultilevel"/>
    <w:tmpl w:val="21F66516"/>
    <w:lvl w:ilvl="0" w:tplc="930CE234">
      <w:start w:val="1"/>
      <w:numFmt w:val="bullet"/>
      <w:lvlText w:val=""/>
      <w:lvlJc w:val="left"/>
      <w:pPr>
        <w:tabs>
          <w:tab w:val="num" w:pos="720"/>
        </w:tabs>
        <w:ind w:left="720" w:hanging="360"/>
      </w:pPr>
      <w:rPr>
        <w:rFonts w:ascii="Symbol" w:hAnsi="Symbol" w:hint="default"/>
      </w:rPr>
    </w:lvl>
    <w:lvl w:ilvl="1" w:tplc="9F1A5242" w:tentative="1">
      <w:start w:val="1"/>
      <w:numFmt w:val="bullet"/>
      <w:lvlText w:val=""/>
      <w:lvlJc w:val="left"/>
      <w:pPr>
        <w:tabs>
          <w:tab w:val="num" w:pos="1440"/>
        </w:tabs>
        <w:ind w:left="1440" w:hanging="360"/>
      </w:pPr>
      <w:rPr>
        <w:rFonts w:ascii="Symbol" w:hAnsi="Symbol" w:hint="default"/>
      </w:rPr>
    </w:lvl>
    <w:lvl w:ilvl="2" w:tplc="1832909C" w:tentative="1">
      <w:start w:val="1"/>
      <w:numFmt w:val="bullet"/>
      <w:lvlText w:val=""/>
      <w:lvlJc w:val="left"/>
      <w:pPr>
        <w:tabs>
          <w:tab w:val="num" w:pos="2160"/>
        </w:tabs>
        <w:ind w:left="2160" w:hanging="360"/>
      </w:pPr>
      <w:rPr>
        <w:rFonts w:ascii="Symbol" w:hAnsi="Symbol" w:hint="default"/>
      </w:rPr>
    </w:lvl>
    <w:lvl w:ilvl="3" w:tplc="37BEF3DA" w:tentative="1">
      <w:start w:val="1"/>
      <w:numFmt w:val="bullet"/>
      <w:lvlText w:val=""/>
      <w:lvlJc w:val="left"/>
      <w:pPr>
        <w:tabs>
          <w:tab w:val="num" w:pos="2880"/>
        </w:tabs>
        <w:ind w:left="2880" w:hanging="360"/>
      </w:pPr>
      <w:rPr>
        <w:rFonts w:ascii="Symbol" w:hAnsi="Symbol" w:hint="default"/>
      </w:rPr>
    </w:lvl>
    <w:lvl w:ilvl="4" w:tplc="B7469C20" w:tentative="1">
      <w:start w:val="1"/>
      <w:numFmt w:val="bullet"/>
      <w:lvlText w:val=""/>
      <w:lvlJc w:val="left"/>
      <w:pPr>
        <w:tabs>
          <w:tab w:val="num" w:pos="3600"/>
        </w:tabs>
        <w:ind w:left="3600" w:hanging="360"/>
      </w:pPr>
      <w:rPr>
        <w:rFonts w:ascii="Symbol" w:hAnsi="Symbol" w:hint="default"/>
      </w:rPr>
    </w:lvl>
    <w:lvl w:ilvl="5" w:tplc="271A761E" w:tentative="1">
      <w:start w:val="1"/>
      <w:numFmt w:val="bullet"/>
      <w:lvlText w:val=""/>
      <w:lvlJc w:val="left"/>
      <w:pPr>
        <w:tabs>
          <w:tab w:val="num" w:pos="4320"/>
        </w:tabs>
        <w:ind w:left="4320" w:hanging="360"/>
      </w:pPr>
      <w:rPr>
        <w:rFonts w:ascii="Symbol" w:hAnsi="Symbol" w:hint="default"/>
      </w:rPr>
    </w:lvl>
    <w:lvl w:ilvl="6" w:tplc="E7B84384" w:tentative="1">
      <w:start w:val="1"/>
      <w:numFmt w:val="bullet"/>
      <w:lvlText w:val=""/>
      <w:lvlJc w:val="left"/>
      <w:pPr>
        <w:tabs>
          <w:tab w:val="num" w:pos="5040"/>
        </w:tabs>
        <w:ind w:left="5040" w:hanging="360"/>
      </w:pPr>
      <w:rPr>
        <w:rFonts w:ascii="Symbol" w:hAnsi="Symbol" w:hint="default"/>
      </w:rPr>
    </w:lvl>
    <w:lvl w:ilvl="7" w:tplc="A6C07C70" w:tentative="1">
      <w:start w:val="1"/>
      <w:numFmt w:val="bullet"/>
      <w:lvlText w:val=""/>
      <w:lvlJc w:val="left"/>
      <w:pPr>
        <w:tabs>
          <w:tab w:val="num" w:pos="5760"/>
        </w:tabs>
        <w:ind w:left="5760" w:hanging="360"/>
      </w:pPr>
      <w:rPr>
        <w:rFonts w:ascii="Symbol" w:hAnsi="Symbol" w:hint="default"/>
      </w:rPr>
    </w:lvl>
    <w:lvl w:ilvl="8" w:tplc="43B29110"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0AE241FE"/>
    <w:multiLevelType w:val="hybridMultilevel"/>
    <w:tmpl w:val="C26AE2EA"/>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5" w15:restartNumberingAfterBreak="0">
    <w:nsid w:val="11657F4F"/>
    <w:multiLevelType w:val="multilevel"/>
    <w:tmpl w:val="D3028A78"/>
    <w:styleLink w:val="RNAAppendixList"/>
    <w:lvl w:ilvl="0">
      <w:start w:val="1"/>
      <w:numFmt w:val="upperLetter"/>
      <w:pStyle w:val="A1AppendixI"/>
      <w:lvlText w:val="%1."/>
      <w:lvlJc w:val="left"/>
      <w:pPr>
        <w:tabs>
          <w:tab w:val="num" w:pos="720"/>
        </w:tabs>
        <w:ind w:left="648" w:hanging="648"/>
      </w:pPr>
      <w:rPr>
        <w:rFonts w:cs="Times New Roman" w:hint="default"/>
      </w:rPr>
    </w:lvl>
    <w:lvl w:ilvl="1">
      <w:start w:val="1"/>
      <w:numFmt w:val="decimal"/>
      <w:pStyle w:val="A2AppendixII"/>
      <w:lvlText w:val="%1.%2"/>
      <w:lvlJc w:val="left"/>
      <w:pPr>
        <w:ind w:left="720" w:hanging="360"/>
      </w:pPr>
      <w:rPr>
        <w:rFonts w:cs="Times New Roman" w:hint="default"/>
      </w:rPr>
    </w:lvl>
    <w:lvl w:ilvl="2">
      <w:start w:val="1"/>
      <w:numFmt w:val="decimal"/>
      <w:pStyle w:val="A3AppendixIII"/>
      <w:lvlText w:val="%1.%2.%3"/>
      <w:lvlJc w:val="left"/>
      <w:pPr>
        <w:tabs>
          <w:tab w:val="num" w:pos="2160"/>
        </w:tabs>
        <w:ind w:left="1080" w:hanging="360"/>
      </w:pPr>
      <w:rPr>
        <w:rFonts w:cs="Times New Roman" w:hint="default"/>
      </w:rPr>
    </w:lvl>
    <w:lvl w:ilvl="3">
      <w:start w:val="1"/>
      <w:numFmt w:val="decimal"/>
      <w:pStyle w:val="A4AppendixIV"/>
      <w:lvlText w:val="%1.%2.%3.%4"/>
      <w:lvlJc w:val="left"/>
      <w:pPr>
        <w:ind w:left="1440" w:hanging="360"/>
      </w:pPr>
      <w:rPr>
        <w:rFonts w:cs="Times New Roman" w:hint="default"/>
      </w:rPr>
    </w:lvl>
    <w:lvl w:ilvl="4">
      <w:start w:val="1"/>
      <w:numFmt w:val="decimal"/>
      <w:pStyle w:val="A5AppendixListLevel1"/>
      <w:lvlText w:val="%5."/>
      <w:lvlJc w:val="left"/>
      <w:pPr>
        <w:ind w:left="1800" w:hanging="360"/>
      </w:pPr>
      <w:rPr>
        <w:rFonts w:cs="Times New Roman" w:hint="default"/>
      </w:rPr>
    </w:lvl>
    <w:lvl w:ilvl="5">
      <w:start w:val="1"/>
      <w:numFmt w:val="lowerLetter"/>
      <w:pStyle w:val="A6AppendixListLevel2"/>
      <w:lvlText w:val="%6)"/>
      <w:lvlJc w:val="left"/>
      <w:pPr>
        <w:ind w:left="2160" w:hanging="360"/>
      </w:pPr>
      <w:rPr>
        <w:rFonts w:cs="Times New Roman" w:hint="default"/>
      </w:rPr>
    </w:lvl>
    <w:lvl w:ilvl="6">
      <w:start w:val="1"/>
      <w:numFmt w:val="none"/>
      <w:lvlText w:val=""/>
      <w:lvlJc w:val="left"/>
      <w:pPr>
        <w:ind w:left="2520" w:hanging="360"/>
      </w:pPr>
      <w:rPr>
        <w:rFonts w:ascii="Calibri" w:hAnsi="Calibri" w:cs="Times New Roman" w:hint="default"/>
        <w:b w:val="0"/>
        <w:i/>
        <w:sz w:val="20"/>
      </w:rPr>
    </w:lvl>
    <w:lvl w:ilvl="7">
      <w:start w:val="1"/>
      <w:numFmt w:val="decimal"/>
      <w:pStyle w:val="A7Appendix-Caption-Table"/>
      <w:lvlText w:val="Table %1-%8: "/>
      <w:lvlJc w:val="left"/>
      <w:rPr>
        <w:rFonts w:cs="Times New Roman" w:hint="default"/>
      </w:rPr>
    </w:lvl>
    <w:lvl w:ilvl="8">
      <w:start w:val="1"/>
      <w:numFmt w:val="decimal"/>
      <w:pStyle w:val="A8Appendix-Caption-Figure"/>
      <w:lvlText w:val="Figure %1-%9: "/>
      <w:lvlJc w:val="left"/>
      <w:rPr>
        <w:rFonts w:cs="Times New Roman" w:hint="default"/>
      </w:rPr>
    </w:lvl>
  </w:abstractNum>
  <w:abstractNum w:abstractNumId="6" w15:restartNumberingAfterBreak="0">
    <w:nsid w:val="146C39C0"/>
    <w:multiLevelType w:val="hybridMultilevel"/>
    <w:tmpl w:val="90FA5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A814BA"/>
    <w:multiLevelType w:val="hybridMultilevel"/>
    <w:tmpl w:val="636478D0"/>
    <w:lvl w:ilvl="0" w:tplc="04090001">
      <w:start w:val="1"/>
      <w:numFmt w:val="bullet"/>
      <w:lvlText w:val=""/>
      <w:lvlJc w:val="left"/>
      <w:pPr>
        <w:ind w:left="1872" w:hanging="360"/>
      </w:pPr>
      <w:rPr>
        <w:rFonts w:ascii="Symbol" w:hAnsi="Symbol" w:hint="default"/>
      </w:rPr>
    </w:lvl>
    <w:lvl w:ilvl="1" w:tplc="04090003" w:tentative="1">
      <w:start w:val="1"/>
      <w:numFmt w:val="bullet"/>
      <w:lvlText w:val="o"/>
      <w:lvlJc w:val="left"/>
      <w:pPr>
        <w:ind w:left="2592" w:hanging="360"/>
      </w:pPr>
      <w:rPr>
        <w:rFonts w:ascii="Courier New" w:hAnsi="Courier New" w:cs="Courier New" w:hint="default"/>
      </w:rPr>
    </w:lvl>
    <w:lvl w:ilvl="2" w:tplc="04090005" w:tentative="1">
      <w:start w:val="1"/>
      <w:numFmt w:val="bullet"/>
      <w:lvlText w:val=""/>
      <w:lvlJc w:val="left"/>
      <w:pPr>
        <w:ind w:left="3312" w:hanging="360"/>
      </w:pPr>
      <w:rPr>
        <w:rFonts w:ascii="Wingdings" w:hAnsi="Wingdings" w:hint="default"/>
      </w:rPr>
    </w:lvl>
    <w:lvl w:ilvl="3" w:tplc="04090001" w:tentative="1">
      <w:start w:val="1"/>
      <w:numFmt w:val="bullet"/>
      <w:lvlText w:val=""/>
      <w:lvlJc w:val="left"/>
      <w:pPr>
        <w:ind w:left="4032" w:hanging="360"/>
      </w:pPr>
      <w:rPr>
        <w:rFonts w:ascii="Symbol" w:hAnsi="Symbol" w:hint="default"/>
      </w:rPr>
    </w:lvl>
    <w:lvl w:ilvl="4" w:tplc="04090003" w:tentative="1">
      <w:start w:val="1"/>
      <w:numFmt w:val="bullet"/>
      <w:lvlText w:val="o"/>
      <w:lvlJc w:val="left"/>
      <w:pPr>
        <w:ind w:left="4752" w:hanging="360"/>
      </w:pPr>
      <w:rPr>
        <w:rFonts w:ascii="Courier New" w:hAnsi="Courier New" w:cs="Courier New" w:hint="default"/>
      </w:rPr>
    </w:lvl>
    <w:lvl w:ilvl="5" w:tplc="04090005" w:tentative="1">
      <w:start w:val="1"/>
      <w:numFmt w:val="bullet"/>
      <w:lvlText w:val=""/>
      <w:lvlJc w:val="left"/>
      <w:pPr>
        <w:ind w:left="5472" w:hanging="360"/>
      </w:pPr>
      <w:rPr>
        <w:rFonts w:ascii="Wingdings" w:hAnsi="Wingdings" w:hint="default"/>
      </w:rPr>
    </w:lvl>
    <w:lvl w:ilvl="6" w:tplc="04090001" w:tentative="1">
      <w:start w:val="1"/>
      <w:numFmt w:val="bullet"/>
      <w:lvlText w:val=""/>
      <w:lvlJc w:val="left"/>
      <w:pPr>
        <w:ind w:left="6192" w:hanging="360"/>
      </w:pPr>
      <w:rPr>
        <w:rFonts w:ascii="Symbol" w:hAnsi="Symbol" w:hint="default"/>
      </w:rPr>
    </w:lvl>
    <w:lvl w:ilvl="7" w:tplc="04090003" w:tentative="1">
      <w:start w:val="1"/>
      <w:numFmt w:val="bullet"/>
      <w:lvlText w:val="o"/>
      <w:lvlJc w:val="left"/>
      <w:pPr>
        <w:ind w:left="6912" w:hanging="360"/>
      </w:pPr>
      <w:rPr>
        <w:rFonts w:ascii="Courier New" w:hAnsi="Courier New" w:cs="Courier New" w:hint="default"/>
      </w:rPr>
    </w:lvl>
    <w:lvl w:ilvl="8" w:tplc="04090005" w:tentative="1">
      <w:start w:val="1"/>
      <w:numFmt w:val="bullet"/>
      <w:lvlText w:val=""/>
      <w:lvlJc w:val="left"/>
      <w:pPr>
        <w:ind w:left="7632" w:hanging="360"/>
      </w:pPr>
      <w:rPr>
        <w:rFonts w:ascii="Wingdings" w:hAnsi="Wingdings" w:hint="default"/>
      </w:rPr>
    </w:lvl>
  </w:abstractNum>
  <w:abstractNum w:abstractNumId="8" w15:restartNumberingAfterBreak="0">
    <w:nsid w:val="18D54D41"/>
    <w:multiLevelType w:val="multilevel"/>
    <w:tmpl w:val="72000384"/>
    <w:lvl w:ilvl="0">
      <w:start w:val="1"/>
      <w:numFmt w:val="none"/>
      <w:pStyle w:val="NLBegin"/>
      <w:lvlText w:val="%1"/>
      <w:lvlJc w:val="left"/>
      <w:pPr>
        <w:tabs>
          <w:tab w:val="num" w:pos="1296"/>
        </w:tabs>
        <w:ind w:left="1296" w:hanging="504"/>
      </w:pPr>
    </w:lvl>
    <w:lvl w:ilvl="1">
      <w:start w:val="1"/>
      <w:numFmt w:val="decimal"/>
      <w:pStyle w:val="NLItem"/>
      <w:lvlText w:val="%2."/>
      <w:lvlJc w:val="left"/>
      <w:pPr>
        <w:tabs>
          <w:tab w:val="num" w:pos="1296"/>
        </w:tabs>
        <w:ind w:left="1296" w:hanging="504"/>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2040766E"/>
    <w:multiLevelType w:val="hybridMultilevel"/>
    <w:tmpl w:val="6A9661C6"/>
    <w:lvl w:ilvl="0" w:tplc="207A45A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20F22448"/>
    <w:multiLevelType w:val="multilevel"/>
    <w:tmpl w:val="383E2C4E"/>
    <w:styleLink w:val="NYISOBullets"/>
    <w:lvl w:ilvl="0">
      <w:start w:val="1"/>
      <w:numFmt w:val="bullet"/>
      <w:lvlText w:val=""/>
      <w:lvlJc w:val="left"/>
      <w:pPr>
        <w:ind w:left="1152" w:hanging="360"/>
      </w:pPr>
      <w:rPr>
        <w:rFonts w:ascii="Wingdings" w:hAnsi="Wingdings" w:hint="default"/>
        <w:color w:val="005F86"/>
      </w:rPr>
    </w:lvl>
    <w:lvl w:ilvl="1">
      <w:start w:val="1"/>
      <w:numFmt w:val="bullet"/>
      <w:lvlText w:val=""/>
      <w:lvlJc w:val="left"/>
      <w:pPr>
        <w:ind w:left="1872" w:hanging="360"/>
      </w:pPr>
      <w:rPr>
        <w:rFonts w:ascii="Symbol" w:hAnsi="Symbol" w:hint="default"/>
        <w:color w:val="auto"/>
        <w:sz w:val="16"/>
      </w:rPr>
    </w:lvl>
    <w:lvl w:ilvl="2">
      <w:start w:val="1"/>
      <w:numFmt w:val="bullet"/>
      <w:lvlText w:val="○"/>
      <w:lvlJc w:val="left"/>
      <w:pPr>
        <w:ind w:left="2592" w:hanging="180"/>
      </w:pPr>
      <w:rPr>
        <w:rFonts w:ascii="Cambria" w:hAnsi="Cambria" w:hint="default"/>
      </w:rPr>
    </w:lvl>
    <w:lvl w:ilvl="3">
      <w:start w:val="1"/>
      <w:numFmt w:val="bullet"/>
      <w:lvlText w:val=""/>
      <w:lvlJc w:val="left"/>
      <w:pPr>
        <w:ind w:left="3312" w:hanging="360"/>
      </w:pPr>
      <w:rPr>
        <w:rFonts w:ascii="Wingdings" w:hAnsi="Wingdings" w:hint="default"/>
        <w:color w:val="808080" w:themeColor="background1" w:themeShade="80"/>
      </w:rPr>
    </w:lvl>
    <w:lvl w:ilvl="4">
      <w:start w:val="1"/>
      <w:numFmt w:val="bullet"/>
      <w:lvlText w:val=""/>
      <w:lvlJc w:val="left"/>
      <w:pPr>
        <w:ind w:left="4032" w:hanging="360"/>
      </w:pPr>
      <w:rPr>
        <w:rFonts w:ascii="Symbol" w:hAnsi="Symbol" w:hint="default"/>
        <w:color w:val="A6A6A6" w:themeColor="background1" w:themeShade="A6"/>
      </w:rPr>
    </w:lvl>
    <w:lvl w:ilvl="5">
      <w:start w:val="1"/>
      <w:numFmt w:val="bullet"/>
      <w:lvlText w:val=""/>
      <w:lvlJc w:val="left"/>
      <w:pPr>
        <w:ind w:left="4752" w:hanging="180"/>
      </w:pPr>
      <w:rPr>
        <w:rFonts w:ascii="Symbol" w:hAnsi="Symbol" w:hint="default"/>
      </w:rPr>
    </w:lvl>
    <w:lvl w:ilvl="6">
      <w:start w:val="1"/>
      <w:numFmt w:val="bullet"/>
      <w:lvlText w:val=""/>
      <w:lvlJc w:val="left"/>
      <w:pPr>
        <w:ind w:left="5472" w:hanging="360"/>
      </w:pPr>
      <w:rPr>
        <w:rFonts w:ascii="Symbol" w:hAnsi="Symbol" w:hint="default"/>
      </w:rPr>
    </w:lvl>
    <w:lvl w:ilvl="7">
      <w:start w:val="1"/>
      <w:numFmt w:val="bullet"/>
      <w:lvlText w:val=""/>
      <w:lvlJc w:val="left"/>
      <w:pPr>
        <w:ind w:left="6192" w:hanging="360"/>
      </w:pPr>
      <w:rPr>
        <w:rFonts w:ascii="Symbol" w:hAnsi="Symbol" w:hint="default"/>
      </w:rPr>
    </w:lvl>
    <w:lvl w:ilvl="8">
      <w:start w:val="1"/>
      <w:numFmt w:val="bullet"/>
      <w:lvlText w:val=""/>
      <w:lvlJc w:val="left"/>
      <w:pPr>
        <w:ind w:left="6912" w:hanging="180"/>
      </w:pPr>
      <w:rPr>
        <w:rFonts w:ascii="Symbol" w:hAnsi="Symbol" w:hint="default"/>
      </w:rPr>
    </w:lvl>
  </w:abstractNum>
  <w:abstractNum w:abstractNumId="11" w15:restartNumberingAfterBreak="0">
    <w:nsid w:val="220E2EBA"/>
    <w:multiLevelType w:val="hybridMultilevel"/>
    <w:tmpl w:val="628C1C06"/>
    <w:lvl w:ilvl="0" w:tplc="5DEA539E">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7F40864"/>
    <w:multiLevelType w:val="hybridMultilevel"/>
    <w:tmpl w:val="0C544C9C"/>
    <w:lvl w:ilvl="0" w:tplc="04090005">
      <w:start w:val="1"/>
      <w:numFmt w:val="bullet"/>
      <w:lvlText w:val=""/>
      <w:lvlJc w:val="left"/>
      <w:pPr>
        <w:ind w:left="720" w:hanging="360"/>
      </w:pPr>
      <w:rPr>
        <w:rFonts w:ascii="Wingdings" w:hAnsi="Wingdings" w:hint="default"/>
        <w:color w:val="005F86"/>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A32AD6"/>
    <w:multiLevelType w:val="hybridMultilevel"/>
    <w:tmpl w:val="8B42DFEE"/>
    <w:lvl w:ilvl="0" w:tplc="89E47FB4">
      <w:start w:val="1"/>
      <w:numFmt w:val="decimal"/>
      <w:lvlText w:val="%1."/>
      <w:lvlJc w:val="left"/>
      <w:pPr>
        <w:ind w:left="1152" w:hanging="360"/>
      </w:pPr>
      <w:rPr>
        <w:rFonts w:hint="default"/>
      </w:r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14" w15:restartNumberingAfterBreak="0">
    <w:nsid w:val="2D932611"/>
    <w:multiLevelType w:val="multilevel"/>
    <w:tmpl w:val="1788164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2DC47FE9"/>
    <w:multiLevelType w:val="hybridMultilevel"/>
    <w:tmpl w:val="A0C8882C"/>
    <w:lvl w:ilvl="0" w:tplc="04090015">
      <w:start w:val="1"/>
      <w:numFmt w:val="upperLetter"/>
      <w:lvlText w:val="%1."/>
      <w:lvlJc w:val="left"/>
      <w:pPr>
        <w:ind w:left="1512" w:hanging="360"/>
      </w:pPr>
    </w:lvl>
    <w:lvl w:ilvl="1" w:tplc="04090019">
      <w:start w:val="1"/>
      <w:numFmt w:val="lowerLetter"/>
      <w:lvlText w:val="%2."/>
      <w:lvlJc w:val="left"/>
      <w:pPr>
        <w:ind w:left="2232" w:hanging="360"/>
      </w:pPr>
    </w:lvl>
    <w:lvl w:ilvl="2" w:tplc="0409001B" w:tentative="1">
      <w:start w:val="1"/>
      <w:numFmt w:val="lowerRoman"/>
      <w:lvlText w:val="%3."/>
      <w:lvlJc w:val="right"/>
      <w:pPr>
        <w:ind w:left="2952" w:hanging="180"/>
      </w:pPr>
    </w:lvl>
    <w:lvl w:ilvl="3" w:tplc="0409000F" w:tentative="1">
      <w:start w:val="1"/>
      <w:numFmt w:val="decimal"/>
      <w:lvlText w:val="%4."/>
      <w:lvlJc w:val="left"/>
      <w:pPr>
        <w:ind w:left="3672" w:hanging="360"/>
      </w:pPr>
    </w:lvl>
    <w:lvl w:ilvl="4" w:tplc="04090019" w:tentative="1">
      <w:start w:val="1"/>
      <w:numFmt w:val="lowerLetter"/>
      <w:lvlText w:val="%5."/>
      <w:lvlJc w:val="left"/>
      <w:pPr>
        <w:ind w:left="4392" w:hanging="360"/>
      </w:pPr>
    </w:lvl>
    <w:lvl w:ilvl="5" w:tplc="0409001B" w:tentative="1">
      <w:start w:val="1"/>
      <w:numFmt w:val="lowerRoman"/>
      <w:lvlText w:val="%6."/>
      <w:lvlJc w:val="right"/>
      <w:pPr>
        <w:ind w:left="5112" w:hanging="180"/>
      </w:pPr>
    </w:lvl>
    <w:lvl w:ilvl="6" w:tplc="0409000F" w:tentative="1">
      <w:start w:val="1"/>
      <w:numFmt w:val="decimal"/>
      <w:lvlText w:val="%7."/>
      <w:lvlJc w:val="left"/>
      <w:pPr>
        <w:ind w:left="5832" w:hanging="360"/>
      </w:pPr>
    </w:lvl>
    <w:lvl w:ilvl="7" w:tplc="04090019" w:tentative="1">
      <w:start w:val="1"/>
      <w:numFmt w:val="lowerLetter"/>
      <w:lvlText w:val="%8."/>
      <w:lvlJc w:val="left"/>
      <w:pPr>
        <w:ind w:left="6552" w:hanging="360"/>
      </w:pPr>
    </w:lvl>
    <w:lvl w:ilvl="8" w:tplc="0409001B" w:tentative="1">
      <w:start w:val="1"/>
      <w:numFmt w:val="lowerRoman"/>
      <w:lvlText w:val="%9."/>
      <w:lvlJc w:val="right"/>
      <w:pPr>
        <w:ind w:left="7272" w:hanging="180"/>
      </w:pPr>
    </w:lvl>
  </w:abstractNum>
  <w:abstractNum w:abstractNumId="16" w15:restartNumberingAfterBreak="0">
    <w:nsid w:val="2F8118EF"/>
    <w:multiLevelType w:val="hybridMultilevel"/>
    <w:tmpl w:val="95CAFFF4"/>
    <w:lvl w:ilvl="0" w:tplc="D5C0CAFE">
      <w:start w:val="1"/>
      <w:numFmt w:val="bullet"/>
      <w:lvlText w:val=""/>
      <w:lvlJc w:val="left"/>
      <w:pPr>
        <w:tabs>
          <w:tab w:val="num" w:pos="720"/>
        </w:tabs>
        <w:ind w:left="720" w:hanging="360"/>
      </w:pPr>
      <w:rPr>
        <w:rFonts w:ascii="Symbol" w:hAnsi="Symbol" w:hint="default"/>
      </w:rPr>
    </w:lvl>
    <w:lvl w:ilvl="1" w:tplc="F51A6D7E" w:tentative="1">
      <w:start w:val="1"/>
      <w:numFmt w:val="bullet"/>
      <w:lvlText w:val=""/>
      <w:lvlJc w:val="left"/>
      <w:pPr>
        <w:tabs>
          <w:tab w:val="num" w:pos="1440"/>
        </w:tabs>
        <w:ind w:left="1440" w:hanging="360"/>
      </w:pPr>
      <w:rPr>
        <w:rFonts w:ascii="Symbol" w:hAnsi="Symbol" w:hint="default"/>
      </w:rPr>
    </w:lvl>
    <w:lvl w:ilvl="2" w:tplc="DA72CB64" w:tentative="1">
      <w:start w:val="1"/>
      <w:numFmt w:val="bullet"/>
      <w:lvlText w:val=""/>
      <w:lvlJc w:val="left"/>
      <w:pPr>
        <w:tabs>
          <w:tab w:val="num" w:pos="2160"/>
        </w:tabs>
        <w:ind w:left="2160" w:hanging="360"/>
      </w:pPr>
      <w:rPr>
        <w:rFonts w:ascii="Symbol" w:hAnsi="Symbol" w:hint="default"/>
      </w:rPr>
    </w:lvl>
    <w:lvl w:ilvl="3" w:tplc="5838C882" w:tentative="1">
      <w:start w:val="1"/>
      <w:numFmt w:val="bullet"/>
      <w:lvlText w:val=""/>
      <w:lvlJc w:val="left"/>
      <w:pPr>
        <w:tabs>
          <w:tab w:val="num" w:pos="2880"/>
        </w:tabs>
        <w:ind w:left="2880" w:hanging="360"/>
      </w:pPr>
      <w:rPr>
        <w:rFonts w:ascii="Symbol" w:hAnsi="Symbol" w:hint="default"/>
      </w:rPr>
    </w:lvl>
    <w:lvl w:ilvl="4" w:tplc="CA940370" w:tentative="1">
      <w:start w:val="1"/>
      <w:numFmt w:val="bullet"/>
      <w:lvlText w:val=""/>
      <w:lvlJc w:val="left"/>
      <w:pPr>
        <w:tabs>
          <w:tab w:val="num" w:pos="3600"/>
        </w:tabs>
        <w:ind w:left="3600" w:hanging="360"/>
      </w:pPr>
      <w:rPr>
        <w:rFonts w:ascii="Symbol" w:hAnsi="Symbol" w:hint="default"/>
      </w:rPr>
    </w:lvl>
    <w:lvl w:ilvl="5" w:tplc="5EA42B82" w:tentative="1">
      <w:start w:val="1"/>
      <w:numFmt w:val="bullet"/>
      <w:lvlText w:val=""/>
      <w:lvlJc w:val="left"/>
      <w:pPr>
        <w:tabs>
          <w:tab w:val="num" w:pos="4320"/>
        </w:tabs>
        <w:ind w:left="4320" w:hanging="360"/>
      </w:pPr>
      <w:rPr>
        <w:rFonts w:ascii="Symbol" w:hAnsi="Symbol" w:hint="default"/>
      </w:rPr>
    </w:lvl>
    <w:lvl w:ilvl="6" w:tplc="925AF038" w:tentative="1">
      <w:start w:val="1"/>
      <w:numFmt w:val="bullet"/>
      <w:lvlText w:val=""/>
      <w:lvlJc w:val="left"/>
      <w:pPr>
        <w:tabs>
          <w:tab w:val="num" w:pos="5040"/>
        </w:tabs>
        <w:ind w:left="5040" w:hanging="360"/>
      </w:pPr>
      <w:rPr>
        <w:rFonts w:ascii="Symbol" w:hAnsi="Symbol" w:hint="default"/>
      </w:rPr>
    </w:lvl>
    <w:lvl w:ilvl="7" w:tplc="12EAF60A" w:tentative="1">
      <w:start w:val="1"/>
      <w:numFmt w:val="bullet"/>
      <w:lvlText w:val=""/>
      <w:lvlJc w:val="left"/>
      <w:pPr>
        <w:tabs>
          <w:tab w:val="num" w:pos="5760"/>
        </w:tabs>
        <w:ind w:left="5760" w:hanging="360"/>
      </w:pPr>
      <w:rPr>
        <w:rFonts w:ascii="Symbol" w:hAnsi="Symbol" w:hint="default"/>
      </w:rPr>
    </w:lvl>
    <w:lvl w:ilvl="8" w:tplc="6636805C"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30877AD0"/>
    <w:multiLevelType w:val="hybridMultilevel"/>
    <w:tmpl w:val="EFAC62B2"/>
    <w:lvl w:ilvl="0" w:tplc="AFB6798C">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309928AE"/>
    <w:multiLevelType w:val="hybridMultilevel"/>
    <w:tmpl w:val="23EEB276"/>
    <w:lvl w:ilvl="0" w:tplc="8022F9D0">
      <w:start w:val="2"/>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820587"/>
    <w:multiLevelType w:val="multilevel"/>
    <w:tmpl w:val="11929218"/>
    <w:styleLink w:val="NYISOList"/>
    <w:lvl w:ilvl="0">
      <w:start w:val="1"/>
      <w:numFmt w:val="decimal"/>
      <w:lvlText w:val="%1."/>
      <w:lvlJc w:val="left"/>
      <w:pPr>
        <w:ind w:left="2160" w:hanging="360"/>
      </w:pPr>
      <w:rPr>
        <w:rFonts w:ascii="Cambria" w:hAnsi="Cambria" w:hint="default"/>
      </w:rPr>
    </w:lvl>
    <w:lvl w:ilvl="1">
      <w:start w:val="1"/>
      <w:numFmt w:val="lowerLetter"/>
      <w:lvlText w:val="%2."/>
      <w:lvlJc w:val="left"/>
      <w:pPr>
        <w:ind w:left="2520" w:hanging="360"/>
      </w:pPr>
      <w:rPr>
        <w:rFonts w:ascii="Cambria" w:hAnsi="Cambria" w:hint="default"/>
      </w:rPr>
    </w:lvl>
    <w:lvl w:ilvl="2">
      <w:start w:val="1"/>
      <w:numFmt w:val="lowerRoman"/>
      <w:lvlText w:val="%3."/>
      <w:lvlJc w:val="left"/>
      <w:pPr>
        <w:ind w:left="2880" w:hanging="360"/>
      </w:pPr>
      <w:rPr>
        <w:rFonts w:ascii="Cambria" w:hAnsi="Cambria" w:hint="default"/>
      </w:rPr>
    </w:lvl>
    <w:lvl w:ilvl="3">
      <w:start w:val="1"/>
      <w:numFmt w:val="decimal"/>
      <w:lvlText w:val="(%4)"/>
      <w:lvlJc w:val="left"/>
      <w:pPr>
        <w:ind w:left="3240" w:hanging="360"/>
      </w:pPr>
      <w:rPr>
        <w:rFonts w:ascii="Cambria" w:hAnsi="Cambria" w:hint="default"/>
      </w:rPr>
    </w:lvl>
    <w:lvl w:ilvl="4">
      <w:start w:val="1"/>
      <w:numFmt w:val="lowerLetter"/>
      <w:lvlText w:val="(%5)"/>
      <w:lvlJc w:val="left"/>
      <w:pPr>
        <w:ind w:left="3600" w:hanging="360"/>
      </w:pPr>
      <w:rPr>
        <w:rFonts w:ascii="Cambria" w:hAnsi="Cambria" w:hint="default"/>
      </w:rPr>
    </w:lvl>
    <w:lvl w:ilvl="5">
      <w:start w:val="1"/>
      <w:numFmt w:val="lowerRoman"/>
      <w:lvlText w:val="(%6)"/>
      <w:lvlJc w:val="left"/>
      <w:pPr>
        <w:ind w:left="3960" w:hanging="360"/>
      </w:pPr>
      <w:rPr>
        <w:rFonts w:ascii="Cambria" w:hAnsi="Cambria" w:hint="default"/>
      </w:rPr>
    </w:lvl>
    <w:lvl w:ilvl="6">
      <w:start w:val="1"/>
      <w:numFmt w:val="decimal"/>
      <w:lvlText w:val="%7."/>
      <w:lvlJc w:val="left"/>
      <w:pPr>
        <w:ind w:left="4320" w:hanging="360"/>
      </w:pPr>
      <w:rPr>
        <w:rFonts w:hint="default"/>
      </w:rPr>
    </w:lvl>
    <w:lvl w:ilvl="7">
      <w:start w:val="1"/>
      <w:numFmt w:val="lowerLetter"/>
      <w:lvlText w:val="%8."/>
      <w:lvlJc w:val="left"/>
      <w:pPr>
        <w:ind w:left="4680" w:hanging="360"/>
      </w:pPr>
      <w:rPr>
        <w:rFonts w:hint="default"/>
      </w:rPr>
    </w:lvl>
    <w:lvl w:ilvl="8">
      <w:start w:val="1"/>
      <w:numFmt w:val="lowerRoman"/>
      <w:lvlText w:val="%9."/>
      <w:lvlJc w:val="left"/>
      <w:pPr>
        <w:ind w:left="5040" w:hanging="360"/>
      </w:pPr>
      <w:rPr>
        <w:rFonts w:hint="default"/>
      </w:rPr>
    </w:lvl>
  </w:abstractNum>
  <w:abstractNum w:abstractNumId="20" w15:restartNumberingAfterBreak="0">
    <w:nsid w:val="35EA195A"/>
    <w:multiLevelType w:val="hybridMultilevel"/>
    <w:tmpl w:val="6B52C0C4"/>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1" w15:restartNumberingAfterBreak="0">
    <w:nsid w:val="388D3F65"/>
    <w:multiLevelType w:val="multilevel"/>
    <w:tmpl w:val="998401B2"/>
    <w:lvl w:ilvl="0">
      <w:start w:val="1"/>
      <w:numFmt w:val="bullet"/>
      <w:lvlText w:val=""/>
      <w:lvlJc w:val="left"/>
      <w:pPr>
        <w:ind w:left="1080" w:hanging="360"/>
      </w:pPr>
      <w:rPr>
        <w:rFonts w:ascii="Wingdings" w:hAnsi="Wingdings" w:hint="default"/>
        <w:color w:val="005F86"/>
      </w:rPr>
    </w:lvl>
    <w:lvl w:ilvl="1">
      <w:start w:val="1"/>
      <w:numFmt w:val="bullet"/>
      <w:pStyle w:val="Blackcirclebullet"/>
      <w:lvlText w:val=""/>
      <w:lvlJc w:val="left"/>
      <w:pPr>
        <w:ind w:left="1800" w:hanging="360"/>
      </w:pPr>
      <w:rPr>
        <w:rFonts w:ascii="Symbol" w:hAnsi="Symbol" w:hint="default"/>
        <w:color w:val="auto"/>
        <w:sz w:val="16"/>
      </w:rPr>
    </w:lvl>
    <w:lvl w:ilvl="2">
      <w:start w:val="1"/>
      <w:numFmt w:val="bullet"/>
      <w:pStyle w:val="Opencirclebullet"/>
      <w:lvlText w:val="○"/>
      <w:lvlJc w:val="left"/>
      <w:pPr>
        <w:ind w:left="2520" w:hanging="180"/>
      </w:pPr>
      <w:rPr>
        <w:rFonts w:ascii="Cambria" w:hAnsi="Cambria" w:hint="default"/>
      </w:rPr>
    </w:lvl>
    <w:lvl w:ilvl="3">
      <w:start w:val="1"/>
      <w:numFmt w:val="bullet"/>
      <w:pStyle w:val="greysquarebullet"/>
      <w:lvlText w:val=""/>
      <w:lvlJc w:val="left"/>
      <w:pPr>
        <w:ind w:left="3240" w:hanging="360"/>
      </w:pPr>
      <w:rPr>
        <w:rFonts w:ascii="Wingdings" w:hAnsi="Wingdings" w:hint="default"/>
        <w:color w:val="808080"/>
      </w:rPr>
    </w:lvl>
    <w:lvl w:ilvl="4">
      <w:start w:val="1"/>
      <w:numFmt w:val="bullet"/>
      <w:lvlText w:val=""/>
      <w:lvlJc w:val="left"/>
      <w:pPr>
        <w:ind w:left="3960" w:hanging="360"/>
      </w:pPr>
      <w:rPr>
        <w:rFonts w:ascii="Symbol" w:hAnsi="Symbol" w:hint="default"/>
        <w:color w:val="A6A6A6"/>
      </w:rPr>
    </w:lvl>
    <w:lvl w:ilvl="5">
      <w:start w:val="1"/>
      <w:numFmt w:val="bullet"/>
      <w:lvlText w:val=""/>
      <w:lvlJc w:val="left"/>
      <w:pPr>
        <w:ind w:left="4680" w:hanging="180"/>
      </w:pPr>
      <w:rPr>
        <w:rFonts w:ascii="Symbol" w:hAnsi="Symbol" w:hint="default"/>
      </w:rPr>
    </w:lvl>
    <w:lvl w:ilvl="6">
      <w:start w:val="1"/>
      <w:numFmt w:val="bullet"/>
      <w:lvlText w:val=""/>
      <w:lvlJc w:val="left"/>
      <w:pPr>
        <w:ind w:left="5400" w:hanging="360"/>
      </w:pPr>
      <w:rPr>
        <w:rFonts w:ascii="Symbol" w:hAnsi="Symbol" w:hint="default"/>
      </w:rPr>
    </w:lvl>
    <w:lvl w:ilvl="7">
      <w:start w:val="1"/>
      <w:numFmt w:val="bullet"/>
      <w:lvlText w:val=""/>
      <w:lvlJc w:val="left"/>
      <w:pPr>
        <w:ind w:left="6120" w:hanging="360"/>
      </w:pPr>
      <w:rPr>
        <w:rFonts w:ascii="Symbol" w:hAnsi="Symbol" w:hint="default"/>
      </w:rPr>
    </w:lvl>
    <w:lvl w:ilvl="8">
      <w:start w:val="1"/>
      <w:numFmt w:val="bullet"/>
      <w:lvlText w:val=""/>
      <w:lvlJc w:val="left"/>
      <w:pPr>
        <w:ind w:left="6840" w:hanging="180"/>
      </w:pPr>
      <w:rPr>
        <w:rFonts w:ascii="Symbol" w:hAnsi="Symbol" w:hint="default"/>
      </w:rPr>
    </w:lvl>
  </w:abstractNum>
  <w:abstractNum w:abstractNumId="22" w15:restartNumberingAfterBreak="0">
    <w:nsid w:val="39110E15"/>
    <w:multiLevelType w:val="hybridMultilevel"/>
    <w:tmpl w:val="F9E449FE"/>
    <w:lvl w:ilvl="0" w:tplc="0409000F">
      <w:start w:val="1"/>
      <w:numFmt w:val="decimal"/>
      <w:lvlText w:val="%1."/>
      <w:lvlJc w:val="left"/>
      <w:pPr>
        <w:ind w:left="1152" w:hanging="360"/>
      </w:pPr>
    </w:lvl>
    <w:lvl w:ilvl="1" w:tplc="04090019">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23" w15:restartNumberingAfterBreak="0">
    <w:nsid w:val="3B4C1E98"/>
    <w:multiLevelType w:val="hybridMultilevel"/>
    <w:tmpl w:val="C9C6352A"/>
    <w:lvl w:ilvl="0" w:tplc="1624B94E">
      <w:start w:val="1"/>
      <w:numFmt w:val="bullet"/>
      <w:lvlText w:val="■"/>
      <w:lvlJc w:val="left"/>
      <w:pPr>
        <w:ind w:left="1152" w:hanging="360"/>
      </w:pPr>
      <w:rPr>
        <w:rFonts w:ascii="Franklin Gothic Book" w:hAnsi="Franklin Gothic Book" w:hint="default"/>
        <w:color w:val="005F86"/>
      </w:rPr>
    </w:lvl>
    <w:lvl w:ilvl="1" w:tplc="04090003">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4" w15:restartNumberingAfterBreak="0">
    <w:nsid w:val="449B2E0F"/>
    <w:multiLevelType w:val="hybridMultilevel"/>
    <w:tmpl w:val="F31869DC"/>
    <w:lvl w:ilvl="0" w:tplc="C0C4A158">
      <w:start w:val="1"/>
      <w:numFmt w:val="bullet"/>
      <w:lvlText w:val=""/>
      <w:lvlJc w:val="left"/>
      <w:pPr>
        <w:tabs>
          <w:tab w:val="num" w:pos="720"/>
        </w:tabs>
        <w:ind w:left="720" w:hanging="360"/>
      </w:pPr>
      <w:rPr>
        <w:rFonts w:ascii="Wingdings" w:hAnsi="Wingdings" w:hint="default"/>
      </w:rPr>
    </w:lvl>
    <w:lvl w:ilvl="1" w:tplc="1916C028">
      <w:numFmt w:val="bullet"/>
      <w:lvlText w:val="•"/>
      <w:lvlJc w:val="left"/>
      <w:pPr>
        <w:tabs>
          <w:tab w:val="num" w:pos="1440"/>
        </w:tabs>
        <w:ind w:left="1440" w:hanging="360"/>
      </w:pPr>
      <w:rPr>
        <w:rFonts w:ascii="Arial" w:hAnsi="Arial" w:hint="default"/>
      </w:rPr>
    </w:lvl>
    <w:lvl w:ilvl="2" w:tplc="43D6EB88" w:tentative="1">
      <w:start w:val="1"/>
      <w:numFmt w:val="bullet"/>
      <w:lvlText w:val=""/>
      <w:lvlJc w:val="left"/>
      <w:pPr>
        <w:tabs>
          <w:tab w:val="num" w:pos="2160"/>
        </w:tabs>
        <w:ind w:left="2160" w:hanging="360"/>
      </w:pPr>
      <w:rPr>
        <w:rFonts w:ascii="Wingdings" w:hAnsi="Wingdings" w:hint="default"/>
      </w:rPr>
    </w:lvl>
    <w:lvl w:ilvl="3" w:tplc="5FC694F6" w:tentative="1">
      <w:start w:val="1"/>
      <w:numFmt w:val="bullet"/>
      <w:lvlText w:val=""/>
      <w:lvlJc w:val="left"/>
      <w:pPr>
        <w:tabs>
          <w:tab w:val="num" w:pos="2880"/>
        </w:tabs>
        <w:ind w:left="2880" w:hanging="360"/>
      </w:pPr>
      <w:rPr>
        <w:rFonts w:ascii="Wingdings" w:hAnsi="Wingdings" w:hint="default"/>
      </w:rPr>
    </w:lvl>
    <w:lvl w:ilvl="4" w:tplc="18944F06" w:tentative="1">
      <w:start w:val="1"/>
      <w:numFmt w:val="bullet"/>
      <w:lvlText w:val=""/>
      <w:lvlJc w:val="left"/>
      <w:pPr>
        <w:tabs>
          <w:tab w:val="num" w:pos="3600"/>
        </w:tabs>
        <w:ind w:left="3600" w:hanging="360"/>
      </w:pPr>
      <w:rPr>
        <w:rFonts w:ascii="Wingdings" w:hAnsi="Wingdings" w:hint="default"/>
      </w:rPr>
    </w:lvl>
    <w:lvl w:ilvl="5" w:tplc="26E4815E" w:tentative="1">
      <w:start w:val="1"/>
      <w:numFmt w:val="bullet"/>
      <w:lvlText w:val=""/>
      <w:lvlJc w:val="left"/>
      <w:pPr>
        <w:tabs>
          <w:tab w:val="num" w:pos="4320"/>
        </w:tabs>
        <w:ind w:left="4320" w:hanging="360"/>
      </w:pPr>
      <w:rPr>
        <w:rFonts w:ascii="Wingdings" w:hAnsi="Wingdings" w:hint="default"/>
      </w:rPr>
    </w:lvl>
    <w:lvl w:ilvl="6" w:tplc="8EA82964" w:tentative="1">
      <w:start w:val="1"/>
      <w:numFmt w:val="bullet"/>
      <w:lvlText w:val=""/>
      <w:lvlJc w:val="left"/>
      <w:pPr>
        <w:tabs>
          <w:tab w:val="num" w:pos="5040"/>
        </w:tabs>
        <w:ind w:left="5040" w:hanging="360"/>
      </w:pPr>
      <w:rPr>
        <w:rFonts w:ascii="Wingdings" w:hAnsi="Wingdings" w:hint="default"/>
      </w:rPr>
    </w:lvl>
    <w:lvl w:ilvl="7" w:tplc="4FAA92C8" w:tentative="1">
      <w:start w:val="1"/>
      <w:numFmt w:val="bullet"/>
      <w:lvlText w:val=""/>
      <w:lvlJc w:val="left"/>
      <w:pPr>
        <w:tabs>
          <w:tab w:val="num" w:pos="5760"/>
        </w:tabs>
        <w:ind w:left="5760" w:hanging="360"/>
      </w:pPr>
      <w:rPr>
        <w:rFonts w:ascii="Wingdings" w:hAnsi="Wingdings" w:hint="default"/>
      </w:rPr>
    </w:lvl>
    <w:lvl w:ilvl="8" w:tplc="947832A4"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4ED753B"/>
    <w:multiLevelType w:val="hybridMultilevel"/>
    <w:tmpl w:val="3F922EBC"/>
    <w:lvl w:ilvl="0" w:tplc="C0C4A158">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43D6EB88" w:tentative="1">
      <w:start w:val="1"/>
      <w:numFmt w:val="bullet"/>
      <w:lvlText w:val=""/>
      <w:lvlJc w:val="left"/>
      <w:pPr>
        <w:tabs>
          <w:tab w:val="num" w:pos="2160"/>
        </w:tabs>
        <w:ind w:left="2160" w:hanging="360"/>
      </w:pPr>
      <w:rPr>
        <w:rFonts w:ascii="Wingdings" w:hAnsi="Wingdings" w:hint="default"/>
      </w:rPr>
    </w:lvl>
    <w:lvl w:ilvl="3" w:tplc="5FC694F6" w:tentative="1">
      <w:start w:val="1"/>
      <w:numFmt w:val="bullet"/>
      <w:lvlText w:val=""/>
      <w:lvlJc w:val="left"/>
      <w:pPr>
        <w:tabs>
          <w:tab w:val="num" w:pos="2880"/>
        </w:tabs>
        <w:ind w:left="2880" w:hanging="360"/>
      </w:pPr>
      <w:rPr>
        <w:rFonts w:ascii="Wingdings" w:hAnsi="Wingdings" w:hint="default"/>
      </w:rPr>
    </w:lvl>
    <w:lvl w:ilvl="4" w:tplc="18944F06" w:tentative="1">
      <w:start w:val="1"/>
      <w:numFmt w:val="bullet"/>
      <w:lvlText w:val=""/>
      <w:lvlJc w:val="left"/>
      <w:pPr>
        <w:tabs>
          <w:tab w:val="num" w:pos="3600"/>
        </w:tabs>
        <w:ind w:left="3600" w:hanging="360"/>
      </w:pPr>
      <w:rPr>
        <w:rFonts w:ascii="Wingdings" w:hAnsi="Wingdings" w:hint="default"/>
      </w:rPr>
    </w:lvl>
    <w:lvl w:ilvl="5" w:tplc="26E4815E" w:tentative="1">
      <w:start w:val="1"/>
      <w:numFmt w:val="bullet"/>
      <w:lvlText w:val=""/>
      <w:lvlJc w:val="left"/>
      <w:pPr>
        <w:tabs>
          <w:tab w:val="num" w:pos="4320"/>
        </w:tabs>
        <w:ind w:left="4320" w:hanging="360"/>
      </w:pPr>
      <w:rPr>
        <w:rFonts w:ascii="Wingdings" w:hAnsi="Wingdings" w:hint="default"/>
      </w:rPr>
    </w:lvl>
    <w:lvl w:ilvl="6" w:tplc="8EA82964" w:tentative="1">
      <w:start w:val="1"/>
      <w:numFmt w:val="bullet"/>
      <w:lvlText w:val=""/>
      <w:lvlJc w:val="left"/>
      <w:pPr>
        <w:tabs>
          <w:tab w:val="num" w:pos="5040"/>
        </w:tabs>
        <w:ind w:left="5040" w:hanging="360"/>
      </w:pPr>
      <w:rPr>
        <w:rFonts w:ascii="Wingdings" w:hAnsi="Wingdings" w:hint="default"/>
      </w:rPr>
    </w:lvl>
    <w:lvl w:ilvl="7" w:tplc="4FAA92C8" w:tentative="1">
      <w:start w:val="1"/>
      <w:numFmt w:val="bullet"/>
      <w:lvlText w:val=""/>
      <w:lvlJc w:val="left"/>
      <w:pPr>
        <w:tabs>
          <w:tab w:val="num" w:pos="5760"/>
        </w:tabs>
        <w:ind w:left="5760" w:hanging="360"/>
      </w:pPr>
      <w:rPr>
        <w:rFonts w:ascii="Wingdings" w:hAnsi="Wingdings" w:hint="default"/>
      </w:rPr>
    </w:lvl>
    <w:lvl w:ilvl="8" w:tplc="947832A4"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6130B74"/>
    <w:multiLevelType w:val="hybridMultilevel"/>
    <w:tmpl w:val="06400A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D6309BB"/>
    <w:multiLevelType w:val="multilevel"/>
    <w:tmpl w:val="D3028A78"/>
    <w:numStyleLink w:val="RNAAppendixList"/>
  </w:abstractNum>
  <w:abstractNum w:abstractNumId="28" w15:restartNumberingAfterBreak="0">
    <w:nsid w:val="4F815A4E"/>
    <w:multiLevelType w:val="hybridMultilevel"/>
    <w:tmpl w:val="4CC0E6E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9" w15:restartNumberingAfterBreak="0">
    <w:nsid w:val="51531AD9"/>
    <w:multiLevelType w:val="hybridMultilevel"/>
    <w:tmpl w:val="73145A6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51DB1099"/>
    <w:multiLevelType w:val="hybridMultilevel"/>
    <w:tmpl w:val="F350F060"/>
    <w:lvl w:ilvl="0" w:tplc="04090001">
      <w:start w:val="1"/>
      <w:numFmt w:val="bullet"/>
      <w:lvlText w:val=""/>
      <w:lvlJc w:val="left"/>
      <w:pPr>
        <w:ind w:left="1872" w:hanging="360"/>
      </w:pPr>
      <w:rPr>
        <w:rFonts w:ascii="Symbol" w:hAnsi="Symbol" w:hint="default"/>
      </w:rPr>
    </w:lvl>
    <w:lvl w:ilvl="1" w:tplc="04090003" w:tentative="1">
      <w:start w:val="1"/>
      <w:numFmt w:val="bullet"/>
      <w:lvlText w:val="o"/>
      <w:lvlJc w:val="left"/>
      <w:pPr>
        <w:ind w:left="2592" w:hanging="360"/>
      </w:pPr>
      <w:rPr>
        <w:rFonts w:ascii="Courier New" w:hAnsi="Courier New" w:cs="Courier New" w:hint="default"/>
      </w:rPr>
    </w:lvl>
    <w:lvl w:ilvl="2" w:tplc="04090005" w:tentative="1">
      <w:start w:val="1"/>
      <w:numFmt w:val="bullet"/>
      <w:lvlText w:val=""/>
      <w:lvlJc w:val="left"/>
      <w:pPr>
        <w:ind w:left="3312" w:hanging="360"/>
      </w:pPr>
      <w:rPr>
        <w:rFonts w:ascii="Wingdings" w:hAnsi="Wingdings" w:hint="default"/>
      </w:rPr>
    </w:lvl>
    <w:lvl w:ilvl="3" w:tplc="04090001" w:tentative="1">
      <w:start w:val="1"/>
      <w:numFmt w:val="bullet"/>
      <w:lvlText w:val=""/>
      <w:lvlJc w:val="left"/>
      <w:pPr>
        <w:ind w:left="4032" w:hanging="360"/>
      </w:pPr>
      <w:rPr>
        <w:rFonts w:ascii="Symbol" w:hAnsi="Symbol" w:hint="default"/>
      </w:rPr>
    </w:lvl>
    <w:lvl w:ilvl="4" w:tplc="04090003" w:tentative="1">
      <w:start w:val="1"/>
      <w:numFmt w:val="bullet"/>
      <w:lvlText w:val="o"/>
      <w:lvlJc w:val="left"/>
      <w:pPr>
        <w:ind w:left="4752" w:hanging="360"/>
      </w:pPr>
      <w:rPr>
        <w:rFonts w:ascii="Courier New" w:hAnsi="Courier New" w:cs="Courier New" w:hint="default"/>
      </w:rPr>
    </w:lvl>
    <w:lvl w:ilvl="5" w:tplc="04090005" w:tentative="1">
      <w:start w:val="1"/>
      <w:numFmt w:val="bullet"/>
      <w:lvlText w:val=""/>
      <w:lvlJc w:val="left"/>
      <w:pPr>
        <w:ind w:left="5472" w:hanging="360"/>
      </w:pPr>
      <w:rPr>
        <w:rFonts w:ascii="Wingdings" w:hAnsi="Wingdings" w:hint="default"/>
      </w:rPr>
    </w:lvl>
    <w:lvl w:ilvl="6" w:tplc="04090001" w:tentative="1">
      <w:start w:val="1"/>
      <w:numFmt w:val="bullet"/>
      <w:lvlText w:val=""/>
      <w:lvlJc w:val="left"/>
      <w:pPr>
        <w:ind w:left="6192" w:hanging="360"/>
      </w:pPr>
      <w:rPr>
        <w:rFonts w:ascii="Symbol" w:hAnsi="Symbol" w:hint="default"/>
      </w:rPr>
    </w:lvl>
    <w:lvl w:ilvl="7" w:tplc="04090003" w:tentative="1">
      <w:start w:val="1"/>
      <w:numFmt w:val="bullet"/>
      <w:lvlText w:val="o"/>
      <w:lvlJc w:val="left"/>
      <w:pPr>
        <w:ind w:left="6912" w:hanging="360"/>
      </w:pPr>
      <w:rPr>
        <w:rFonts w:ascii="Courier New" w:hAnsi="Courier New" w:cs="Courier New" w:hint="default"/>
      </w:rPr>
    </w:lvl>
    <w:lvl w:ilvl="8" w:tplc="04090005" w:tentative="1">
      <w:start w:val="1"/>
      <w:numFmt w:val="bullet"/>
      <w:lvlText w:val=""/>
      <w:lvlJc w:val="left"/>
      <w:pPr>
        <w:ind w:left="7632" w:hanging="360"/>
      </w:pPr>
      <w:rPr>
        <w:rFonts w:ascii="Wingdings" w:hAnsi="Wingdings" w:hint="default"/>
      </w:rPr>
    </w:lvl>
  </w:abstractNum>
  <w:abstractNum w:abstractNumId="31" w15:restartNumberingAfterBreak="0">
    <w:nsid w:val="541B4624"/>
    <w:multiLevelType w:val="hybridMultilevel"/>
    <w:tmpl w:val="CAB4D6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41B6A37"/>
    <w:multiLevelType w:val="hybridMultilevel"/>
    <w:tmpl w:val="07245F66"/>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33" w15:restartNumberingAfterBreak="0">
    <w:nsid w:val="57291505"/>
    <w:multiLevelType w:val="hybridMultilevel"/>
    <w:tmpl w:val="093820D4"/>
    <w:lvl w:ilvl="0" w:tplc="D0F8407C">
      <w:start w:val="1"/>
      <w:numFmt w:val="bullet"/>
      <w:pStyle w:val="SquareBulletstyle"/>
      <w:lvlText w:val="■"/>
      <w:lvlJc w:val="left"/>
      <w:pPr>
        <w:ind w:left="1152" w:hanging="360"/>
      </w:pPr>
      <w:rPr>
        <w:rFonts w:ascii="Franklin Gothic Book" w:hAnsi="Franklin Gothic Book" w:hint="default"/>
        <w:color w:val="005F86"/>
      </w:r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34" w15:restartNumberingAfterBreak="0">
    <w:nsid w:val="58FF6A4D"/>
    <w:multiLevelType w:val="hybridMultilevel"/>
    <w:tmpl w:val="01E2B388"/>
    <w:lvl w:ilvl="0" w:tplc="0409000F">
      <w:start w:val="1"/>
      <w:numFmt w:val="decimal"/>
      <w:lvlText w:val="%1."/>
      <w:lvlJc w:val="left"/>
      <w:pPr>
        <w:ind w:left="1152" w:hanging="360"/>
      </w:p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35" w15:restartNumberingAfterBreak="0">
    <w:nsid w:val="5ABF217E"/>
    <w:multiLevelType w:val="hybridMultilevel"/>
    <w:tmpl w:val="43EC17FE"/>
    <w:lvl w:ilvl="0" w:tplc="04090001">
      <w:start w:val="1"/>
      <w:numFmt w:val="bullet"/>
      <w:lvlText w:val=""/>
      <w:lvlJc w:val="left"/>
      <w:pPr>
        <w:ind w:left="720" w:hanging="360"/>
      </w:pPr>
      <w:rPr>
        <w:rFonts w:ascii="Symbol" w:hAnsi="Symbo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FE80392"/>
    <w:multiLevelType w:val="hybridMultilevel"/>
    <w:tmpl w:val="ECDAF52E"/>
    <w:lvl w:ilvl="0" w:tplc="90D6E544">
      <w:start w:val="1"/>
      <w:numFmt w:val="lowerLetter"/>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0D6448F"/>
    <w:multiLevelType w:val="hybridMultilevel"/>
    <w:tmpl w:val="CB60C8FA"/>
    <w:lvl w:ilvl="0" w:tplc="04090001">
      <w:start w:val="1"/>
      <w:numFmt w:val="bullet"/>
      <w:lvlText w:val=""/>
      <w:lvlJc w:val="left"/>
      <w:pPr>
        <w:ind w:left="2304" w:hanging="360"/>
      </w:pPr>
      <w:rPr>
        <w:rFonts w:ascii="Symbol" w:hAnsi="Symbol" w:hint="default"/>
      </w:rPr>
    </w:lvl>
    <w:lvl w:ilvl="1" w:tplc="04090003" w:tentative="1">
      <w:start w:val="1"/>
      <w:numFmt w:val="bullet"/>
      <w:lvlText w:val="o"/>
      <w:lvlJc w:val="left"/>
      <w:pPr>
        <w:ind w:left="3024" w:hanging="360"/>
      </w:pPr>
      <w:rPr>
        <w:rFonts w:ascii="Courier New" w:hAnsi="Courier New" w:cs="Courier New" w:hint="default"/>
      </w:rPr>
    </w:lvl>
    <w:lvl w:ilvl="2" w:tplc="04090005" w:tentative="1">
      <w:start w:val="1"/>
      <w:numFmt w:val="bullet"/>
      <w:lvlText w:val=""/>
      <w:lvlJc w:val="left"/>
      <w:pPr>
        <w:ind w:left="3744" w:hanging="360"/>
      </w:pPr>
      <w:rPr>
        <w:rFonts w:ascii="Wingdings" w:hAnsi="Wingdings" w:hint="default"/>
      </w:rPr>
    </w:lvl>
    <w:lvl w:ilvl="3" w:tplc="04090001" w:tentative="1">
      <w:start w:val="1"/>
      <w:numFmt w:val="bullet"/>
      <w:lvlText w:val=""/>
      <w:lvlJc w:val="left"/>
      <w:pPr>
        <w:ind w:left="4464" w:hanging="360"/>
      </w:pPr>
      <w:rPr>
        <w:rFonts w:ascii="Symbol" w:hAnsi="Symbol" w:hint="default"/>
      </w:rPr>
    </w:lvl>
    <w:lvl w:ilvl="4" w:tplc="04090003" w:tentative="1">
      <w:start w:val="1"/>
      <w:numFmt w:val="bullet"/>
      <w:lvlText w:val="o"/>
      <w:lvlJc w:val="left"/>
      <w:pPr>
        <w:ind w:left="5184" w:hanging="360"/>
      </w:pPr>
      <w:rPr>
        <w:rFonts w:ascii="Courier New" w:hAnsi="Courier New" w:cs="Courier New" w:hint="default"/>
      </w:rPr>
    </w:lvl>
    <w:lvl w:ilvl="5" w:tplc="04090005" w:tentative="1">
      <w:start w:val="1"/>
      <w:numFmt w:val="bullet"/>
      <w:lvlText w:val=""/>
      <w:lvlJc w:val="left"/>
      <w:pPr>
        <w:ind w:left="5904" w:hanging="360"/>
      </w:pPr>
      <w:rPr>
        <w:rFonts w:ascii="Wingdings" w:hAnsi="Wingdings" w:hint="default"/>
      </w:rPr>
    </w:lvl>
    <w:lvl w:ilvl="6" w:tplc="04090001" w:tentative="1">
      <w:start w:val="1"/>
      <w:numFmt w:val="bullet"/>
      <w:lvlText w:val=""/>
      <w:lvlJc w:val="left"/>
      <w:pPr>
        <w:ind w:left="6624" w:hanging="360"/>
      </w:pPr>
      <w:rPr>
        <w:rFonts w:ascii="Symbol" w:hAnsi="Symbol" w:hint="default"/>
      </w:rPr>
    </w:lvl>
    <w:lvl w:ilvl="7" w:tplc="04090003" w:tentative="1">
      <w:start w:val="1"/>
      <w:numFmt w:val="bullet"/>
      <w:lvlText w:val="o"/>
      <w:lvlJc w:val="left"/>
      <w:pPr>
        <w:ind w:left="7344" w:hanging="360"/>
      </w:pPr>
      <w:rPr>
        <w:rFonts w:ascii="Courier New" w:hAnsi="Courier New" w:cs="Courier New" w:hint="default"/>
      </w:rPr>
    </w:lvl>
    <w:lvl w:ilvl="8" w:tplc="04090005" w:tentative="1">
      <w:start w:val="1"/>
      <w:numFmt w:val="bullet"/>
      <w:lvlText w:val=""/>
      <w:lvlJc w:val="left"/>
      <w:pPr>
        <w:ind w:left="8064" w:hanging="360"/>
      </w:pPr>
      <w:rPr>
        <w:rFonts w:ascii="Wingdings" w:hAnsi="Wingdings" w:hint="default"/>
      </w:rPr>
    </w:lvl>
  </w:abstractNum>
  <w:abstractNum w:abstractNumId="38" w15:restartNumberingAfterBreak="0">
    <w:nsid w:val="64764BB5"/>
    <w:multiLevelType w:val="hybridMultilevel"/>
    <w:tmpl w:val="57B4039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64A5537A"/>
    <w:multiLevelType w:val="hybridMultilevel"/>
    <w:tmpl w:val="923686EA"/>
    <w:lvl w:ilvl="0" w:tplc="04090001">
      <w:start w:val="1"/>
      <w:numFmt w:val="bullet"/>
      <w:lvlText w:val=""/>
      <w:lvlJc w:val="left"/>
      <w:pPr>
        <w:ind w:left="1152" w:hanging="360"/>
      </w:pPr>
      <w:rPr>
        <w:rFonts w:ascii="Symbol" w:hAnsi="Symbol" w:hint="default"/>
      </w:rPr>
    </w:lvl>
    <w:lvl w:ilvl="1" w:tplc="04090003">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40" w15:restartNumberingAfterBreak="0">
    <w:nsid w:val="66F92305"/>
    <w:multiLevelType w:val="hybridMultilevel"/>
    <w:tmpl w:val="EDBCCFDC"/>
    <w:lvl w:ilvl="0" w:tplc="1AD6CEFC">
      <w:start w:val="1"/>
      <w:numFmt w:val="bullet"/>
      <w:lvlText w:val=""/>
      <w:lvlJc w:val="left"/>
      <w:pPr>
        <w:tabs>
          <w:tab w:val="num" w:pos="1080"/>
        </w:tabs>
        <w:ind w:left="1080" w:hanging="360"/>
      </w:pPr>
      <w:rPr>
        <w:rFonts w:ascii="Wingdings" w:hAnsi="Wingdings" w:hint="default"/>
      </w:rPr>
    </w:lvl>
    <w:lvl w:ilvl="1" w:tplc="0E369682">
      <w:numFmt w:val="bullet"/>
      <w:lvlText w:val="•"/>
      <w:lvlJc w:val="left"/>
      <w:pPr>
        <w:tabs>
          <w:tab w:val="num" w:pos="1800"/>
        </w:tabs>
        <w:ind w:left="1800" w:hanging="360"/>
      </w:pPr>
      <w:rPr>
        <w:rFonts w:ascii="Arial" w:hAnsi="Arial" w:hint="default"/>
      </w:rPr>
    </w:lvl>
    <w:lvl w:ilvl="2" w:tplc="94F4F4B0">
      <w:numFmt w:val="bullet"/>
      <w:lvlText w:val="•"/>
      <w:lvlJc w:val="left"/>
      <w:pPr>
        <w:tabs>
          <w:tab w:val="num" w:pos="2520"/>
        </w:tabs>
        <w:ind w:left="2520" w:hanging="360"/>
      </w:pPr>
      <w:rPr>
        <w:rFonts w:ascii="Arial" w:hAnsi="Arial" w:hint="default"/>
      </w:rPr>
    </w:lvl>
    <w:lvl w:ilvl="3" w:tplc="C886740C" w:tentative="1">
      <w:start w:val="1"/>
      <w:numFmt w:val="bullet"/>
      <w:lvlText w:val=""/>
      <w:lvlJc w:val="left"/>
      <w:pPr>
        <w:tabs>
          <w:tab w:val="num" w:pos="3240"/>
        </w:tabs>
        <w:ind w:left="3240" w:hanging="360"/>
      </w:pPr>
      <w:rPr>
        <w:rFonts w:ascii="Wingdings" w:hAnsi="Wingdings" w:hint="default"/>
      </w:rPr>
    </w:lvl>
    <w:lvl w:ilvl="4" w:tplc="7CFC6D0E" w:tentative="1">
      <w:start w:val="1"/>
      <w:numFmt w:val="bullet"/>
      <w:lvlText w:val=""/>
      <w:lvlJc w:val="left"/>
      <w:pPr>
        <w:tabs>
          <w:tab w:val="num" w:pos="3960"/>
        </w:tabs>
        <w:ind w:left="3960" w:hanging="360"/>
      </w:pPr>
      <w:rPr>
        <w:rFonts w:ascii="Wingdings" w:hAnsi="Wingdings" w:hint="default"/>
      </w:rPr>
    </w:lvl>
    <w:lvl w:ilvl="5" w:tplc="0F963322" w:tentative="1">
      <w:start w:val="1"/>
      <w:numFmt w:val="bullet"/>
      <w:lvlText w:val=""/>
      <w:lvlJc w:val="left"/>
      <w:pPr>
        <w:tabs>
          <w:tab w:val="num" w:pos="4680"/>
        </w:tabs>
        <w:ind w:left="4680" w:hanging="360"/>
      </w:pPr>
      <w:rPr>
        <w:rFonts w:ascii="Wingdings" w:hAnsi="Wingdings" w:hint="default"/>
      </w:rPr>
    </w:lvl>
    <w:lvl w:ilvl="6" w:tplc="F7808692" w:tentative="1">
      <w:start w:val="1"/>
      <w:numFmt w:val="bullet"/>
      <w:lvlText w:val=""/>
      <w:lvlJc w:val="left"/>
      <w:pPr>
        <w:tabs>
          <w:tab w:val="num" w:pos="5400"/>
        </w:tabs>
        <w:ind w:left="5400" w:hanging="360"/>
      </w:pPr>
      <w:rPr>
        <w:rFonts w:ascii="Wingdings" w:hAnsi="Wingdings" w:hint="default"/>
      </w:rPr>
    </w:lvl>
    <w:lvl w:ilvl="7" w:tplc="EE18AA5A" w:tentative="1">
      <w:start w:val="1"/>
      <w:numFmt w:val="bullet"/>
      <w:lvlText w:val=""/>
      <w:lvlJc w:val="left"/>
      <w:pPr>
        <w:tabs>
          <w:tab w:val="num" w:pos="6120"/>
        </w:tabs>
        <w:ind w:left="6120" w:hanging="360"/>
      </w:pPr>
      <w:rPr>
        <w:rFonts w:ascii="Wingdings" w:hAnsi="Wingdings" w:hint="default"/>
      </w:rPr>
    </w:lvl>
    <w:lvl w:ilvl="8" w:tplc="E110CD4C" w:tentative="1">
      <w:start w:val="1"/>
      <w:numFmt w:val="bullet"/>
      <w:lvlText w:val=""/>
      <w:lvlJc w:val="left"/>
      <w:pPr>
        <w:tabs>
          <w:tab w:val="num" w:pos="6840"/>
        </w:tabs>
        <w:ind w:left="6840" w:hanging="360"/>
      </w:pPr>
      <w:rPr>
        <w:rFonts w:ascii="Wingdings" w:hAnsi="Wingdings" w:hint="default"/>
      </w:rPr>
    </w:lvl>
  </w:abstractNum>
  <w:abstractNum w:abstractNumId="41" w15:restartNumberingAfterBreak="0">
    <w:nsid w:val="6C8C7CC0"/>
    <w:multiLevelType w:val="hybridMultilevel"/>
    <w:tmpl w:val="9DB0E000"/>
    <w:lvl w:ilvl="0" w:tplc="01B4D2C6">
      <w:start w:val="1"/>
      <w:numFmt w:val="bullet"/>
      <w:lvlText w:val=""/>
      <w:lvlJc w:val="left"/>
      <w:pPr>
        <w:ind w:left="1152" w:hanging="360"/>
      </w:pPr>
      <w:rPr>
        <w:rFonts w:ascii="Symbol" w:hAnsi="Symbol" w:hint="default"/>
        <w:color w:val="auto"/>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42" w15:restartNumberingAfterBreak="0">
    <w:nsid w:val="6D092FC5"/>
    <w:multiLevelType w:val="hybridMultilevel"/>
    <w:tmpl w:val="9162DE6A"/>
    <w:lvl w:ilvl="0" w:tplc="17FA367A">
      <w:start w:val="1"/>
      <w:numFmt w:val="bullet"/>
      <w:lvlText w:val="•"/>
      <w:lvlJc w:val="left"/>
      <w:pPr>
        <w:tabs>
          <w:tab w:val="num" w:pos="720"/>
        </w:tabs>
        <w:ind w:left="720" w:hanging="360"/>
      </w:pPr>
      <w:rPr>
        <w:rFonts w:ascii="Arial" w:hAnsi="Arial" w:hint="default"/>
      </w:rPr>
    </w:lvl>
    <w:lvl w:ilvl="1" w:tplc="4EB4ADD0">
      <w:start w:val="1"/>
      <w:numFmt w:val="bullet"/>
      <w:lvlText w:val="•"/>
      <w:lvlJc w:val="left"/>
      <w:pPr>
        <w:tabs>
          <w:tab w:val="num" w:pos="1440"/>
        </w:tabs>
        <w:ind w:left="1440" w:hanging="360"/>
      </w:pPr>
      <w:rPr>
        <w:rFonts w:ascii="Arial" w:hAnsi="Arial" w:hint="default"/>
      </w:rPr>
    </w:lvl>
    <w:lvl w:ilvl="2" w:tplc="8D207F76" w:tentative="1">
      <w:start w:val="1"/>
      <w:numFmt w:val="bullet"/>
      <w:lvlText w:val="•"/>
      <w:lvlJc w:val="left"/>
      <w:pPr>
        <w:tabs>
          <w:tab w:val="num" w:pos="2160"/>
        </w:tabs>
        <w:ind w:left="2160" w:hanging="360"/>
      </w:pPr>
      <w:rPr>
        <w:rFonts w:ascii="Arial" w:hAnsi="Arial" w:hint="default"/>
      </w:rPr>
    </w:lvl>
    <w:lvl w:ilvl="3" w:tplc="463007E4" w:tentative="1">
      <w:start w:val="1"/>
      <w:numFmt w:val="bullet"/>
      <w:lvlText w:val="•"/>
      <w:lvlJc w:val="left"/>
      <w:pPr>
        <w:tabs>
          <w:tab w:val="num" w:pos="2880"/>
        </w:tabs>
        <w:ind w:left="2880" w:hanging="360"/>
      </w:pPr>
      <w:rPr>
        <w:rFonts w:ascii="Arial" w:hAnsi="Arial" w:hint="default"/>
      </w:rPr>
    </w:lvl>
    <w:lvl w:ilvl="4" w:tplc="3AD423FE" w:tentative="1">
      <w:start w:val="1"/>
      <w:numFmt w:val="bullet"/>
      <w:lvlText w:val="•"/>
      <w:lvlJc w:val="left"/>
      <w:pPr>
        <w:tabs>
          <w:tab w:val="num" w:pos="3600"/>
        </w:tabs>
        <w:ind w:left="3600" w:hanging="360"/>
      </w:pPr>
      <w:rPr>
        <w:rFonts w:ascii="Arial" w:hAnsi="Arial" w:hint="default"/>
      </w:rPr>
    </w:lvl>
    <w:lvl w:ilvl="5" w:tplc="1BCCBAD0" w:tentative="1">
      <w:start w:val="1"/>
      <w:numFmt w:val="bullet"/>
      <w:lvlText w:val="•"/>
      <w:lvlJc w:val="left"/>
      <w:pPr>
        <w:tabs>
          <w:tab w:val="num" w:pos="4320"/>
        </w:tabs>
        <w:ind w:left="4320" w:hanging="360"/>
      </w:pPr>
      <w:rPr>
        <w:rFonts w:ascii="Arial" w:hAnsi="Arial" w:hint="default"/>
      </w:rPr>
    </w:lvl>
    <w:lvl w:ilvl="6" w:tplc="7318001E" w:tentative="1">
      <w:start w:val="1"/>
      <w:numFmt w:val="bullet"/>
      <w:lvlText w:val="•"/>
      <w:lvlJc w:val="left"/>
      <w:pPr>
        <w:tabs>
          <w:tab w:val="num" w:pos="5040"/>
        </w:tabs>
        <w:ind w:left="5040" w:hanging="360"/>
      </w:pPr>
      <w:rPr>
        <w:rFonts w:ascii="Arial" w:hAnsi="Arial" w:hint="default"/>
      </w:rPr>
    </w:lvl>
    <w:lvl w:ilvl="7" w:tplc="BF827300" w:tentative="1">
      <w:start w:val="1"/>
      <w:numFmt w:val="bullet"/>
      <w:lvlText w:val="•"/>
      <w:lvlJc w:val="left"/>
      <w:pPr>
        <w:tabs>
          <w:tab w:val="num" w:pos="5760"/>
        </w:tabs>
        <w:ind w:left="5760" w:hanging="360"/>
      </w:pPr>
      <w:rPr>
        <w:rFonts w:ascii="Arial" w:hAnsi="Arial" w:hint="default"/>
      </w:rPr>
    </w:lvl>
    <w:lvl w:ilvl="8" w:tplc="681208C0"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6ED83270"/>
    <w:multiLevelType w:val="hybridMultilevel"/>
    <w:tmpl w:val="80D27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3485620"/>
    <w:multiLevelType w:val="hybridMultilevel"/>
    <w:tmpl w:val="82B4D636"/>
    <w:lvl w:ilvl="0" w:tplc="04090005">
      <w:start w:val="1"/>
      <w:numFmt w:val="bullet"/>
      <w:lvlText w:val=""/>
      <w:lvlJc w:val="left"/>
      <w:pPr>
        <w:ind w:left="1152" w:hanging="360"/>
      </w:pPr>
      <w:rPr>
        <w:rFonts w:ascii="Wingdings" w:hAnsi="Wingdings" w:hint="default"/>
        <w:color w:val="005F86"/>
      </w:rPr>
    </w:lvl>
    <w:lvl w:ilvl="1" w:tplc="04090003">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45" w15:restartNumberingAfterBreak="0">
    <w:nsid w:val="757F4959"/>
    <w:multiLevelType w:val="hybridMultilevel"/>
    <w:tmpl w:val="D102DA0E"/>
    <w:lvl w:ilvl="0" w:tplc="0409001B">
      <w:start w:val="1"/>
      <w:numFmt w:val="lowerRoman"/>
      <w:lvlText w:val="%1."/>
      <w:lvlJc w:val="right"/>
      <w:pPr>
        <w:ind w:left="1152" w:hanging="360"/>
      </w:p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46" w15:restartNumberingAfterBreak="0">
    <w:nsid w:val="7D114A1B"/>
    <w:multiLevelType w:val="hybridMultilevel"/>
    <w:tmpl w:val="64C8C2A4"/>
    <w:lvl w:ilvl="0" w:tplc="7C007F04">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num w:numId="1">
    <w:abstractNumId w:val="19"/>
  </w:num>
  <w:num w:numId="2">
    <w:abstractNumId w:val="10"/>
  </w:num>
  <w:num w:numId="3">
    <w:abstractNumId w:val="8"/>
  </w:num>
  <w:num w:numId="4">
    <w:abstractNumId w:val="5"/>
  </w:num>
  <w:num w:numId="5">
    <w:abstractNumId w:val="27"/>
  </w:num>
  <w:num w:numId="6">
    <w:abstractNumId w:val="36"/>
  </w:num>
  <w:num w:numId="7">
    <w:abstractNumId w:val="23"/>
  </w:num>
  <w:num w:numId="8">
    <w:abstractNumId w:val="40"/>
  </w:num>
  <w:num w:numId="9">
    <w:abstractNumId w:val="46"/>
  </w:num>
  <w:num w:numId="10">
    <w:abstractNumId w:val="32"/>
  </w:num>
  <w:num w:numId="11">
    <w:abstractNumId w:val="24"/>
  </w:num>
  <w:num w:numId="12">
    <w:abstractNumId w:val="44"/>
  </w:num>
  <w:num w:numId="13">
    <w:abstractNumId w:val="41"/>
  </w:num>
  <w:num w:numId="14">
    <w:abstractNumId w:val="38"/>
  </w:num>
  <w:num w:numId="15">
    <w:abstractNumId w:val="20"/>
  </w:num>
  <w:num w:numId="16">
    <w:abstractNumId w:val="45"/>
  </w:num>
  <w:num w:numId="17">
    <w:abstractNumId w:val="33"/>
  </w:num>
  <w:num w:numId="18">
    <w:abstractNumId w:val="17"/>
  </w:num>
  <w:num w:numId="19">
    <w:abstractNumId w:val="12"/>
  </w:num>
  <w:num w:numId="20">
    <w:abstractNumId w:val="2"/>
  </w:num>
  <w:num w:numId="21">
    <w:abstractNumId w:val="43"/>
  </w:num>
  <w:num w:numId="22">
    <w:abstractNumId w:val="26"/>
  </w:num>
  <w:num w:numId="23">
    <w:abstractNumId w:val="6"/>
  </w:num>
  <w:num w:numId="24">
    <w:abstractNumId w:val="22"/>
  </w:num>
  <w:num w:numId="25">
    <w:abstractNumId w:val="37"/>
  </w:num>
  <w:num w:numId="26">
    <w:abstractNumId w:val="7"/>
  </w:num>
  <w:num w:numId="27">
    <w:abstractNumId w:val="34"/>
  </w:num>
  <w:num w:numId="28">
    <w:abstractNumId w:val="39"/>
  </w:num>
  <w:num w:numId="29">
    <w:abstractNumId w:val="29"/>
  </w:num>
  <w:num w:numId="30">
    <w:abstractNumId w:val="28"/>
  </w:num>
  <w:num w:numId="31">
    <w:abstractNumId w:val="4"/>
  </w:num>
  <w:num w:numId="32">
    <w:abstractNumId w:val="30"/>
  </w:num>
  <w:num w:numId="33">
    <w:abstractNumId w:val="21"/>
  </w:num>
  <w:num w:numId="34">
    <w:abstractNumId w:val="15"/>
  </w:num>
  <w:num w:numId="35">
    <w:abstractNumId w:val="13"/>
  </w:num>
  <w:num w:numId="36">
    <w:abstractNumId w:val="14"/>
  </w:num>
  <w:num w:numId="3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8"/>
  </w:num>
  <w:num w:numId="40">
    <w:abstractNumId w:val="0"/>
  </w:num>
  <w:num w:numId="41">
    <w:abstractNumId w:val="3"/>
  </w:num>
  <w:num w:numId="42">
    <w:abstractNumId w:val="16"/>
  </w:num>
  <w:num w:numId="43">
    <w:abstractNumId w:val="42"/>
  </w:num>
  <w:num w:numId="44">
    <w:abstractNumId w:val="25"/>
  </w:num>
  <w:num w:numId="45">
    <w:abstractNumId w:val="1"/>
  </w:num>
  <w:num w:numId="46">
    <w:abstractNumId w:val="31"/>
  </w:num>
  <w:num w:numId="47">
    <w:abstractNumId w:val="9"/>
  </w:num>
  <w:num w:numId="48">
    <w:abstractNumId w:val="11"/>
  </w:num>
  <w:num w:numId="49">
    <w:abstractNumId w:val="35"/>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trackRevisions/>
  <w:defaultTabStop w:val="720"/>
  <w:drawingGridHorizontalSpacing w:val="10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4233"/>
    <w:rsid w:val="0000208F"/>
    <w:rsid w:val="0000242C"/>
    <w:rsid w:val="0000313F"/>
    <w:rsid w:val="00003586"/>
    <w:rsid w:val="0000387E"/>
    <w:rsid w:val="00003897"/>
    <w:rsid w:val="0000432D"/>
    <w:rsid w:val="000049A7"/>
    <w:rsid w:val="00004E28"/>
    <w:rsid w:val="00005C57"/>
    <w:rsid w:val="000068C4"/>
    <w:rsid w:val="00010338"/>
    <w:rsid w:val="00011012"/>
    <w:rsid w:val="00011129"/>
    <w:rsid w:val="0001484F"/>
    <w:rsid w:val="000148F4"/>
    <w:rsid w:val="00015159"/>
    <w:rsid w:val="000159D2"/>
    <w:rsid w:val="00015A35"/>
    <w:rsid w:val="000162BE"/>
    <w:rsid w:val="00016326"/>
    <w:rsid w:val="00016925"/>
    <w:rsid w:val="00016E40"/>
    <w:rsid w:val="00016F0D"/>
    <w:rsid w:val="000171FB"/>
    <w:rsid w:val="0001731E"/>
    <w:rsid w:val="0002042B"/>
    <w:rsid w:val="00020997"/>
    <w:rsid w:val="00021476"/>
    <w:rsid w:val="00023E15"/>
    <w:rsid w:val="00024A86"/>
    <w:rsid w:val="000253DB"/>
    <w:rsid w:val="00025536"/>
    <w:rsid w:val="000255E2"/>
    <w:rsid w:val="000258B7"/>
    <w:rsid w:val="00025C78"/>
    <w:rsid w:val="00026076"/>
    <w:rsid w:val="00026CEE"/>
    <w:rsid w:val="00027516"/>
    <w:rsid w:val="000276A9"/>
    <w:rsid w:val="00027DFD"/>
    <w:rsid w:val="00027EBF"/>
    <w:rsid w:val="000304D4"/>
    <w:rsid w:val="00031428"/>
    <w:rsid w:val="00031ACE"/>
    <w:rsid w:val="0003237B"/>
    <w:rsid w:val="00032E7A"/>
    <w:rsid w:val="00032FE9"/>
    <w:rsid w:val="0003341E"/>
    <w:rsid w:val="00033459"/>
    <w:rsid w:val="000337A7"/>
    <w:rsid w:val="00033AD1"/>
    <w:rsid w:val="00035CCC"/>
    <w:rsid w:val="000363E0"/>
    <w:rsid w:val="0003770F"/>
    <w:rsid w:val="000402AB"/>
    <w:rsid w:val="000403AE"/>
    <w:rsid w:val="000408D4"/>
    <w:rsid w:val="00042023"/>
    <w:rsid w:val="00042E63"/>
    <w:rsid w:val="00043B9C"/>
    <w:rsid w:val="00044B38"/>
    <w:rsid w:val="00044C8F"/>
    <w:rsid w:val="00044E00"/>
    <w:rsid w:val="00044FBC"/>
    <w:rsid w:val="00045087"/>
    <w:rsid w:val="0004590C"/>
    <w:rsid w:val="00045BDD"/>
    <w:rsid w:val="000462C7"/>
    <w:rsid w:val="00046C22"/>
    <w:rsid w:val="00046C3B"/>
    <w:rsid w:val="00047D9D"/>
    <w:rsid w:val="00051F1E"/>
    <w:rsid w:val="00052561"/>
    <w:rsid w:val="000531C5"/>
    <w:rsid w:val="00054B7B"/>
    <w:rsid w:val="00055061"/>
    <w:rsid w:val="0005670C"/>
    <w:rsid w:val="00056A5F"/>
    <w:rsid w:val="00056DAA"/>
    <w:rsid w:val="000604D0"/>
    <w:rsid w:val="000610E5"/>
    <w:rsid w:val="00061FD9"/>
    <w:rsid w:val="00062069"/>
    <w:rsid w:val="000627C6"/>
    <w:rsid w:val="000627C8"/>
    <w:rsid w:val="00062BEF"/>
    <w:rsid w:val="00062D5F"/>
    <w:rsid w:val="00063B1B"/>
    <w:rsid w:val="0006425E"/>
    <w:rsid w:val="0006428A"/>
    <w:rsid w:val="000647A4"/>
    <w:rsid w:val="00065105"/>
    <w:rsid w:val="00067FD4"/>
    <w:rsid w:val="000709B1"/>
    <w:rsid w:val="00070D5B"/>
    <w:rsid w:val="00070F80"/>
    <w:rsid w:val="000710BE"/>
    <w:rsid w:val="0007121C"/>
    <w:rsid w:val="00071713"/>
    <w:rsid w:val="0007199E"/>
    <w:rsid w:val="0007212C"/>
    <w:rsid w:val="000722BE"/>
    <w:rsid w:val="0007271A"/>
    <w:rsid w:val="00072EFB"/>
    <w:rsid w:val="000732D4"/>
    <w:rsid w:val="000735D5"/>
    <w:rsid w:val="000736C6"/>
    <w:rsid w:val="00073870"/>
    <w:rsid w:val="00073B00"/>
    <w:rsid w:val="000741FC"/>
    <w:rsid w:val="0007465E"/>
    <w:rsid w:val="00074EEE"/>
    <w:rsid w:val="00075210"/>
    <w:rsid w:val="00077257"/>
    <w:rsid w:val="000772E5"/>
    <w:rsid w:val="00077549"/>
    <w:rsid w:val="00077B1F"/>
    <w:rsid w:val="000812E1"/>
    <w:rsid w:val="0008174A"/>
    <w:rsid w:val="000817A1"/>
    <w:rsid w:val="00081919"/>
    <w:rsid w:val="00081EF2"/>
    <w:rsid w:val="000826CA"/>
    <w:rsid w:val="0008271B"/>
    <w:rsid w:val="00082D55"/>
    <w:rsid w:val="0008455F"/>
    <w:rsid w:val="00084706"/>
    <w:rsid w:val="00084A7F"/>
    <w:rsid w:val="00085006"/>
    <w:rsid w:val="000859BF"/>
    <w:rsid w:val="00085C88"/>
    <w:rsid w:val="00087E04"/>
    <w:rsid w:val="00090093"/>
    <w:rsid w:val="0009019E"/>
    <w:rsid w:val="00090B67"/>
    <w:rsid w:val="00091037"/>
    <w:rsid w:val="0009151D"/>
    <w:rsid w:val="000916B2"/>
    <w:rsid w:val="00091E03"/>
    <w:rsid w:val="00092D5E"/>
    <w:rsid w:val="00095503"/>
    <w:rsid w:val="000956DD"/>
    <w:rsid w:val="000959E4"/>
    <w:rsid w:val="00095D35"/>
    <w:rsid w:val="00096196"/>
    <w:rsid w:val="0009642E"/>
    <w:rsid w:val="00096ED7"/>
    <w:rsid w:val="000978FB"/>
    <w:rsid w:val="000A06D1"/>
    <w:rsid w:val="000A0748"/>
    <w:rsid w:val="000A0E7F"/>
    <w:rsid w:val="000A127C"/>
    <w:rsid w:val="000A24E9"/>
    <w:rsid w:val="000A2760"/>
    <w:rsid w:val="000A294A"/>
    <w:rsid w:val="000A2A5A"/>
    <w:rsid w:val="000A2B17"/>
    <w:rsid w:val="000A2B46"/>
    <w:rsid w:val="000A2C88"/>
    <w:rsid w:val="000A3559"/>
    <w:rsid w:val="000A3DAE"/>
    <w:rsid w:val="000A4A15"/>
    <w:rsid w:val="000A4A75"/>
    <w:rsid w:val="000A4DA3"/>
    <w:rsid w:val="000A5EAF"/>
    <w:rsid w:val="000A6EA8"/>
    <w:rsid w:val="000A7657"/>
    <w:rsid w:val="000A7ED7"/>
    <w:rsid w:val="000A7F84"/>
    <w:rsid w:val="000B0D04"/>
    <w:rsid w:val="000B0E01"/>
    <w:rsid w:val="000B0E30"/>
    <w:rsid w:val="000B1643"/>
    <w:rsid w:val="000B16F7"/>
    <w:rsid w:val="000B1E44"/>
    <w:rsid w:val="000B269E"/>
    <w:rsid w:val="000B26FE"/>
    <w:rsid w:val="000B2C12"/>
    <w:rsid w:val="000B3099"/>
    <w:rsid w:val="000B3780"/>
    <w:rsid w:val="000B41AB"/>
    <w:rsid w:val="000B5499"/>
    <w:rsid w:val="000B6613"/>
    <w:rsid w:val="000B7868"/>
    <w:rsid w:val="000B79DB"/>
    <w:rsid w:val="000C0403"/>
    <w:rsid w:val="000C06B2"/>
    <w:rsid w:val="000C07A3"/>
    <w:rsid w:val="000C0C54"/>
    <w:rsid w:val="000C2A42"/>
    <w:rsid w:val="000C2C81"/>
    <w:rsid w:val="000C333C"/>
    <w:rsid w:val="000C3431"/>
    <w:rsid w:val="000C473A"/>
    <w:rsid w:val="000C493E"/>
    <w:rsid w:val="000C4F82"/>
    <w:rsid w:val="000C5006"/>
    <w:rsid w:val="000C50B5"/>
    <w:rsid w:val="000C5499"/>
    <w:rsid w:val="000C562D"/>
    <w:rsid w:val="000C774B"/>
    <w:rsid w:val="000C774C"/>
    <w:rsid w:val="000C791E"/>
    <w:rsid w:val="000C793F"/>
    <w:rsid w:val="000C7D43"/>
    <w:rsid w:val="000D05EE"/>
    <w:rsid w:val="000D2C67"/>
    <w:rsid w:val="000D3211"/>
    <w:rsid w:val="000D3399"/>
    <w:rsid w:val="000D386C"/>
    <w:rsid w:val="000D3F1B"/>
    <w:rsid w:val="000D4735"/>
    <w:rsid w:val="000D4A98"/>
    <w:rsid w:val="000D4E46"/>
    <w:rsid w:val="000D5290"/>
    <w:rsid w:val="000D5A07"/>
    <w:rsid w:val="000D5A24"/>
    <w:rsid w:val="000D6B71"/>
    <w:rsid w:val="000D76CE"/>
    <w:rsid w:val="000D79E1"/>
    <w:rsid w:val="000E03DB"/>
    <w:rsid w:val="000E0987"/>
    <w:rsid w:val="000E0BAF"/>
    <w:rsid w:val="000E1CD1"/>
    <w:rsid w:val="000E22D3"/>
    <w:rsid w:val="000E301C"/>
    <w:rsid w:val="000E3380"/>
    <w:rsid w:val="000E3FF0"/>
    <w:rsid w:val="000E43DD"/>
    <w:rsid w:val="000E5A7F"/>
    <w:rsid w:val="000E7930"/>
    <w:rsid w:val="000E7D64"/>
    <w:rsid w:val="000F1853"/>
    <w:rsid w:val="000F1B5E"/>
    <w:rsid w:val="000F2514"/>
    <w:rsid w:val="000F439E"/>
    <w:rsid w:val="000F447F"/>
    <w:rsid w:val="000F58C5"/>
    <w:rsid w:val="000F5B4B"/>
    <w:rsid w:val="000F60C9"/>
    <w:rsid w:val="000F775A"/>
    <w:rsid w:val="000F7C08"/>
    <w:rsid w:val="00100D06"/>
    <w:rsid w:val="00100F2E"/>
    <w:rsid w:val="00101336"/>
    <w:rsid w:val="001024CC"/>
    <w:rsid w:val="00102957"/>
    <w:rsid w:val="00102C79"/>
    <w:rsid w:val="00102F14"/>
    <w:rsid w:val="001042E0"/>
    <w:rsid w:val="0010618F"/>
    <w:rsid w:val="00106B37"/>
    <w:rsid w:val="00106B40"/>
    <w:rsid w:val="00107820"/>
    <w:rsid w:val="00107A19"/>
    <w:rsid w:val="00110778"/>
    <w:rsid w:val="00111C1D"/>
    <w:rsid w:val="00111D31"/>
    <w:rsid w:val="00112B23"/>
    <w:rsid w:val="00112B2F"/>
    <w:rsid w:val="00113409"/>
    <w:rsid w:val="00113569"/>
    <w:rsid w:val="00113A08"/>
    <w:rsid w:val="00113A40"/>
    <w:rsid w:val="00113AC9"/>
    <w:rsid w:val="001146DE"/>
    <w:rsid w:val="00114DB2"/>
    <w:rsid w:val="001155E5"/>
    <w:rsid w:val="0011561F"/>
    <w:rsid w:val="00115F41"/>
    <w:rsid w:val="00116EB6"/>
    <w:rsid w:val="001171EE"/>
    <w:rsid w:val="0011775B"/>
    <w:rsid w:val="00117A23"/>
    <w:rsid w:val="00120434"/>
    <w:rsid w:val="00120FBC"/>
    <w:rsid w:val="00121E1E"/>
    <w:rsid w:val="001226D5"/>
    <w:rsid w:val="001227A8"/>
    <w:rsid w:val="001227FB"/>
    <w:rsid w:val="001248D9"/>
    <w:rsid w:val="0012496E"/>
    <w:rsid w:val="00124B26"/>
    <w:rsid w:val="001251D8"/>
    <w:rsid w:val="001276B9"/>
    <w:rsid w:val="00127F66"/>
    <w:rsid w:val="00130DC6"/>
    <w:rsid w:val="00130EBB"/>
    <w:rsid w:val="00131582"/>
    <w:rsid w:val="0013252B"/>
    <w:rsid w:val="001325AC"/>
    <w:rsid w:val="001337C3"/>
    <w:rsid w:val="00133832"/>
    <w:rsid w:val="00133F67"/>
    <w:rsid w:val="00135C19"/>
    <w:rsid w:val="001360CD"/>
    <w:rsid w:val="001379CF"/>
    <w:rsid w:val="00140C17"/>
    <w:rsid w:val="001428BD"/>
    <w:rsid w:val="00142944"/>
    <w:rsid w:val="00143EAF"/>
    <w:rsid w:val="0014459A"/>
    <w:rsid w:val="001445AD"/>
    <w:rsid w:val="001463DE"/>
    <w:rsid w:val="001464A9"/>
    <w:rsid w:val="00146AB0"/>
    <w:rsid w:val="00151088"/>
    <w:rsid w:val="001510B8"/>
    <w:rsid w:val="001521B6"/>
    <w:rsid w:val="00152610"/>
    <w:rsid w:val="00152618"/>
    <w:rsid w:val="00154997"/>
    <w:rsid w:val="00155444"/>
    <w:rsid w:val="00155915"/>
    <w:rsid w:val="00156144"/>
    <w:rsid w:val="00156200"/>
    <w:rsid w:val="00156B3B"/>
    <w:rsid w:val="00157012"/>
    <w:rsid w:val="00160FE2"/>
    <w:rsid w:val="001628E2"/>
    <w:rsid w:val="00163361"/>
    <w:rsid w:val="00163891"/>
    <w:rsid w:val="0016393F"/>
    <w:rsid w:val="0016504D"/>
    <w:rsid w:val="001660B4"/>
    <w:rsid w:val="0016610B"/>
    <w:rsid w:val="00167088"/>
    <w:rsid w:val="001671F9"/>
    <w:rsid w:val="00167681"/>
    <w:rsid w:val="00167F83"/>
    <w:rsid w:val="00170119"/>
    <w:rsid w:val="001722FB"/>
    <w:rsid w:val="00172329"/>
    <w:rsid w:val="001738DA"/>
    <w:rsid w:val="001742F5"/>
    <w:rsid w:val="00174B23"/>
    <w:rsid w:val="001752D6"/>
    <w:rsid w:val="001759FE"/>
    <w:rsid w:val="00176635"/>
    <w:rsid w:val="001766CE"/>
    <w:rsid w:val="00176B11"/>
    <w:rsid w:val="00176EBE"/>
    <w:rsid w:val="00180509"/>
    <w:rsid w:val="0018262B"/>
    <w:rsid w:val="00182647"/>
    <w:rsid w:val="00182BCF"/>
    <w:rsid w:val="0018347F"/>
    <w:rsid w:val="00183AF8"/>
    <w:rsid w:val="00184C0F"/>
    <w:rsid w:val="00184C9C"/>
    <w:rsid w:val="001851AF"/>
    <w:rsid w:val="001851BB"/>
    <w:rsid w:val="00185A2F"/>
    <w:rsid w:val="00185DA8"/>
    <w:rsid w:val="0018697A"/>
    <w:rsid w:val="001878A9"/>
    <w:rsid w:val="001901E2"/>
    <w:rsid w:val="00190A94"/>
    <w:rsid w:val="00190AB0"/>
    <w:rsid w:val="00191604"/>
    <w:rsid w:val="001917FC"/>
    <w:rsid w:val="0019190E"/>
    <w:rsid w:val="00191E62"/>
    <w:rsid w:val="001921EA"/>
    <w:rsid w:val="00193185"/>
    <w:rsid w:val="00193321"/>
    <w:rsid w:val="00193A90"/>
    <w:rsid w:val="00193BA0"/>
    <w:rsid w:val="00193F08"/>
    <w:rsid w:val="001947BE"/>
    <w:rsid w:val="00194BF3"/>
    <w:rsid w:val="0019555B"/>
    <w:rsid w:val="001968FE"/>
    <w:rsid w:val="00197634"/>
    <w:rsid w:val="001979B0"/>
    <w:rsid w:val="001A0219"/>
    <w:rsid w:val="001A08CA"/>
    <w:rsid w:val="001A1FE1"/>
    <w:rsid w:val="001A2023"/>
    <w:rsid w:val="001A26E6"/>
    <w:rsid w:val="001A2DE8"/>
    <w:rsid w:val="001A2E83"/>
    <w:rsid w:val="001A328F"/>
    <w:rsid w:val="001A335D"/>
    <w:rsid w:val="001A387C"/>
    <w:rsid w:val="001A3B78"/>
    <w:rsid w:val="001A43D7"/>
    <w:rsid w:val="001A575B"/>
    <w:rsid w:val="001A57C0"/>
    <w:rsid w:val="001A69AC"/>
    <w:rsid w:val="001A76A9"/>
    <w:rsid w:val="001B025A"/>
    <w:rsid w:val="001B0C68"/>
    <w:rsid w:val="001B18DC"/>
    <w:rsid w:val="001B24B6"/>
    <w:rsid w:val="001B292A"/>
    <w:rsid w:val="001B2A04"/>
    <w:rsid w:val="001B360D"/>
    <w:rsid w:val="001B3863"/>
    <w:rsid w:val="001B38C1"/>
    <w:rsid w:val="001B42D2"/>
    <w:rsid w:val="001B46C9"/>
    <w:rsid w:val="001B5BB5"/>
    <w:rsid w:val="001B608B"/>
    <w:rsid w:val="001B6DC3"/>
    <w:rsid w:val="001B7880"/>
    <w:rsid w:val="001C051B"/>
    <w:rsid w:val="001C1526"/>
    <w:rsid w:val="001C16B6"/>
    <w:rsid w:val="001C2708"/>
    <w:rsid w:val="001C2856"/>
    <w:rsid w:val="001C3785"/>
    <w:rsid w:val="001C3A93"/>
    <w:rsid w:val="001C4899"/>
    <w:rsid w:val="001C4E61"/>
    <w:rsid w:val="001C575A"/>
    <w:rsid w:val="001C6507"/>
    <w:rsid w:val="001C65CC"/>
    <w:rsid w:val="001C6DF2"/>
    <w:rsid w:val="001C7182"/>
    <w:rsid w:val="001C79D7"/>
    <w:rsid w:val="001D0B41"/>
    <w:rsid w:val="001D1176"/>
    <w:rsid w:val="001D156F"/>
    <w:rsid w:val="001D251C"/>
    <w:rsid w:val="001D2AB3"/>
    <w:rsid w:val="001D2BA6"/>
    <w:rsid w:val="001D2BBB"/>
    <w:rsid w:val="001D2F1B"/>
    <w:rsid w:val="001D50BF"/>
    <w:rsid w:val="001D5798"/>
    <w:rsid w:val="001D5D1C"/>
    <w:rsid w:val="001D5D70"/>
    <w:rsid w:val="001E0A60"/>
    <w:rsid w:val="001E0B6A"/>
    <w:rsid w:val="001E1E12"/>
    <w:rsid w:val="001E22FC"/>
    <w:rsid w:val="001E2D54"/>
    <w:rsid w:val="001E317B"/>
    <w:rsid w:val="001E358B"/>
    <w:rsid w:val="001E4408"/>
    <w:rsid w:val="001E4B99"/>
    <w:rsid w:val="001E4DCD"/>
    <w:rsid w:val="001E502E"/>
    <w:rsid w:val="001E56EC"/>
    <w:rsid w:val="001E5BEA"/>
    <w:rsid w:val="001E6169"/>
    <w:rsid w:val="001E668A"/>
    <w:rsid w:val="001E7CEA"/>
    <w:rsid w:val="001E7E5A"/>
    <w:rsid w:val="001F01B7"/>
    <w:rsid w:val="001F03B4"/>
    <w:rsid w:val="001F0469"/>
    <w:rsid w:val="001F0C1F"/>
    <w:rsid w:val="001F0DF5"/>
    <w:rsid w:val="001F100D"/>
    <w:rsid w:val="001F10F0"/>
    <w:rsid w:val="001F110A"/>
    <w:rsid w:val="001F1415"/>
    <w:rsid w:val="001F155F"/>
    <w:rsid w:val="001F1A76"/>
    <w:rsid w:val="001F2A56"/>
    <w:rsid w:val="001F2E00"/>
    <w:rsid w:val="001F31D7"/>
    <w:rsid w:val="001F33AA"/>
    <w:rsid w:val="001F3F9C"/>
    <w:rsid w:val="001F5C84"/>
    <w:rsid w:val="001F5D3D"/>
    <w:rsid w:val="001F62AF"/>
    <w:rsid w:val="001F6E3B"/>
    <w:rsid w:val="002005AE"/>
    <w:rsid w:val="002006E5"/>
    <w:rsid w:val="00200CA4"/>
    <w:rsid w:val="0020110B"/>
    <w:rsid w:val="00201258"/>
    <w:rsid w:val="002014BB"/>
    <w:rsid w:val="00201872"/>
    <w:rsid w:val="00201999"/>
    <w:rsid w:val="00201CDE"/>
    <w:rsid w:val="00201DBA"/>
    <w:rsid w:val="0020268B"/>
    <w:rsid w:val="00202EDC"/>
    <w:rsid w:val="0020419A"/>
    <w:rsid w:val="002045E8"/>
    <w:rsid w:val="00204A04"/>
    <w:rsid w:val="00206737"/>
    <w:rsid w:val="00206835"/>
    <w:rsid w:val="00206F5A"/>
    <w:rsid w:val="002078F7"/>
    <w:rsid w:val="00210389"/>
    <w:rsid w:val="00210798"/>
    <w:rsid w:val="002119B4"/>
    <w:rsid w:val="00211A74"/>
    <w:rsid w:val="002124B7"/>
    <w:rsid w:val="00213598"/>
    <w:rsid w:val="002136E5"/>
    <w:rsid w:val="002138CA"/>
    <w:rsid w:val="00214B22"/>
    <w:rsid w:val="0021584B"/>
    <w:rsid w:val="00216319"/>
    <w:rsid w:val="002163D8"/>
    <w:rsid w:val="00216DE6"/>
    <w:rsid w:val="00217044"/>
    <w:rsid w:val="00217C05"/>
    <w:rsid w:val="00217DF4"/>
    <w:rsid w:val="002207DD"/>
    <w:rsid w:val="002207EC"/>
    <w:rsid w:val="002218A1"/>
    <w:rsid w:val="00221F7D"/>
    <w:rsid w:val="0022235A"/>
    <w:rsid w:val="00222969"/>
    <w:rsid w:val="00222CF3"/>
    <w:rsid w:val="00222F25"/>
    <w:rsid w:val="0022328C"/>
    <w:rsid w:val="0022499E"/>
    <w:rsid w:val="00226AF2"/>
    <w:rsid w:val="00226FEC"/>
    <w:rsid w:val="00230265"/>
    <w:rsid w:val="002308CA"/>
    <w:rsid w:val="00231535"/>
    <w:rsid w:val="00232ADC"/>
    <w:rsid w:val="00232C33"/>
    <w:rsid w:val="0023352E"/>
    <w:rsid w:val="002344E1"/>
    <w:rsid w:val="002347AD"/>
    <w:rsid w:val="00234D5F"/>
    <w:rsid w:val="00234D79"/>
    <w:rsid w:val="0023561A"/>
    <w:rsid w:val="002358DD"/>
    <w:rsid w:val="0023668C"/>
    <w:rsid w:val="00236711"/>
    <w:rsid w:val="00237089"/>
    <w:rsid w:val="002370B9"/>
    <w:rsid w:val="002376F0"/>
    <w:rsid w:val="002404A4"/>
    <w:rsid w:val="0024120F"/>
    <w:rsid w:val="00241E53"/>
    <w:rsid w:val="00242168"/>
    <w:rsid w:val="00242415"/>
    <w:rsid w:val="00242640"/>
    <w:rsid w:val="00242E7B"/>
    <w:rsid w:val="00243C4C"/>
    <w:rsid w:val="0024556E"/>
    <w:rsid w:val="00245578"/>
    <w:rsid w:val="00246321"/>
    <w:rsid w:val="00246CFE"/>
    <w:rsid w:val="0024730C"/>
    <w:rsid w:val="00247748"/>
    <w:rsid w:val="00250FB1"/>
    <w:rsid w:val="0025145C"/>
    <w:rsid w:val="00251543"/>
    <w:rsid w:val="00253605"/>
    <w:rsid w:val="00254039"/>
    <w:rsid w:val="002546EA"/>
    <w:rsid w:val="00255C44"/>
    <w:rsid w:val="0025612B"/>
    <w:rsid w:val="00257B95"/>
    <w:rsid w:val="002601D8"/>
    <w:rsid w:val="00261122"/>
    <w:rsid w:val="0026165F"/>
    <w:rsid w:val="00261808"/>
    <w:rsid w:val="00261A2D"/>
    <w:rsid w:val="00261D37"/>
    <w:rsid w:val="002622CA"/>
    <w:rsid w:val="00263E5A"/>
    <w:rsid w:val="00264626"/>
    <w:rsid w:val="00265786"/>
    <w:rsid w:val="00265C05"/>
    <w:rsid w:val="0026610D"/>
    <w:rsid w:val="002669E8"/>
    <w:rsid w:val="002677B2"/>
    <w:rsid w:val="0027023B"/>
    <w:rsid w:val="00270D77"/>
    <w:rsid w:val="002716FB"/>
    <w:rsid w:val="002717A8"/>
    <w:rsid w:val="002719E5"/>
    <w:rsid w:val="00271C4C"/>
    <w:rsid w:val="00271C8E"/>
    <w:rsid w:val="002723A8"/>
    <w:rsid w:val="002726F8"/>
    <w:rsid w:val="00272978"/>
    <w:rsid w:val="00272B6D"/>
    <w:rsid w:val="00273D42"/>
    <w:rsid w:val="00273DFC"/>
    <w:rsid w:val="00274004"/>
    <w:rsid w:val="00274850"/>
    <w:rsid w:val="0027495F"/>
    <w:rsid w:val="00275052"/>
    <w:rsid w:val="0027593A"/>
    <w:rsid w:val="00275D0E"/>
    <w:rsid w:val="0027606F"/>
    <w:rsid w:val="002766C3"/>
    <w:rsid w:val="00276DC0"/>
    <w:rsid w:val="00277834"/>
    <w:rsid w:val="002810C6"/>
    <w:rsid w:val="00281D88"/>
    <w:rsid w:val="00281F5E"/>
    <w:rsid w:val="00282282"/>
    <w:rsid w:val="0028239F"/>
    <w:rsid w:val="00282CA4"/>
    <w:rsid w:val="002836A3"/>
    <w:rsid w:val="00283703"/>
    <w:rsid w:val="00283D54"/>
    <w:rsid w:val="00284F36"/>
    <w:rsid w:val="0028542C"/>
    <w:rsid w:val="002856B4"/>
    <w:rsid w:val="002859CC"/>
    <w:rsid w:val="00287337"/>
    <w:rsid w:val="002873D1"/>
    <w:rsid w:val="00290153"/>
    <w:rsid w:val="002919A7"/>
    <w:rsid w:val="00291DC0"/>
    <w:rsid w:val="002929F4"/>
    <w:rsid w:val="00292C5C"/>
    <w:rsid w:val="0029303A"/>
    <w:rsid w:val="002942DC"/>
    <w:rsid w:val="002943F2"/>
    <w:rsid w:val="0029453C"/>
    <w:rsid w:val="002946CD"/>
    <w:rsid w:val="00294E42"/>
    <w:rsid w:val="00296A95"/>
    <w:rsid w:val="00297F54"/>
    <w:rsid w:val="002A07CF"/>
    <w:rsid w:val="002A1563"/>
    <w:rsid w:val="002A1F69"/>
    <w:rsid w:val="002A2253"/>
    <w:rsid w:val="002A23C2"/>
    <w:rsid w:val="002A243F"/>
    <w:rsid w:val="002A3B0E"/>
    <w:rsid w:val="002A3BF7"/>
    <w:rsid w:val="002A422B"/>
    <w:rsid w:val="002A5185"/>
    <w:rsid w:val="002A59B6"/>
    <w:rsid w:val="002A7554"/>
    <w:rsid w:val="002B02B1"/>
    <w:rsid w:val="002B1132"/>
    <w:rsid w:val="002B126F"/>
    <w:rsid w:val="002B29AD"/>
    <w:rsid w:val="002B2A51"/>
    <w:rsid w:val="002B3F83"/>
    <w:rsid w:val="002B5259"/>
    <w:rsid w:val="002B525B"/>
    <w:rsid w:val="002B554A"/>
    <w:rsid w:val="002B5CF2"/>
    <w:rsid w:val="002B6474"/>
    <w:rsid w:val="002B6F38"/>
    <w:rsid w:val="002C0341"/>
    <w:rsid w:val="002C035C"/>
    <w:rsid w:val="002C0A7F"/>
    <w:rsid w:val="002C1911"/>
    <w:rsid w:val="002C2180"/>
    <w:rsid w:val="002C287F"/>
    <w:rsid w:val="002C2C56"/>
    <w:rsid w:val="002C32D3"/>
    <w:rsid w:val="002C37A9"/>
    <w:rsid w:val="002C3A39"/>
    <w:rsid w:val="002C4C4F"/>
    <w:rsid w:val="002C509F"/>
    <w:rsid w:val="002C698B"/>
    <w:rsid w:val="002C6E1B"/>
    <w:rsid w:val="002C71EB"/>
    <w:rsid w:val="002D0719"/>
    <w:rsid w:val="002D3BD6"/>
    <w:rsid w:val="002D41C2"/>
    <w:rsid w:val="002D4DCB"/>
    <w:rsid w:val="002D5E82"/>
    <w:rsid w:val="002D6A18"/>
    <w:rsid w:val="002D6D70"/>
    <w:rsid w:val="002D72E5"/>
    <w:rsid w:val="002D7D7F"/>
    <w:rsid w:val="002D7F5A"/>
    <w:rsid w:val="002E00C7"/>
    <w:rsid w:val="002E0A80"/>
    <w:rsid w:val="002E1276"/>
    <w:rsid w:val="002E152D"/>
    <w:rsid w:val="002E176B"/>
    <w:rsid w:val="002E17E4"/>
    <w:rsid w:val="002E1EEE"/>
    <w:rsid w:val="002E22CE"/>
    <w:rsid w:val="002E2FD7"/>
    <w:rsid w:val="002E463D"/>
    <w:rsid w:val="002E67AD"/>
    <w:rsid w:val="002E6D3E"/>
    <w:rsid w:val="002E789E"/>
    <w:rsid w:val="002E7E22"/>
    <w:rsid w:val="002F21F4"/>
    <w:rsid w:val="002F3671"/>
    <w:rsid w:val="002F4490"/>
    <w:rsid w:val="002F468A"/>
    <w:rsid w:val="002F4869"/>
    <w:rsid w:val="002F5415"/>
    <w:rsid w:val="002F5964"/>
    <w:rsid w:val="002F604B"/>
    <w:rsid w:val="002F7087"/>
    <w:rsid w:val="00300D21"/>
    <w:rsid w:val="0030101B"/>
    <w:rsid w:val="0030129A"/>
    <w:rsid w:val="00302528"/>
    <w:rsid w:val="00302885"/>
    <w:rsid w:val="003037C6"/>
    <w:rsid w:val="003043E2"/>
    <w:rsid w:val="003045E3"/>
    <w:rsid w:val="003057DE"/>
    <w:rsid w:val="00305E86"/>
    <w:rsid w:val="00306582"/>
    <w:rsid w:val="003072F3"/>
    <w:rsid w:val="00307315"/>
    <w:rsid w:val="00307EAE"/>
    <w:rsid w:val="00310A6D"/>
    <w:rsid w:val="003119B2"/>
    <w:rsid w:val="00311BDB"/>
    <w:rsid w:val="00312044"/>
    <w:rsid w:val="0031298B"/>
    <w:rsid w:val="003129F2"/>
    <w:rsid w:val="00313AB4"/>
    <w:rsid w:val="00313BB9"/>
    <w:rsid w:val="00314D27"/>
    <w:rsid w:val="0031536E"/>
    <w:rsid w:val="0031654D"/>
    <w:rsid w:val="0031665C"/>
    <w:rsid w:val="00316F09"/>
    <w:rsid w:val="00317226"/>
    <w:rsid w:val="0031764F"/>
    <w:rsid w:val="00321B41"/>
    <w:rsid w:val="003232AA"/>
    <w:rsid w:val="003239B8"/>
    <w:rsid w:val="00323D5F"/>
    <w:rsid w:val="003242E3"/>
    <w:rsid w:val="00324E0F"/>
    <w:rsid w:val="003264E3"/>
    <w:rsid w:val="0032690B"/>
    <w:rsid w:val="00326944"/>
    <w:rsid w:val="00326B02"/>
    <w:rsid w:val="003272DE"/>
    <w:rsid w:val="0032779C"/>
    <w:rsid w:val="003325C9"/>
    <w:rsid w:val="00333C4B"/>
    <w:rsid w:val="00333EEB"/>
    <w:rsid w:val="0033514E"/>
    <w:rsid w:val="00335DB7"/>
    <w:rsid w:val="0033603D"/>
    <w:rsid w:val="0033613F"/>
    <w:rsid w:val="0033617D"/>
    <w:rsid w:val="003362F2"/>
    <w:rsid w:val="00336740"/>
    <w:rsid w:val="00336ADE"/>
    <w:rsid w:val="00336DDE"/>
    <w:rsid w:val="00337DFD"/>
    <w:rsid w:val="00337F72"/>
    <w:rsid w:val="0034013E"/>
    <w:rsid w:val="003401FF"/>
    <w:rsid w:val="00340C8D"/>
    <w:rsid w:val="00340D02"/>
    <w:rsid w:val="00341BCA"/>
    <w:rsid w:val="0034209B"/>
    <w:rsid w:val="00342445"/>
    <w:rsid w:val="0034244A"/>
    <w:rsid w:val="00342CAB"/>
    <w:rsid w:val="00343376"/>
    <w:rsid w:val="00343439"/>
    <w:rsid w:val="00343A09"/>
    <w:rsid w:val="00343AE3"/>
    <w:rsid w:val="00344B1B"/>
    <w:rsid w:val="00344F7A"/>
    <w:rsid w:val="00346038"/>
    <w:rsid w:val="003468E8"/>
    <w:rsid w:val="00347012"/>
    <w:rsid w:val="003519B1"/>
    <w:rsid w:val="00351D8D"/>
    <w:rsid w:val="003527AB"/>
    <w:rsid w:val="003546AF"/>
    <w:rsid w:val="00354FF3"/>
    <w:rsid w:val="00355623"/>
    <w:rsid w:val="0035622E"/>
    <w:rsid w:val="00356C4F"/>
    <w:rsid w:val="003571BA"/>
    <w:rsid w:val="003601E0"/>
    <w:rsid w:val="003623EA"/>
    <w:rsid w:val="00362C51"/>
    <w:rsid w:val="00363033"/>
    <w:rsid w:val="0036356B"/>
    <w:rsid w:val="00363D77"/>
    <w:rsid w:val="0036468A"/>
    <w:rsid w:val="003662A7"/>
    <w:rsid w:val="00366EE2"/>
    <w:rsid w:val="003674E2"/>
    <w:rsid w:val="00367643"/>
    <w:rsid w:val="003679BC"/>
    <w:rsid w:val="00367E51"/>
    <w:rsid w:val="0037014F"/>
    <w:rsid w:val="00370280"/>
    <w:rsid w:val="003705E6"/>
    <w:rsid w:val="003706A9"/>
    <w:rsid w:val="003709EF"/>
    <w:rsid w:val="00370BB2"/>
    <w:rsid w:val="003716AA"/>
    <w:rsid w:val="00371990"/>
    <w:rsid w:val="003726DD"/>
    <w:rsid w:val="00372AF8"/>
    <w:rsid w:val="003752E7"/>
    <w:rsid w:val="00375409"/>
    <w:rsid w:val="00375B37"/>
    <w:rsid w:val="003763CD"/>
    <w:rsid w:val="003768FF"/>
    <w:rsid w:val="00377268"/>
    <w:rsid w:val="00377739"/>
    <w:rsid w:val="003801C2"/>
    <w:rsid w:val="00380512"/>
    <w:rsid w:val="003811BE"/>
    <w:rsid w:val="00381E1E"/>
    <w:rsid w:val="0038254E"/>
    <w:rsid w:val="00382DF6"/>
    <w:rsid w:val="00382EF7"/>
    <w:rsid w:val="00383953"/>
    <w:rsid w:val="0038399A"/>
    <w:rsid w:val="00384C74"/>
    <w:rsid w:val="00385898"/>
    <w:rsid w:val="0038675A"/>
    <w:rsid w:val="00386D35"/>
    <w:rsid w:val="003873B3"/>
    <w:rsid w:val="003877D9"/>
    <w:rsid w:val="00387848"/>
    <w:rsid w:val="00387D3B"/>
    <w:rsid w:val="00390C67"/>
    <w:rsid w:val="00390ECD"/>
    <w:rsid w:val="00391788"/>
    <w:rsid w:val="00392175"/>
    <w:rsid w:val="00392612"/>
    <w:rsid w:val="00392CE0"/>
    <w:rsid w:val="00392F58"/>
    <w:rsid w:val="00394396"/>
    <w:rsid w:val="00394715"/>
    <w:rsid w:val="00394DE1"/>
    <w:rsid w:val="00395322"/>
    <w:rsid w:val="003972B6"/>
    <w:rsid w:val="003A0E60"/>
    <w:rsid w:val="003A119D"/>
    <w:rsid w:val="003A13FB"/>
    <w:rsid w:val="003A1400"/>
    <w:rsid w:val="003A14E7"/>
    <w:rsid w:val="003A16F1"/>
    <w:rsid w:val="003A183C"/>
    <w:rsid w:val="003A190A"/>
    <w:rsid w:val="003A1E7C"/>
    <w:rsid w:val="003A2C7F"/>
    <w:rsid w:val="003A2E90"/>
    <w:rsid w:val="003A2F9D"/>
    <w:rsid w:val="003A3203"/>
    <w:rsid w:val="003A348C"/>
    <w:rsid w:val="003A36C7"/>
    <w:rsid w:val="003A37BE"/>
    <w:rsid w:val="003A3BE9"/>
    <w:rsid w:val="003A4004"/>
    <w:rsid w:val="003A509A"/>
    <w:rsid w:val="003A6427"/>
    <w:rsid w:val="003A64D2"/>
    <w:rsid w:val="003A6C8D"/>
    <w:rsid w:val="003A75D3"/>
    <w:rsid w:val="003A75FE"/>
    <w:rsid w:val="003A7AED"/>
    <w:rsid w:val="003A7DCC"/>
    <w:rsid w:val="003B0128"/>
    <w:rsid w:val="003B0488"/>
    <w:rsid w:val="003B07B0"/>
    <w:rsid w:val="003B0F40"/>
    <w:rsid w:val="003B1C98"/>
    <w:rsid w:val="003B243F"/>
    <w:rsid w:val="003B3B7E"/>
    <w:rsid w:val="003B414C"/>
    <w:rsid w:val="003B4687"/>
    <w:rsid w:val="003B4EFA"/>
    <w:rsid w:val="003B50B8"/>
    <w:rsid w:val="003B519D"/>
    <w:rsid w:val="003B5208"/>
    <w:rsid w:val="003C0F1C"/>
    <w:rsid w:val="003C24EA"/>
    <w:rsid w:val="003C270D"/>
    <w:rsid w:val="003C2A56"/>
    <w:rsid w:val="003C3F11"/>
    <w:rsid w:val="003C4D41"/>
    <w:rsid w:val="003C4DA4"/>
    <w:rsid w:val="003C5827"/>
    <w:rsid w:val="003C6D2F"/>
    <w:rsid w:val="003C7940"/>
    <w:rsid w:val="003C7986"/>
    <w:rsid w:val="003C79D6"/>
    <w:rsid w:val="003C7F14"/>
    <w:rsid w:val="003D089D"/>
    <w:rsid w:val="003D0B57"/>
    <w:rsid w:val="003D103F"/>
    <w:rsid w:val="003D2E16"/>
    <w:rsid w:val="003D32C9"/>
    <w:rsid w:val="003D46D0"/>
    <w:rsid w:val="003D4921"/>
    <w:rsid w:val="003D4A06"/>
    <w:rsid w:val="003D6769"/>
    <w:rsid w:val="003D6E48"/>
    <w:rsid w:val="003D70D6"/>
    <w:rsid w:val="003D7EAA"/>
    <w:rsid w:val="003E052B"/>
    <w:rsid w:val="003E167A"/>
    <w:rsid w:val="003E1ACB"/>
    <w:rsid w:val="003E1DD9"/>
    <w:rsid w:val="003E2BAC"/>
    <w:rsid w:val="003E3164"/>
    <w:rsid w:val="003E3C2A"/>
    <w:rsid w:val="003E47F2"/>
    <w:rsid w:val="003E4CA1"/>
    <w:rsid w:val="003E52BD"/>
    <w:rsid w:val="003E5334"/>
    <w:rsid w:val="003E5606"/>
    <w:rsid w:val="003E5E46"/>
    <w:rsid w:val="003E6E73"/>
    <w:rsid w:val="003E6EB4"/>
    <w:rsid w:val="003E7156"/>
    <w:rsid w:val="003E7769"/>
    <w:rsid w:val="003E793E"/>
    <w:rsid w:val="003F005D"/>
    <w:rsid w:val="003F09D6"/>
    <w:rsid w:val="003F17D1"/>
    <w:rsid w:val="003F35B9"/>
    <w:rsid w:val="003F36FC"/>
    <w:rsid w:val="003F4774"/>
    <w:rsid w:val="003F4A17"/>
    <w:rsid w:val="003F4C37"/>
    <w:rsid w:val="003F669B"/>
    <w:rsid w:val="003F69F9"/>
    <w:rsid w:val="003F6C67"/>
    <w:rsid w:val="003F7F45"/>
    <w:rsid w:val="0040021B"/>
    <w:rsid w:val="00400D5B"/>
    <w:rsid w:val="004011A9"/>
    <w:rsid w:val="0040246B"/>
    <w:rsid w:val="004027F9"/>
    <w:rsid w:val="00402ABC"/>
    <w:rsid w:val="00403C40"/>
    <w:rsid w:val="00404471"/>
    <w:rsid w:val="00404A1A"/>
    <w:rsid w:val="00404C3C"/>
    <w:rsid w:val="00404F18"/>
    <w:rsid w:val="004065EA"/>
    <w:rsid w:val="00406DFD"/>
    <w:rsid w:val="004075C8"/>
    <w:rsid w:val="0040772A"/>
    <w:rsid w:val="00407B0F"/>
    <w:rsid w:val="00407CA8"/>
    <w:rsid w:val="004108AB"/>
    <w:rsid w:val="00410915"/>
    <w:rsid w:val="00411BE6"/>
    <w:rsid w:val="004131D7"/>
    <w:rsid w:val="004135E4"/>
    <w:rsid w:val="00414D5D"/>
    <w:rsid w:val="0041651A"/>
    <w:rsid w:val="0041651B"/>
    <w:rsid w:val="004200C4"/>
    <w:rsid w:val="00420582"/>
    <w:rsid w:val="00420801"/>
    <w:rsid w:val="00420B6A"/>
    <w:rsid w:val="0042140E"/>
    <w:rsid w:val="004220B3"/>
    <w:rsid w:val="00424949"/>
    <w:rsid w:val="0042510B"/>
    <w:rsid w:val="004260FC"/>
    <w:rsid w:val="00426B30"/>
    <w:rsid w:val="00427D16"/>
    <w:rsid w:val="00427EF6"/>
    <w:rsid w:val="0043070D"/>
    <w:rsid w:val="0043080D"/>
    <w:rsid w:val="00431639"/>
    <w:rsid w:val="00432599"/>
    <w:rsid w:val="004333E0"/>
    <w:rsid w:val="004344EC"/>
    <w:rsid w:val="004345BF"/>
    <w:rsid w:val="00434E6B"/>
    <w:rsid w:val="004353DC"/>
    <w:rsid w:val="00435E49"/>
    <w:rsid w:val="004362A8"/>
    <w:rsid w:val="00436EB6"/>
    <w:rsid w:val="0044099B"/>
    <w:rsid w:val="00440A6B"/>
    <w:rsid w:val="00440DCA"/>
    <w:rsid w:val="004413F6"/>
    <w:rsid w:val="00441413"/>
    <w:rsid w:val="00441D0D"/>
    <w:rsid w:val="00442970"/>
    <w:rsid w:val="00442AA8"/>
    <w:rsid w:val="00442E0A"/>
    <w:rsid w:val="004431E2"/>
    <w:rsid w:val="00443AE4"/>
    <w:rsid w:val="00444464"/>
    <w:rsid w:val="00444641"/>
    <w:rsid w:val="004447E1"/>
    <w:rsid w:val="00446128"/>
    <w:rsid w:val="004469F0"/>
    <w:rsid w:val="00447190"/>
    <w:rsid w:val="0044731F"/>
    <w:rsid w:val="00447B57"/>
    <w:rsid w:val="00450085"/>
    <w:rsid w:val="004510FF"/>
    <w:rsid w:val="004515A1"/>
    <w:rsid w:val="00452E06"/>
    <w:rsid w:val="004532E8"/>
    <w:rsid w:val="00453A40"/>
    <w:rsid w:val="00453B00"/>
    <w:rsid w:val="00453F4B"/>
    <w:rsid w:val="0045467E"/>
    <w:rsid w:val="00455D12"/>
    <w:rsid w:val="004560E5"/>
    <w:rsid w:val="004578E1"/>
    <w:rsid w:val="00457903"/>
    <w:rsid w:val="00457C7D"/>
    <w:rsid w:val="00460601"/>
    <w:rsid w:val="0046170B"/>
    <w:rsid w:val="00462100"/>
    <w:rsid w:val="00462313"/>
    <w:rsid w:val="0046302C"/>
    <w:rsid w:val="004630A4"/>
    <w:rsid w:val="004637FC"/>
    <w:rsid w:val="00464112"/>
    <w:rsid w:val="004649EE"/>
    <w:rsid w:val="00464AC9"/>
    <w:rsid w:val="00465BCB"/>
    <w:rsid w:val="00465EB9"/>
    <w:rsid w:val="004660C3"/>
    <w:rsid w:val="004663AA"/>
    <w:rsid w:val="004676D7"/>
    <w:rsid w:val="00467902"/>
    <w:rsid w:val="0047072A"/>
    <w:rsid w:val="00470C2F"/>
    <w:rsid w:val="0047176F"/>
    <w:rsid w:val="0047196C"/>
    <w:rsid w:val="00471C93"/>
    <w:rsid w:val="00471F93"/>
    <w:rsid w:val="00472225"/>
    <w:rsid w:val="004727CB"/>
    <w:rsid w:val="00472FCF"/>
    <w:rsid w:val="00473757"/>
    <w:rsid w:val="00473A5E"/>
    <w:rsid w:val="00473F6D"/>
    <w:rsid w:val="00474111"/>
    <w:rsid w:val="00474210"/>
    <w:rsid w:val="0047426A"/>
    <w:rsid w:val="00475870"/>
    <w:rsid w:val="00475949"/>
    <w:rsid w:val="00475E88"/>
    <w:rsid w:val="00477261"/>
    <w:rsid w:val="004800C1"/>
    <w:rsid w:val="00480D1E"/>
    <w:rsid w:val="004820A2"/>
    <w:rsid w:val="004826C8"/>
    <w:rsid w:val="00483655"/>
    <w:rsid w:val="004836F0"/>
    <w:rsid w:val="00485148"/>
    <w:rsid w:val="00486755"/>
    <w:rsid w:val="004868E1"/>
    <w:rsid w:val="00487293"/>
    <w:rsid w:val="00487F5B"/>
    <w:rsid w:val="0049100F"/>
    <w:rsid w:val="004910CC"/>
    <w:rsid w:val="004921FE"/>
    <w:rsid w:val="004927C0"/>
    <w:rsid w:val="00492875"/>
    <w:rsid w:val="00492A5B"/>
    <w:rsid w:val="00492D88"/>
    <w:rsid w:val="004932DC"/>
    <w:rsid w:val="00494696"/>
    <w:rsid w:val="00494FB1"/>
    <w:rsid w:val="00497416"/>
    <w:rsid w:val="004974CC"/>
    <w:rsid w:val="00497599"/>
    <w:rsid w:val="00497A8E"/>
    <w:rsid w:val="00497F5B"/>
    <w:rsid w:val="004A2CE5"/>
    <w:rsid w:val="004A2E73"/>
    <w:rsid w:val="004A370C"/>
    <w:rsid w:val="004A45FD"/>
    <w:rsid w:val="004A501C"/>
    <w:rsid w:val="004A56A6"/>
    <w:rsid w:val="004A5A77"/>
    <w:rsid w:val="004A6296"/>
    <w:rsid w:val="004A693D"/>
    <w:rsid w:val="004A6AD9"/>
    <w:rsid w:val="004A6FBB"/>
    <w:rsid w:val="004A7226"/>
    <w:rsid w:val="004A7469"/>
    <w:rsid w:val="004B15B3"/>
    <w:rsid w:val="004B1C55"/>
    <w:rsid w:val="004B1E56"/>
    <w:rsid w:val="004B2880"/>
    <w:rsid w:val="004B2DE8"/>
    <w:rsid w:val="004B53F7"/>
    <w:rsid w:val="004B5685"/>
    <w:rsid w:val="004B5CA7"/>
    <w:rsid w:val="004B5F52"/>
    <w:rsid w:val="004B6175"/>
    <w:rsid w:val="004B69E4"/>
    <w:rsid w:val="004C0B9E"/>
    <w:rsid w:val="004C0C63"/>
    <w:rsid w:val="004C1B38"/>
    <w:rsid w:val="004C2984"/>
    <w:rsid w:val="004C40F1"/>
    <w:rsid w:val="004C4963"/>
    <w:rsid w:val="004C4EFE"/>
    <w:rsid w:val="004C7208"/>
    <w:rsid w:val="004C7415"/>
    <w:rsid w:val="004C7A72"/>
    <w:rsid w:val="004C7A82"/>
    <w:rsid w:val="004D0EED"/>
    <w:rsid w:val="004D10E3"/>
    <w:rsid w:val="004D13D0"/>
    <w:rsid w:val="004D18F3"/>
    <w:rsid w:val="004D1B95"/>
    <w:rsid w:val="004D1E0A"/>
    <w:rsid w:val="004D3CD9"/>
    <w:rsid w:val="004D45E0"/>
    <w:rsid w:val="004D5DC9"/>
    <w:rsid w:val="004D62E7"/>
    <w:rsid w:val="004D669A"/>
    <w:rsid w:val="004D72C3"/>
    <w:rsid w:val="004D77D7"/>
    <w:rsid w:val="004D7973"/>
    <w:rsid w:val="004E0351"/>
    <w:rsid w:val="004E0E37"/>
    <w:rsid w:val="004E1359"/>
    <w:rsid w:val="004E150A"/>
    <w:rsid w:val="004E22AC"/>
    <w:rsid w:val="004E29DD"/>
    <w:rsid w:val="004E2BE5"/>
    <w:rsid w:val="004E3756"/>
    <w:rsid w:val="004E3CB4"/>
    <w:rsid w:val="004E48DC"/>
    <w:rsid w:val="004E4E08"/>
    <w:rsid w:val="004E547E"/>
    <w:rsid w:val="004E624E"/>
    <w:rsid w:val="004E6C2B"/>
    <w:rsid w:val="004E7A57"/>
    <w:rsid w:val="004F06E0"/>
    <w:rsid w:val="004F160C"/>
    <w:rsid w:val="004F1CA8"/>
    <w:rsid w:val="004F3A2A"/>
    <w:rsid w:val="004F5053"/>
    <w:rsid w:val="004F6191"/>
    <w:rsid w:val="005000B0"/>
    <w:rsid w:val="005004F5"/>
    <w:rsid w:val="0050134A"/>
    <w:rsid w:val="00502642"/>
    <w:rsid w:val="00502F4E"/>
    <w:rsid w:val="0050334A"/>
    <w:rsid w:val="00503D06"/>
    <w:rsid w:val="00504667"/>
    <w:rsid w:val="00504FC6"/>
    <w:rsid w:val="0050525B"/>
    <w:rsid w:val="00505312"/>
    <w:rsid w:val="00505619"/>
    <w:rsid w:val="00505E0B"/>
    <w:rsid w:val="00506B1F"/>
    <w:rsid w:val="00506BD2"/>
    <w:rsid w:val="00507EDF"/>
    <w:rsid w:val="00510116"/>
    <w:rsid w:val="00510688"/>
    <w:rsid w:val="00510876"/>
    <w:rsid w:val="005108F4"/>
    <w:rsid w:val="00510FCE"/>
    <w:rsid w:val="0051148C"/>
    <w:rsid w:val="00511521"/>
    <w:rsid w:val="005116B3"/>
    <w:rsid w:val="00511ACE"/>
    <w:rsid w:val="00511EBE"/>
    <w:rsid w:val="005125D5"/>
    <w:rsid w:val="005143CF"/>
    <w:rsid w:val="005144C3"/>
    <w:rsid w:val="0051455F"/>
    <w:rsid w:val="00515A6A"/>
    <w:rsid w:val="00515E86"/>
    <w:rsid w:val="00517586"/>
    <w:rsid w:val="0052025E"/>
    <w:rsid w:val="00520428"/>
    <w:rsid w:val="005206D0"/>
    <w:rsid w:val="00520C98"/>
    <w:rsid w:val="00520E85"/>
    <w:rsid w:val="00521632"/>
    <w:rsid w:val="00521C48"/>
    <w:rsid w:val="00522B72"/>
    <w:rsid w:val="00522BD4"/>
    <w:rsid w:val="00523F38"/>
    <w:rsid w:val="00524C60"/>
    <w:rsid w:val="0052530C"/>
    <w:rsid w:val="0052544D"/>
    <w:rsid w:val="00525BD2"/>
    <w:rsid w:val="00526FFC"/>
    <w:rsid w:val="00527641"/>
    <w:rsid w:val="005306E8"/>
    <w:rsid w:val="00530B80"/>
    <w:rsid w:val="00530EFD"/>
    <w:rsid w:val="0053138D"/>
    <w:rsid w:val="005317F6"/>
    <w:rsid w:val="005319E3"/>
    <w:rsid w:val="00532B63"/>
    <w:rsid w:val="00532D1E"/>
    <w:rsid w:val="00532DB7"/>
    <w:rsid w:val="00533370"/>
    <w:rsid w:val="00533993"/>
    <w:rsid w:val="00533A77"/>
    <w:rsid w:val="00534B89"/>
    <w:rsid w:val="00536C08"/>
    <w:rsid w:val="00536E42"/>
    <w:rsid w:val="0053727F"/>
    <w:rsid w:val="00537C71"/>
    <w:rsid w:val="00537DCA"/>
    <w:rsid w:val="00540A2B"/>
    <w:rsid w:val="00541456"/>
    <w:rsid w:val="00541939"/>
    <w:rsid w:val="00544085"/>
    <w:rsid w:val="0054427D"/>
    <w:rsid w:val="0054454C"/>
    <w:rsid w:val="0054502E"/>
    <w:rsid w:val="00545950"/>
    <w:rsid w:val="005468D4"/>
    <w:rsid w:val="00546EAD"/>
    <w:rsid w:val="0054764F"/>
    <w:rsid w:val="0055074D"/>
    <w:rsid w:val="0055074F"/>
    <w:rsid w:val="00551404"/>
    <w:rsid w:val="005514D7"/>
    <w:rsid w:val="005516D7"/>
    <w:rsid w:val="00551E6A"/>
    <w:rsid w:val="005522B8"/>
    <w:rsid w:val="0055262E"/>
    <w:rsid w:val="005528B3"/>
    <w:rsid w:val="0055307E"/>
    <w:rsid w:val="00553377"/>
    <w:rsid w:val="00553BCC"/>
    <w:rsid w:val="00553E30"/>
    <w:rsid w:val="005542FD"/>
    <w:rsid w:val="00554746"/>
    <w:rsid w:val="00554F40"/>
    <w:rsid w:val="00554F79"/>
    <w:rsid w:val="005559AA"/>
    <w:rsid w:val="00555B27"/>
    <w:rsid w:val="00555E53"/>
    <w:rsid w:val="00556250"/>
    <w:rsid w:val="0055646D"/>
    <w:rsid w:val="005568DD"/>
    <w:rsid w:val="005571D2"/>
    <w:rsid w:val="005577BB"/>
    <w:rsid w:val="00557AEC"/>
    <w:rsid w:val="0056107A"/>
    <w:rsid w:val="0056224C"/>
    <w:rsid w:val="00562484"/>
    <w:rsid w:val="00562572"/>
    <w:rsid w:val="00562F2C"/>
    <w:rsid w:val="0056316F"/>
    <w:rsid w:val="0056335B"/>
    <w:rsid w:val="00563913"/>
    <w:rsid w:val="0056595C"/>
    <w:rsid w:val="00566126"/>
    <w:rsid w:val="0056771E"/>
    <w:rsid w:val="00567CA1"/>
    <w:rsid w:val="00570B3E"/>
    <w:rsid w:val="005711DD"/>
    <w:rsid w:val="005713E0"/>
    <w:rsid w:val="00571CB8"/>
    <w:rsid w:val="0057217A"/>
    <w:rsid w:val="005728ED"/>
    <w:rsid w:val="00573076"/>
    <w:rsid w:val="00574739"/>
    <w:rsid w:val="005749B6"/>
    <w:rsid w:val="005760EB"/>
    <w:rsid w:val="0057637F"/>
    <w:rsid w:val="00576917"/>
    <w:rsid w:val="00580D69"/>
    <w:rsid w:val="005813A1"/>
    <w:rsid w:val="00581639"/>
    <w:rsid w:val="00581D80"/>
    <w:rsid w:val="00582323"/>
    <w:rsid w:val="0058242E"/>
    <w:rsid w:val="005839BD"/>
    <w:rsid w:val="00584684"/>
    <w:rsid w:val="005854C5"/>
    <w:rsid w:val="0058564B"/>
    <w:rsid w:val="00585713"/>
    <w:rsid w:val="00585819"/>
    <w:rsid w:val="00585C96"/>
    <w:rsid w:val="00586E91"/>
    <w:rsid w:val="00586FFB"/>
    <w:rsid w:val="00587E2A"/>
    <w:rsid w:val="00587F72"/>
    <w:rsid w:val="0059004C"/>
    <w:rsid w:val="00590707"/>
    <w:rsid w:val="00590B33"/>
    <w:rsid w:val="00591234"/>
    <w:rsid w:val="00591777"/>
    <w:rsid w:val="005919D9"/>
    <w:rsid w:val="00591B79"/>
    <w:rsid w:val="005942DA"/>
    <w:rsid w:val="005946CD"/>
    <w:rsid w:val="00594F68"/>
    <w:rsid w:val="00595D50"/>
    <w:rsid w:val="0059621E"/>
    <w:rsid w:val="005967FC"/>
    <w:rsid w:val="00596B00"/>
    <w:rsid w:val="0059769E"/>
    <w:rsid w:val="00597836"/>
    <w:rsid w:val="00597DA0"/>
    <w:rsid w:val="00597E4F"/>
    <w:rsid w:val="00597E9F"/>
    <w:rsid w:val="005A05CA"/>
    <w:rsid w:val="005A09D0"/>
    <w:rsid w:val="005A0BA2"/>
    <w:rsid w:val="005A11DF"/>
    <w:rsid w:val="005A2359"/>
    <w:rsid w:val="005A3AE6"/>
    <w:rsid w:val="005A4823"/>
    <w:rsid w:val="005A4A26"/>
    <w:rsid w:val="005A4FB7"/>
    <w:rsid w:val="005A5D58"/>
    <w:rsid w:val="005A60F4"/>
    <w:rsid w:val="005A6157"/>
    <w:rsid w:val="005A6799"/>
    <w:rsid w:val="005A6DCD"/>
    <w:rsid w:val="005A75EC"/>
    <w:rsid w:val="005B07B5"/>
    <w:rsid w:val="005B12C8"/>
    <w:rsid w:val="005B217D"/>
    <w:rsid w:val="005B22BF"/>
    <w:rsid w:val="005B2780"/>
    <w:rsid w:val="005B3473"/>
    <w:rsid w:val="005B3B8F"/>
    <w:rsid w:val="005B47CF"/>
    <w:rsid w:val="005B4BC3"/>
    <w:rsid w:val="005B4BE9"/>
    <w:rsid w:val="005B4E95"/>
    <w:rsid w:val="005B56D8"/>
    <w:rsid w:val="005B65CA"/>
    <w:rsid w:val="005B690F"/>
    <w:rsid w:val="005B6D9F"/>
    <w:rsid w:val="005B7088"/>
    <w:rsid w:val="005C018A"/>
    <w:rsid w:val="005C03E0"/>
    <w:rsid w:val="005C051D"/>
    <w:rsid w:val="005C0C59"/>
    <w:rsid w:val="005C0DCA"/>
    <w:rsid w:val="005C1053"/>
    <w:rsid w:val="005C17CD"/>
    <w:rsid w:val="005C18B1"/>
    <w:rsid w:val="005C1B33"/>
    <w:rsid w:val="005C1E16"/>
    <w:rsid w:val="005C1F3D"/>
    <w:rsid w:val="005C2B26"/>
    <w:rsid w:val="005C35F8"/>
    <w:rsid w:val="005C4656"/>
    <w:rsid w:val="005C4C83"/>
    <w:rsid w:val="005C4F82"/>
    <w:rsid w:val="005C5788"/>
    <w:rsid w:val="005C704A"/>
    <w:rsid w:val="005C74CB"/>
    <w:rsid w:val="005D08EE"/>
    <w:rsid w:val="005D11BF"/>
    <w:rsid w:val="005D320D"/>
    <w:rsid w:val="005D3410"/>
    <w:rsid w:val="005D3BF7"/>
    <w:rsid w:val="005D47F0"/>
    <w:rsid w:val="005D4BC1"/>
    <w:rsid w:val="005D4BEC"/>
    <w:rsid w:val="005D4EB8"/>
    <w:rsid w:val="005D6129"/>
    <w:rsid w:val="005D61F5"/>
    <w:rsid w:val="005E05CC"/>
    <w:rsid w:val="005E0827"/>
    <w:rsid w:val="005E1061"/>
    <w:rsid w:val="005E2FA0"/>
    <w:rsid w:val="005E3791"/>
    <w:rsid w:val="005E3960"/>
    <w:rsid w:val="005E3B18"/>
    <w:rsid w:val="005E52C0"/>
    <w:rsid w:val="005E64CF"/>
    <w:rsid w:val="005E6545"/>
    <w:rsid w:val="005E683B"/>
    <w:rsid w:val="005E6AC4"/>
    <w:rsid w:val="005E6E37"/>
    <w:rsid w:val="005F1685"/>
    <w:rsid w:val="005F31B9"/>
    <w:rsid w:val="005F33C6"/>
    <w:rsid w:val="005F360B"/>
    <w:rsid w:val="005F45CA"/>
    <w:rsid w:val="005F5208"/>
    <w:rsid w:val="005F55B9"/>
    <w:rsid w:val="005F5B15"/>
    <w:rsid w:val="005F7163"/>
    <w:rsid w:val="00600029"/>
    <w:rsid w:val="006001B4"/>
    <w:rsid w:val="006004DC"/>
    <w:rsid w:val="006010DD"/>
    <w:rsid w:val="00601B4E"/>
    <w:rsid w:val="00602597"/>
    <w:rsid w:val="00602621"/>
    <w:rsid w:val="0060299C"/>
    <w:rsid w:val="006030DB"/>
    <w:rsid w:val="00603523"/>
    <w:rsid w:val="00603A86"/>
    <w:rsid w:val="00603CF4"/>
    <w:rsid w:val="00603D70"/>
    <w:rsid w:val="00604308"/>
    <w:rsid w:val="006043C1"/>
    <w:rsid w:val="00604B5C"/>
    <w:rsid w:val="00605468"/>
    <w:rsid w:val="0061007A"/>
    <w:rsid w:val="006130A1"/>
    <w:rsid w:val="00613661"/>
    <w:rsid w:val="006150BF"/>
    <w:rsid w:val="00615EE6"/>
    <w:rsid w:val="006163CD"/>
    <w:rsid w:val="006164D2"/>
    <w:rsid w:val="0061697F"/>
    <w:rsid w:val="00616B16"/>
    <w:rsid w:val="0061747F"/>
    <w:rsid w:val="006174A4"/>
    <w:rsid w:val="006174E6"/>
    <w:rsid w:val="0061770D"/>
    <w:rsid w:val="00617BA5"/>
    <w:rsid w:val="006204DA"/>
    <w:rsid w:val="006204DE"/>
    <w:rsid w:val="0062077C"/>
    <w:rsid w:val="00621A3D"/>
    <w:rsid w:val="006235FF"/>
    <w:rsid w:val="006237B9"/>
    <w:rsid w:val="0062396F"/>
    <w:rsid w:val="00624276"/>
    <w:rsid w:val="006259AF"/>
    <w:rsid w:val="00626608"/>
    <w:rsid w:val="00626EF9"/>
    <w:rsid w:val="0063241C"/>
    <w:rsid w:val="00632CE1"/>
    <w:rsid w:val="00632D70"/>
    <w:rsid w:val="00632DB5"/>
    <w:rsid w:val="0063356F"/>
    <w:rsid w:val="006335F4"/>
    <w:rsid w:val="00635819"/>
    <w:rsid w:val="00636577"/>
    <w:rsid w:val="00636917"/>
    <w:rsid w:val="00637663"/>
    <w:rsid w:val="00637B77"/>
    <w:rsid w:val="00640440"/>
    <w:rsid w:val="00640C08"/>
    <w:rsid w:val="00641A34"/>
    <w:rsid w:val="00641F71"/>
    <w:rsid w:val="006428FE"/>
    <w:rsid w:val="0064299A"/>
    <w:rsid w:val="0064315A"/>
    <w:rsid w:val="0064468B"/>
    <w:rsid w:val="0064483F"/>
    <w:rsid w:val="00644E69"/>
    <w:rsid w:val="00645104"/>
    <w:rsid w:val="00645138"/>
    <w:rsid w:val="0064534D"/>
    <w:rsid w:val="0064599E"/>
    <w:rsid w:val="006464EF"/>
    <w:rsid w:val="00647279"/>
    <w:rsid w:val="00647B5A"/>
    <w:rsid w:val="00651540"/>
    <w:rsid w:val="0065177D"/>
    <w:rsid w:val="00652645"/>
    <w:rsid w:val="00652908"/>
    <w:rsid w:val="00652A30"/>
    <w:rsid w:val="0065314E"/>
    <w:rsid w:val="006532B8"/>
    <w:rsid w:val="00654289"/>
    <w:rsid w:val="00654843"/>
    <w:rsid w:val="00654C8B"/>
    <w:rsid w:val="00654D52"/>
    <w:rsid w:val="00655064"/>
    <w:rsid w:val="00655453"/>
    <w:rsid w:val="00656BFB"/>
    <w:rsid w:val="00656E1C"/>
    <w:rsid w:val="006570D7"/>
    <w:rsid w:val="00657A7A"/>
    <w:rsid w:val="006600BC"/>
    <w:rsid w:val="00661579"/>
    <w:rsid w:val="0066180D"/>
    <w:rsid w:val="00661D64"/>
    <w:rsid w:val="00661E1C"/>
    <w:rsid w:val="00662C52"/>
    <w:rsid w:val="0066335B"/>
    <w:rsid w:val="00665246"/>
    <w:rsid w:val="00667269"/>
    <w:rsid w:val="006672CC"/>
    <w:rsid w:val="00670D84"/>
    <w:rsid w:val="00672A4D"/>
    <w:rsid w:val="00673746"/>
    <w:rsid w:val="00673A95"/>
    <w:rsid w:val="006749D3"/>
    <w:rsid w:val="00674A75"/>
    <w:rsid w:val="00674D56"/>
    <w:rsid w:val="00675215"/>
    <w:rsid w:val="006755B7"/>
    <w:rsid w:val="00675E15"/>
    <w:rsid w:val="006775D4"/>
    <w:rsid w:val="00680AD9"/>
    <w:rsid w:val="00681064"/>
    <w:rsid w:val="00682136"/>
    <w:rsid w:val="00682B0D"/>
    <w:rsid w:val="00683235"/>
    <w:rsid w:val="00683680"/>
    <w:rsid w:val="0068486D"/>
    <w:rsid w:val="00684FE7"/>
    <w:rsid w:val="00685386"/>
    <w:rsid w:val="0068567C"/>
    <w:rsid w:val="006861CF"/>
    <w:rsid w:val="006863ED"/>
    <w:rsid w:val="00687A60"/>
    <w:rsid w:val="00690312"/>
    <w:rsid w:val="00691AFA"/>
    <w:rsid w:val="006922C5"/>
    <w:rsid w:val="00692567"/>
    <w:rsid w:val="006927D5"/>
    <w:rsid w:val="00692B15"/>
    <w:rsid w:val="00693682"/>
    <w:rsid w:val="00695462"/>
    <w:rsid w:val="006959D2"/>
    <w:rsid w:val="00696A93"/>
    <w:rsid w:val="00697603"/>
    <w:rsid w:val="00697CB0"/>
    <w:rsid w:val="006A07D3"/>
    <w:rsid w:val="006A0F07"/>
    <w:rsid w:val="006A1EE2"/>
    <w:rsid w:val="006A23CC"/>
    <w:rsid w:val="006A33E3"/>
    <w:rsid w:val="006A3452"/>
    <w:rsid w:val="006A368D"/>
    <w:rsid w:val="006A477C"/>
    <w:rsid w:val="006A4D8F"/>
    <w:rsid w:val="006A521E"/>
    <w:rsid w:val="006A6616"/>
    <w:rsid w:val="006A6B5C"/>
    <w:rsid w:val="006A6C00"/>
    <w:rsid w:val="006A7020"/>
    <w:rsid w:val="006B0328"/>
    <w:rsid w:val="006B0B6A"/>
    <w:rsid w:val="006B16B9"/>
    <w:rsid w:val="006B18E9"/>
    <w:rsid w:val="006B1DC7"/>
    <w:rsid w:val="006B2354"/>
    <w:rsid w:val="006B248E"/>
    <w:rsid w:val="006B2634"/>
    <w:rsid w:val="006B382B"/>
    <w:rsid w:val="006B3EB6"/>
    <w:rsid w:val="006B434C"/>
    <w:rsid w:val="006B4E8C"/>
    <w:rsid w:val="006B5140"/>
    <w:rsid w:val="006B580F"/>
    <w:rsid w:val="006B5E45"/>
    <w:rsid w:val="006B660B"/>
    <w:rsid w:val="006B6F0A"/>
    <w:rsid w:val="006B736B"/>
    <w:rsid w:val="006B7883"/>
    <w:rsid w:val="006B7A33"/>
    <w:rsid w:val="006B7CF9"/>
    <w:rsid w:val="006C14A7"/>
    <w:rsid w:val="006C2BE0"/>
    <w:rsid w:val="006C53F5"/>
    <w:rsid w:val="006C571B"/>
    <w:rsid w:val="006C5D7A"/>
    <w:rsid w:val="006C6829"/>
    <w:rsid w:val="006C747E"/>
    <w:rsid w:val="006C7EF6"/>
    <w:rsid w:val="006D11FA"/>
    <w:rsid w:val="006D1557"/>
    <w:rsid w:val="006D1F12"/>
    <w:rsid w:val="006D2644"/>
    <w:rsid w:val="006D2B8F"/>
    <w:rsid w:val="006D2C6F"/>
    <w:rsid w:val="006D2DF7"/>
    <w:rsid w:val="006D2ECB"/>
    <w:rsid w:val="006D4089"/>
    <w:rsid w:val="006D4B1B"/>
    <w:rsid w:val="006D4B54"/>
    <w:rsid w:val="006D4D3F"/>
    <w:rsid w:val="006D577A"/>
    <w:rsid w:val="006D5BB3"/>
    <w:rsid w:val="006D5F3C"/>
    <w:rsid w:val="006D6261"/>
    <w:rsid w:val="006D6723"/>
    <w:rsid w:val="006D682B"/>
    <w:rsid w:val="006E17FA"/>
    <w:rsid w:val="006E1C78"/>
    <w:rsid w:val="006E22DB"/>
    <w:rsid w:val="006E2F07"/>
    <w:rsid w:val="006E3983"/>
    <w:rsid w:val="006E3BEC"/>
    <w:rsid w:val="006E415B"/>
    <w:rsid w:val="006E48AF"/>
    <w:rsid w:val="006E513B"/>
    <w:rsid w:val="006E64CB"/>
    <w:rsid w:val="006E6C5A"/>
    <w:rsid w:val="006E74D3"/>
    <w:rsid w:val="006F0017"/>
    <w:rsid w:val="006F00C8"/>
    <w:rsid w:val="006F0203"/>
    <w:rsid w:val="006F05A1"/>
    <w:rsid w:val="006F0619"/>
    <w:rsid w:val="006F1618"/>
    <w:rsid w:val="006F2260"/>
    <w:rsid w:val="006F43D4"/>
    <w:rsid w:val="006F52D8"/>
    <w:rsid w:val="006F6362"/>
    <w:rsid w:val="006F71AB"/>
    <w:rsid w:val="006F72E2"/>
    <w:rsid w:val="006F7ADE"/>
    <w:rsid w:val="006F7B54"/>
    <w:rsid w:val="00701245"/>
    <w:rsid w:val="00701837"/>
    <w:rsid w:val="00703138"/>
    <w:rsid w:val="0070330A"/>
    <w:rsid w:val="0070332E"/>
    <w:rsid w:val="007034EB"/>
    <w:rsid w:val="007039B7"/>
    <w:rsid w:val="00703D22"/>
    <w:rsid w:val="00703EAD"/>
    <w:rsid w:val="007047E1"/>
    <w:rsid w:val="00704CFF"/>
    <w:rsid w:val="0070511A"/>
    <w:rsid w:val="00706571"/>
    <w:rsid w:val="007068E8"/>
    <w:rsid w:val="00706D54"/>
    <w:rsid w:val="00710134"/>
    <w:rsid w:val="00710622"/>
    <w:rsid w:val="00711FCE"/>
    <w:rsid w:val="00712742"/>
    <w:rsid w:val="0071368C"/>
    <w:rsid w:val="00713B2E"/>
    <w:rsid w:val="00713E82"/>
    <w:rsid w:val="00714B2D"/>
    <w:rsid w:val="00715015"/>
    <w:rsid w:val="00715064"/>
    <w:rsid w:val="0071518F"/>
    <w:rsid w:val="00715578"/>
    <w:rsid w:val="007162D3"/>
    <w:rsid w:val="00716724"/>
    <w:rsid w:val="00716DB8"/>
    <w:rsid w:val="00717271"/>
    <w:rsid w:val="00717680"/>
    <w:rsid w:val="007178B1"/>
    <w:rsid w:val="007206E9"/>
    <w:rsid w:val="00720848"/>
    <w:rsid w:val="00721965"/>
    <w:rsid w:val="007223FB"/>
    <w:rsid w:val="0072270C"/>
    <w:rsid w:val="007227B3"/>
    <w:rsid w:val="0072317A"/>
    <w:rsid w:val="007231A7"/>
    <w:rsid w:val="00724BF5"/>
    <w:rsid w:val="00724DE4"/>
    <w:rsid w:val="0072556F"/>
    <w:rsid w:val="00725979"/>
    <w:rsid w:val="007262F5"/>
    <w:rsid w:val="00726C4E"/>
    <w:rsid w:val="00727859"/>
    <w:rsid w:val="00727A3A"/>
    <w:rsid w:val="00727ACA"/>
    <w:rsid w:val="00727C90"/>
    <w:rsid w:val="00730DC8"/>
    <w:rsid w:val="0073103C"/>
    <w:rsid w:val="00731134"/>
    <w:rsid w:val="00732138"/>
    <w:rsid w:val="00733C22"/>
    <w:rsid w:val="00734BDB"/>
    <w:rsid w:val="00736446"/>
    <w:rsid w:val="00740391"/>
    <w:rsid w:val="00740722"/>
    <w:rsid w:val="007410BE"/>
    <w:rsid w:val="00742B6A"/>
    <w:rsid w:val="00743427"/>
    <w:rsid w:val="00743E8B"/>
    <w:rsid w:val="00743FF8"/>
    <w:rsid w:val="00744080"/>
    <w:rsid w:val="007442E3"/>
    <w:rsid w:val="0074535F"/>
    <w:rsid w:val="0074551C"/>
    <w:rsid w:val="00746C11"/>
    <w:rsid w:val="00746DB2"/>
    <w:rsid w:val="00747140"/>
    <w:rsid w:val="00750232"/>
    <w:rsid w:val="007502D7"/>
    <w:rsid w:val="0075168D"/>
    <w:rsid w:val="00751954"/>
    <w:rsid w:val="00752473"/>
    <w:rsid w:val="00752EF2"/>
    <w:rsid w:val="00753CA1"/>
    <w:rsid w:val="00753D16"/>
    <w:rsid w:val="007541CA"/>
    <w:rsid w:val="007554D2"/>
    <w:rsid w:val="0075566C"/>
    <w:rsid w:val="007556A8"/>
    <w:rsid w:val="00756200"/>
    <w:rsid w:val="00756E39"/>
    <w:rsid w:val="0075743C"/>
    <w:rsid w:val="00760121"/>
    <w:rsid w:val="0076084D"/>
    <w:rsid w:val="00760C8A"/>
    <w:rsid w:val="007621EE"/>
    <w:rsid w:val="00762C72"/>
    <w:rsid w:val="00762D45"/>
    <w:rsid w:val="007638FE"/>
    <w:rsid w:val="00764098"/>
    <w:rsid w:val="007642C4"/>
    <w:rsid w:val="007645AF"/>
    <w:rsid w:val="00766A77"/>
    <w:rsid w:val="00767DCB"/>
    <w:rsid w:val="0077032F"/>
    <w:rsid w:val="007704F7"/>
    <w:rsid w:val="007714E1"/>
    <w:rsid w:val="0077194F"/>
    <w:rsid w:val="00771A28"/>
    <w:rsid w:val="007720A3"/>
    <w:rsid w:val="00772F13"/>
    <w:rsid w:val="0077302B"/>
    <w:rsid w:val="007731B9"/>
    <w:rsid w:val="00773FCB"/>
    <w:rsid w:val="0077468D"/>
    <w:rsid w:val="00775FC3"/>
    <w:rsid w:val="0077612E"/>
    <w:rsid w:val="00776797"/>
    <w:rsid w:val="00776D3D"/>
    <w:rsid w:val="00777DC0"/>
    <w:rsid w:val="00777E8F"/>
    <w:rsid w:val="00781474"/>
    <w:rsid w:val="007815EF"/>
    <w:rsid w:val="0078196A"/>
    <w:rsid w:val="00782925"/>
    <w:rsid w:val="00783DAE"/>
    <w:rsid w:val="007848B8"/>
    <w:rsid w:val="00784B41"/>
    <w:rsid w:val="00785274"/>
    <w:rsid w:val="007863A2"/>
    <w:rsid w:val="007871EE"/>
    <w:rsid w:val="007879FB"/>
    <w:rsid w:val="00787D25"/>
    <w:rsid w:val="00787F96"/>
    <w:rsid w:val="00790192"/>
    <w:rsid w:val="007901BB"/>
    <w:rsid w:val="00790286"/>
    <w:rsid w:val="007912B2"/>
    <w:rsid w:val="00792DE6"/>
    <w:rsid w:val="00794B05"/>
    <w:rsid w:val="00794D18"/>
    <w:rsid w:val="0079564A"/>
    <w:rsid w:val="00795876"/>
    <w:rsid w:val="00795946"/>
    <w:rsid w:val="00795B3A"/>
    <w:rsid w:val="00796ECF"/>
    <w:rsid w:val="00797A4E"/>
    <w:rsid w:val="007A0C30"/>
    <w:rsid w:val="007A1686"/>
    <w:rsid w:val="007A1A93"/>
    <w:rsid w:val="007A1DC3"/>
    <w:rsid w:val="007A2EB8"/>
    <w:rsid w:val="007A3466"/>
    <w:rsid w:val="007A4085"/>
    <w:rsid w:val="007A4130"/>
    <w:rsid w:val="007A54FD"/>
    <w:rsid w:val="007A5AA4"/>
    <w:rsid w:val="007A6A5B"/>
    <w:rsid w:val="007A7484"/>
    <w:rsid w:val="007B0B04"/>
    <w:rsid w:val="007B2108"/>
    <w:rsid w:val="007B27B5"/>
    <w:rsid w:val="007B4E48"/>
    <w:rsid w:val="007B517A"/>
    <w:rsid w:val="007B541E"/>
    <w:rsid w:val="007B5F7F"/>
    <w:rsid w:val="007B6571"/>
    <w:rsid w:val="007B6659"/>
    <w:rsid w:val="007B6880"/>
    <w:rsid w:val="007B7542"/>
    <w:rsid w:val="007B7643"/>
    <w:rsid w:val="007B7DE7"/>
    <w:rsid w:val="007C01AA"/>
    <w:rsid w:val="007C0979"/>
    <w:rsid w:val="007C0EC6"/>
    <w:rsid w:val="007C0F6B"/>
    <w:rsid w:val="007C0FF4"/>
    <w:rsid w:val="007C158A"/>
    <w:rsid w:val="007C1EE0"/>
    <w:rsid w:val="007C1F66"/>
    <w:rsid w:val="007C25F6"/>
    <w:rsid w:val="007C35FA"/>
    <w:rsid w:val="007C4420"/>
    <w:rsid w:val="007C51DF"/>
    <w:rsid w:val="007C5860"/>
    <w:rsid w:val="007C5C0C"/>
    <w:rsid w:val="007C6B7B"/>
    <w:rsid w:val="007C7702"/>
    <w:rsid w:val="007C7703"/>
    <w:rsid w:val="007D00B0"/>
    <w:rsid w:val="007D0F23"/>
    <w:rsid w:val="007D1206"/>
    <w:rsid w:val="007D1C5D"/>
    <w:rsid w:val="007D2450"/>
    <w:rsid w:val="007D2E4B"/>
    <w:rsid w:val="007D3555"/>
    <w:rsid w:val="007D3661"/>
    <w:rsid w:val="007D43D5"/>
    <w:rsid w:val="007D5443"/>
    <w:rsid w:val="007D5979"/>
    <w:rsid w:val="007D7A6B"/>
    <w:rsid w:val="007E0D03"/>
    <w:rsid w:val="007E14A9"/>
    <w:rsid w:val="007E1829"/>
    <w:rsid w:val="007E1C4A"/>
    <w:rsid w:val="007E22C7"/>
    <w:rsid w:val="007E2DF1"/>
    <w:rsid w:val="007E37A6"/>
    <w:rsid w:val="007E3B7F"/>
    <w:rsid w:val="007E40DA"/>
    <w:rsid w:val="007E5298"/>
    <w:rsid w:val="007E5AD1"/>
    <w:rsid w:val="007E5B2C"/>
    <w:rsid w:val="007E66E0"/>
    <w:rsid w:val="007E6C1E"/>
    <w:rsid w:val="007E6EEE"/>
    <w:rsid w:val="007F085B"/>
    <w:rsid w:val="007F0B66"/>
    <w:rsid w:val="007F0C9D"/>
    <w:rsid w:val="007F2A6A"/>
    <w:rsid w:val="007F2B88"/>
    <w:rsid w:val="007F3BC7"/>
    <w:rsid w:val="007F3E6E"/>
    <w:rsid w:val="007F4000"/>
    <w:rsid w:val="007F4483"/>
    <w:rsid w:val="007F46DE"/>
    <w:rsid w:val="007F5714"/>
    <w:rsid w:val="007F6243"/>
    <w:rsid w:val="007F6A4E"/>
    <w:rsid w:val="007F759E"/>
    <w:rsid w:val="008000F0"/>
    <w:rsid w:val="00800289"/>
    <w:rsid w:val="00800690"/>
    <w:rsid w:val="008009A0"/>
    <w:rsid w:val="00800D12"/>
    <w:rsid w:val="0080143A"/>
    <w:rsid w:val="0080163B"/>
    <w:rsid w:val="00801688"/>
    <w:rsid w:val="0080362C"/>
    <w:rsid w:val="00803779"/>
    <w:rsid w:val="0080387B"/>
    <w:rsid w:val="00804B1D"/>
    <w:rsid w:val="00805209"/>
    <w:rsid w:val="0080635E"/>
    <w:rsid w:val="00806D09"/>
    <w:rsid w:val="008071C0"/>
    <w:rsid w:val="008077DC"/>
    <w:rsid w:val="00810541"/>
    <w:rsid w:val="0081138E"/>
    <w:rsid w:val="00811D5B"/>
    <w:rsid w:val="00812134"/>
    <w:rsid w:val="00812867"/>
    <w:rsid w:val="008134FE"/>
    <w:rsid w:val="0081350D"/>
    <w:rsid w:val="00813814"/>
    <w:rsid w:val="008143DE"/>
    <w:rsid w:val="008144B2"/>
    <w:rsid w:val="00814B71"/>
    <w:rsid w:val="00814BB2"/>
    <w:rsid w:val="0081612D"/>
    <w:rsid w:val="0081676F"/>
    <w:rsid w:val="00817020"/>
    <w:rsid w:val="008201E6"/>
    <w:rsid w:val="008205E3"/>
    <w:rsid w:val="00820D4C"/>
    <w:rsid w:val="008212C8"/>
    <w:rsid w:val="008217A5"/>
    <w:rsid w:val="008217BA"/>
    <w:rsid w:val="00821F01"/>
    <w:rsid w:val="00822B25"/>
    <w:rsid w:val="00823B22"/>
    <w:rsid w:val="00824D9F"/>
    <w:rsid w:val="008270B8"/>
    <w:rsid w:val="00827A6F"/>
    <w:rsid w:val="00830F35"/>
    <w:rsid w:val="008318C8"/>
    <w:rsid w:val="00831F3D"/>
    <w:rsid w:val="00832600"/>
    <w:rsid w:val="00833639"/>
    <w:rsid w:val="00833728"/>
    <w:rsid w:val="00833737"/>
    <w:rsid w:val="00833BB6"/>
    <w:rsid w:val="00833CFF"/>
    <w:rsid w:val="00834F10"/>
    <w:rsid w:val="00834F16"/>
    <w:rsid w:val="00834FF5"/>
    <w:rsid w:val="00835650"/>
    <w:rsid w:val="00836E96"/>
    <w:rsid w:val="00840218"/>
    <w:rsid w:val="00840303"/>
    <w:rsid w:val="008407A0"/>
    <w:rsid w:val="00840813"/>
    <w:rsid w:val="008411E1"/>
    <w:rsid w:val="0084183D"/>
    <w:rsid w:val="00841ABC"/>
    <w:rsid w:val="00841CEC"/>
    <w:rsid w:val="0084230C"/>
    <w:rsid w:val="008426AC"/>
    <w:rsid w:val="00842C62"/>
    <w:rsid w:val="00842DC6"/>
    <w:rsid w:val="0084324A"/>
    <w:rsid w:val="008439FB"/>
    <w:rsid w:val="00843FDE"/>
    <w:rsid w:val="00844851"/>
    <w:rsid w:val="00844986"/>
    <w:rsid w:val="008455E2"/>
    <w:rsid w:val="00845AAD"/>
    <w:rsid w:val="00846765"/>
    <w:rsid w:val="008468DB"/>
    <w:rsid w:val="0084719A"/>
    <w:rsid w:val="0084749D"/>
    <w:rsid w:val="0084754E"/>
    <w:rsid w:val="008503B1"/>
    <w:rsid w:val="00850CC9"/>
    <w:rsid w:val="008511F8"/>
    <w:rsid w:val="008515B9"/>
    <w:rsid w:val="00851ABB"/>
    <w:rsid w:val="008532E9"/>
    <w:rsid w:val="00853300"/>
    <w:rsid w:val="00853A66"/>
    <w:rsid w:val="008544DC"/>
    <w:rsid w:val="00854A5C"/>
    <w:rsid w:val="008550B5"/>
    <w:rsid w:val="008554DF"/>
    <w:rsid w:val="008556E3"/>
    <w:rsid w:val="00855D27"/>
    <w:rsid w:val="00856415"/>
    <w:rsid w:val="0085733A"/>
    <w:rsid w:val="00857B02"/>
    <w:rsid w:val="00857DD0"/>
    <w:rsid w:val="00860038"/>
    <w:rsid w:val="00860337"/>
    <w:rsid w:val="00860CCF"/>
    <w:rsid w:val="00861912"/>
    <w:rsid w:val="00861FB6"/>
    <w:rsid w:val="0086204B"/>
    <w:rsid w:val="00862069"/>
    <w:rsid w:val="008623BE"/>
    <w:rsid w:val="008627A2"/>
    <w:rsid w:val="00862846"/>
    <w:rsid w:val="00862969"/>
    <w:rsid w:val="00862B59"/>
    <w:rsid w:val="008641EC"/>
    <w:rsid w:val="00865924"/>
    <w:rsid w:val="00865BC4"/>
    <w:rsid w:val="00865C8C"/>
    <w:rsid w:val="00865F65"/>
    <w:rsid w:val="00867CA5"/>
    <w:rsid w:val="008709E1"/>
    <w:rsid w:val="00870C99"/>
    <w:rsid w:val="008710EF"/>
    <w:rsid w:val="0087112A"/>
    <w:rsid w:val="00871C5B"/>
    <w:rsid w:val="00871E26"/>
    <w:rsid w:val="008723AA"/>
    <w:rsid w:val="00872BC8"/>
    <w:rsid w:val="00872CC2"/>
    <w:rsid w:val="00873DB7"/>
    <w:rsid w:val="008746FB"/>
    <w:rsid w:val="00875040"/>
    <w:rsid w:val="00875E28"/>
    <w:rsid w:val="00875E4D"/>
    <w:rsid w:val="00876063"/>
    <w:rsid w:val="008760D0"/>
    <w:rsid w:val="008762FC"/>
    <w:rsid w:val="008765C5"/>
    <w:rsid w:val="008802D0"/>
    <w:rsid w:val="0088098D"/>
    <w:rsid w:val="00880E07"/>
    <w:rsid w:val="00882205"/>
    <w:rsid w:val="0088222E"/>
    <w:rsid w:val="008828F9"/>
    <w:rsid w:val="008829B2"/>
    <w:rsid w:val="00883142"/>
    <w:rsid w:val="00884359"/>
    <w:rsid w:val="00884647"/>
    <w:rsid w:val="0088502B"/>
    <w:rsid w:val="00885138"/>
    <w:rsid w:val="00885241"/>
    <w:rsid w:val="00885A35"/>
    <w:rsid w:val="0088648F"/>
    <w:rsid w:val="0088795F"/>
    <w:rsid w:val="00887D2E"/>
    <w:rsid w:val="0089013B"/>
    <w:rsid w:val="00890AA2"/>
    <w:rsid w:val="00890ABF"/>
    <w:rsid w:val="00891A00"/>
    <w:rsid w:val="00892AD8"/>
    <w:rsid w:val="008930ED"/>
    <w:rsid w:val="008933D5"/>
    <w:rsid w:val="00893E4D"/>
    <w:rsid w:val="00893F54"/>
    <w:rsid w:val="0089473B"/>
    <w:rsid w:val="00895616"/>
    <w:rsid w:val="00897B08"/>
    <w:rsid w:val="008A04A5"/>
    <w:rsid w:val="008A0954"/>
    <w:rsid w:val="008A1635"/>
    <w:rsid w:val="008A16A8"/>
    <w:rsid w:val="008A2563"/>
    <w:rsid w:val="008A25C2"/>
    <w:rsid w:val="008A26E9"/>
    <w:rsid w:val="008A2F17"/>
    <w:rsid w:val="008A309E"/>
    <w:rsid w:val="008A389B"/>
    <w:rsid w:val="008A4C57"/>
    <w:rsid w:val="008A5C22"/>
    <w:rsid w:val="008A66C2"/>
    <w:rsid w:val="008A6CBE"/>
    <w:rsid w:val="008A6DCD"/>
    <w:rsid w:val="008A736D"/>
    <w:rsid w:val="008A7BB8"/>
    <w:rsid w:val="008B0106"/>
    <w:rsid w:val="008B1454"/>
    <w:rsid w:val="008B16DB"/>
    <w:rsid w:val="008B1E66"/>
    <w:rsid w:val="008B1F26"/>
    <w:rsid w:val="008B26DC"/>
    <w:rsid w:val="008B2841"/>
    <w:rsid w:val="008B2952"/>
    <w:rsid w:val="008B327A"/>
    <w:rsid w:val="008B3D0D"/>
    <w:rsid w:val="008B4646"/>
    <w:rsid w:val="008B63CB"/>
    <w:rsid w:val="008B6C09"/>
    <w:rsid w:val="008B6F01"/>
    <w:rsid w:val="008B6FC4"/>
    <w:rsid w:val="008B71CB"/>
    <w:rsid w:val="008B7781"/>
    <w:rsid w:val="008C000B"/>
    <w:rsid w:val="008C0375"/>
    <w:rsid w:val="008C07C2"/>
    <w:rsid w:val="008C1C26"/>
    <w:rsid w:val="008C1D48"/>
    <w:rsid w:val="008C21CE"/>
    <w:rsid w:val="008C2291"/>
    <w:rsid w:val="008C2B19"/>
    <w:rsid w:val="008C326E"/>
    <w:rsid w:val="008C3F7E"/>
    <w:rsid w:val="008C4791"/>
    <w:rsid w:val="008C4944"/>
    <w:rsid w:val="008C51E8"/>
    <w:rsid w:val="008C6957"/>
    <w:rsid w:val="008D035D"/>
    <w:rsid w:val="008D13AE"/>
    <w:rsid w:val="008D17F7"/>
    <w:rsid w:val="008D1CBD"/>
    <w:rsid w:val="008D249C"/>
    <w:rsid w:val="008D2DA5"/>
    <w:rsid w:val="008D3AB7"/>
    <w:rsid w:val="008D3D99"/>
    <w:rsid w:val="008D44F9"/>
    <w:rsid w:val="008D456D"/>
    <w:rsid w:val="008D5D7D"/>
    <w:rsid w:val="008D63A4"/>
    <w:rsid w:val="008D6684"/>
    <w:rsid w:val="008D6FD2"/>
    <w:rsid w:val="008D70CF"/>
    <w:rsid w:val="008E0945"/>
    <w:rsid w:val="008E233F"/>
    <w:rsid w:val="008E2504"/>
    <w:rsid w:val="008E3B3F"/>
    <w:rsid w:val="008E4276"/>
    <w:rsid w:val="008E456A"/>
    <w:rsid w:val="008F0AC2"/>
    <w:rsid w:val="008F1020"/>
    <w:rsid w:val="008F12B2"/>
    <w:rsid w:val="008F196F"/>
    <w:rsid w:val="008F1D63"/>
    <w:rsid w:val="008F213C"/>
    <w:rsid w:val="008F22CD"/>
    <w:rsid w:val="008F33C9"/>
    <w:rsid w:val="008F3FB7"/>
    <w:rsid w:val="008F4589"/>
    <w:rsid w:val="008F468F"/>
    <w:rsid w:val="008F4FA6"/>
    <w:rsid w:val="008F5598"/>
    <w:rsid w:val="008F6BC1"/>
    <w:rsid w:val="008F7242"/>
    <w:rsid w:val="008F7BA3"/>
    <w:rsid w:val="0090021E"/>
    <w:rsid w:val="00901011"/>
    <w:rsid w:val="0090310D"/>
    <w:rsid w:val="009037C9"/>
    <w:rsid w:val="009037CF"/>
    <w:rsid w:val="0090395D"/>
    <w:rsid w:val="00903EC1"/>
    <w:rsid w:val="009041D2"/>
    <w:rsid w:val="00904684"/>
    <w:rsid w:val="009048DA"/>
    <w:rsid w:val="00904B96"/>
    <w:rsid w:val="00904D81"/>
    <w:rsid w:val="00906ACB"/>
    <w:rsid w:val="00906AFC"/>
    <w:rsid w:val="00906D79"/>
    <w:rsid w:val="0090747A"/>
    <w:rsid w:val="00910344"/>
    <w:rsid w:val="00910504"/>
    <w:rsid w:val="00910789"/>
    <w:rsid w:val="00910D3A"/>
    <w:rsid w:val="00910DBF"/>
    <w:rsid w:val="0091110E"/>
    <w:rsid w:val="0091155E"/>
    <w:rsid w:val="00911EDA"/>
    <w:rsid w:val="00913358"/>
    <w:rsid w:val="00913BEB"/>
    <w:rsid w:val="00914033"/>
    <w:rsid w:val="0091405F"/>
    <w:rsid w:val="00914516"/>
    <w:rsid w:val="009146AA"/>
    <w:rsid w:val="009146DF"/>
    <w:rsid w:val="00914CB5"/>
    <w:rsid w:val="009156D5"/>
    <w:rsid w:val="00915C7C"/>
    <w:rsid w:val="00916511"/>
    <w:rsid w:val="00916537"/>
    <w:rsid w:val="009165D1"/>
    <w:rsid w:val="00916DCF"/>
    <w:rsid w:val="00917017"/>
    <w:rsid w:val="0092026D"/>
    <w:rsid w:val="009216B2"/>
    <w:rsid w:val="0092293A"/>
    <w:rsid w:val="00923193"/>
    <w:rsid w:val="009238DA"/>
    <w:rsid w:val="00923CD3"/>
    <w:rsid w:val="00923F66"/>
    <w:rsid w:val="00924680"/>
    <w:rsid w:val="009253A1"/>
    <w:rsid w:val="00925B73"/>
    <w:rsid w:val="00926161"/>
    <w:rsid w:val="00926D7E"/>
    <w:rsid w:val="009270D3"/>
    <w:rsid w:val="00927BCC"/>
    <w:rsid w:val="00927EF0"/>
    <w:rsid w:val="00930173"/>
    <w:rsid w:val="00930310"/>
    <w:rsid w:val="00930C58"/>
    <w:rsid w:val="00930FBD"/>
    <w:rsid w:val="00931C44"/>
    <w:rsid w:val="00932208"/>
    <w:rsid w:val="009324C3"/>
    <w:rsid w:val="00932EFE"/>
    <w:rsid w:val="00933C1C"/>
    <w:rsid w:val="00933C99"/>
    <w:rsid w:val="00933FB9"/>
    <w:rsid w:val="009342D8"/>
    <w:rsid w:val="009346F7"/>
    <w:rsid w:val="00934AB6"/>
    <w:rsid w:val="009363E8"/>
    <w:rsid w:val="0093665F"/>
    <w:rsid w:val="00937824"/>
    <w:rsid w:val="00940E0E"/>
    <w:rsid w:val="009412B2"/>
    <w:rsid w:val="00941945"/>
    <w:rsid w:val="00942055"/>
    <w:rsid w:val="00942260"/>
    <w:rsid w:val="0094299F"/>
    <w:rsid w:val="00942A41"/>
    <w:rsid w:val="0094387C"/>
    <w:rsid w:val="0094451F"/>
    <w:rsid w:val="00944544"/>
    <w:rsid w:val="00944AD5"/>
    <w:rsid w:val="00945601"/>
    <w:rsid w:val="009461B6"/>
    <w:rsid w:val="00947E37"/>
    <w:rsid w:val="0095062D"/>
    <w:rsid w:val="009509E7"/>
    <w:rsid w:val="00950BA2"/>
    <w:rsid w:val="00951297"/>
    <w:rsid w:val="00951CCB"/>
    <w:rsid w:val="00952A35"/>
    <w:rsid w:val="0095498A"/>
    <w:rsid w:val="009549E7"/>
    <w:rsid w:val="00954DC3"/>
    <w:rsid w:val="00955648"/>
    <w:rsid w:val="00955DAC"/>
    <w:rsid w:val="00956104"/>
    <w:rsid w:val="009569EE"/>
    <w:rsid w:val="009574C0"/>
    <w:rsid w:val="009576E0"/>
    <w:rsid w:val="00961359"/>
    <w:rsid w:val="00961915"/>
    <w:rsid w:val="009622B2"/>
    <w:rsid w:val="009627FA"/>
    <w:rsid w:val="009628BF"/>
    <w:rsid w:val="00963CD1"/>
    <w:rsid w:val="00965A3F"/>
    <w:rsid w:val="00966319"/>
    <w:rsid w:val="0096663F"/>
    <w:rsid w:val="00966BAC"/>
    <w:rsid w:val="00966D3A"/>
    <w:rsid w:val="00966E33"/>
    <w:rsid w:val="009672A4"/>
    <w:rsid w:val="009675BE"/>
    <w:rsid w:val="00967794"/>
    <w:rsid w:val="00970E16"/>
    <w:rsid w:val="0097118F"/>
    <w:rsid w:val="0097122E"/>
    <w:rsid w:val="00971230"/>
    <w:rsid w:val="00971EC0"/>
    <w:rsid w:val="00972321"/>
    <w:rsid w:val="009727FF"/>
    <w:rsid w:val="00973FCA"/>
    <w:rsid w:val="0097445E"/>
    <w:rsid w:val="00974DFE"/>
    <w:rsid w:val="00974FEF"/>
    <w:rsid w:val="00975399"/>
    <w:rsid w:val="00976EF4"/>
    <w:rsid w:val="00977798"/>
    <w:rsid w:val="009800C5"/>
    <w:rsid w:val="009802A6"/>
    <w:rsid w:val="00980565"/>
    <w:rsid w:val="00981208"/>
    <w:rsid w:val="009822BC"/>
    <w:rsid w:val="009824B1"/>
    <w:rsid w:val="009838FD"/>
    <w:rsid w:val="00983B3F"/>
    <w:rsid w:val="00983B6E"/>
    <w:rsid w:val="0098448D"/>
    <w:rsid w:val="009846EA"/>
    <w:rsid w:val="00984DD1"/>
    <w:rsid w:val="00985049"/>
    <w:rsid w:val="00985444"/>
    <w:rsid w:val="00985E58"/>
    <w:rsid w:val="00986243"/>
    <w:rsid w:val="00986AF8"/>
    <w:rsid w:val="00987005"/>
    <w:rsid w:val="0098731D"/>
    <w:rsid w:val="00987C19"/>
    <w:rsid w:val="00987C23"/>
    <w:rsid w:val="00987CFF"/>
    <w:rsid w:val="00987ED6"/>
    <w:rsid w:val="009904E0"/>
    <w:rsid w:val="00991888"/>
    <w:rsid w:val="00991B6A"/>
    <w:rsid w:val="00991D7A"/>
    <w:rsid w:val="00992090"/>
    <w:rsid w:val="00992A4A"/>
    <w:rsid w:val="00993FFE"/>
    <w:rsid w:val="00995474"/>
    <w:rsid w:val="00995BC0"/>
    <w:rsid w:val="00996F1F"/>
    <w:rsid w:val="00996F5B"/>
    <w:rsid w:val="009A0CB9"/>
    <w:rsid w:val="009A0D5E"/>
    <w:rsid w:val="009A199A"/>
    <w:rsid w:val="009A1A4E"/>
    <w:rsid w:val="009A1B44"/>
    <w:rsid w:val="009A310A"/>
    <w:rsid w:val="009A37DD"/>
    <w:rsid w:val="009A3981"/>
    <w:rsid w:val="009A39AF"/>
    <w:rsid w:val="009A3E1B"/>
    <w:rsid w:val="009A406E"/>
    <w:rsid w:val="009A423D"/>
    <w:rsid w:val="009A48BF"/>
    <w:rsid w:val="009A5B97"/>
    <w:rsid w:val="009A778D"/>
    <w:rsid w:val="009A7F57"/>
    <w:rsid w:val="009B2318"/>
    <w:rsid w:val="009B2864"/>
    <w:rsid w:val="009B295B"/>
    <w:rsid w:val="009B2D9D"/>
    <w:rsid w:val="009B35D2"/>
    <w:rsid w:val="009B5CAB"/>
    <w:rsid w:val="009B620E"/>
    <w:rsid w:val="009B669C"/>
    <w:rsid w:val="009B6B45"/>
    <w:rsid w:val="009B71C0"/>
    <w:rsid w:val="009B7344"/>
    <w:rsid w:val="009B79C0"/>
    <w:rsid w:val="009C07FF"/>
    <w:rsid w:val="009C081D"/>
    <w:rsid w:val="009C261E"/>
    <w:rsid w:val="009C3AAB"/>
    <w:rsid w:val="009C3DD5"/>
    <w:rsid w:val="009C3E4B"/>
    <w:rsid w:val="009C4553"/>
    <w:rsid w:val="009C4684"/>
    <w:rsid w:val="009C4CC9"/>
    <w:rsid w:val="009C4D75"/>
    <w:rsid w:val="009C52FC"/>
    <w:rsid w:val="009C550C"/>
    <w:rsid w:val="009D012C"/>
    <w:rsid w:val="009D01F3"/>
    <w:rsid w:val="009D0A88"/>
    <w:rsid w:val="009D0D1A"/>
    <w:rsid w:val="009D123A"/>
    <w:rsid w:val="009D1771"/>
    <w:rsid w:val="009D1834"/>
    <w:rsid w:val="009D228C"/>
    <w:rsid w:val="009D25A5"/>
    <w:rsid w:val="009D2756"/>
    <w:rsid w:val="009D3356"/>
    <w:rsid w:val="009D3FF1"/>
    <w:rsid w:val="009D4D65"/>
    <w:rsid w:val="009D613B"/>
    <w:rsid w:val="009D68EC"/>
    <w:rsid w:val="009D6AD8"/>
    <w:rsid w:val="009D6BE6"/>
    <w:rsid w:val="009D77BA"/>
    <w:rsid w:val="009D7C02"/>
    <w:rsid w:val="009D7E53"/>
    <w:rsid w:val="009E04C7"/>
    <w:rsid w:val="009E04E4"/>
    <w:rsid w:val="009E1363"/>
    <w:rsid w:val="009E1A5D"/>
    <w:rsid w:val="009E1B5A"/>
    <w:rsid w:val="009E3998"/>
    <w:rsid w:val="009E418B"/>
    <w:rsid w:val="009E4A39"/>
    <w:rsid w:val="009E5853"/>
    <w:rsid w:val="009E6609"/>
    <w:rsid w:val="009E71FC"/>
    <w:rsid w:val="009E7336"/>
    <w:rsid w:val="009F037A"/>
    <w:rsid w:val="009F13A9"/>
    <w:rsid w:val="009F1419"/>
    <w:rsid w:val="009F19A7"/>
    <w:rsid w:val="009F2242"/>
    <w:rsid w:val="009F2D59"/>
    <w:rsid w:val="009F3E4A"/>
    <w:rsid w:val="009F66C9"/>
    <w:rsid w:val="009F6E65"/>
    <w:rsid w:val="009F73C8"/>
    <w:rsid w:val="009F73D8"/>
    <w:rsid w:val="00A01DC9"/>
    <w:rsid w:val="00A0293D"/>
    <w:rsid w:val="00A02CEF"/>
    <w:rsid w:val="00A02FA5"/>
    <w:rsid w:val="00A03169"/>
    <w:rsid w:val="00A032B4"/>
    <w:rsid w:val="00A03638"/>
    <w:rsid w:val="00A045F7"/>
    <w:rsid w:val="00A05A76"/>
    <w:rsid w:val="00A0639A"/>
    <w:rsid w:val="00A06D89"/>
    <w:rsid w:val="00A06FA8"/>
    <w:rsid w:val="00A06FB7"/>
    <w:rsid w:val="00A07240"/>
    <w:rsid w:val="00A0726B"/>
    <w:rsid w:val="00A0729C"/>
    <w:rsid w:val="00A10798"/>
    <w:rsid w:val="00A10C06"/>
    <w:rsid w:val="00A10F92"/>
    <w:rsid w:val="00A11298"/>
    <w:rsid w:val="00A12239"/>
    <w:rsid w:val="00A132AD"/>
    <w:rsid w:val="00A13AEB"/>
    <w:rsid w:val="00A14D3F"/>
    <w:rsid w:val="00A15B3C"/>
    <w:rsid w:val="00A163E2"/>
    <w:rsid w:val="00A1743F"/>
    <w:rsid w:val="00A204C4"/>
    <w:rsid w:val="00A20A49"/>
    <w:rsid w:val="00A20FCF"/>
    <w:rsid w:val="00A2174D"/>
    <w:rsid w:val="00A217C0"/>
    <w:rsid w:val="00A21F5C"/>
    <w:rsid w:val="00A22191"/>
    <w:rsid w:val="00A226C9"/>
    <w:rsid w:val="00A23F1E"/>
    <w:rsid w:val="00A2461D"/>
    <w:rsid w:val="00A24945"/>
    <w:rsid w:val="00A24FFD"/>
    <w:rsid w:val="00A25557"/>
    <w:rsid w:val="00A2571C"/>
    <w:rsid w:val="00A25A09"/>
    <w:rsid w:val="00A26290"/>
    <w:rsid w:val="00A26496"/>
    <w:rsid w:val="00A271EF"/>
    <w:rsid w:val="00A2744A"/>
    <w:rsid w:val="00A30451"/>
    <w:rsid w:val="00A306C6"/>
    <w:rsid w:val="00A31D70"/>
    <w:rsid w:val="00A3213A"/>
    <w:rsid w:val="00A325AF"/>
    <w:rsid w:val="00A35D22"/>
    <w:rsid w:val="00A36151"/>
    <w:rsid w:val="00A36185"/>
    <w:rsid w:val="00A36ECB"/>
    <w:rsid w:val="00A3724E"/>
    <w:rsid w:val="00A37900"/>
    <w:rsid w:val="00A37A47"/>
    <w:rsid w:val="00A37A82"/>
    <w:rsid w:val="00A37D96"/>
    <w:rsid w:val="00A40329"/>
    <w:rsid w:val="00A41017"/>
    <w:rsid w:val="00A414C5"/>
    <w:rsid w:val="00A416F2"/>
    <w:rsid w:val="00A41BA8"/>
    <w:rsid w:val="00A420B6"/>
    <w:rsid w:val="00A428AE"/>
    <w:rsid w:val="00A4297D"/>
    <w:rsid w:val="00A429B2"/>
    <w:rsid w:val="00A43CF5"/>
    <w:rsid w:val="00A44C59"/>
    <w:rsid w:val="00A44C9E"/>
    <w:rsid w:val="00A44DEA"/>
    <w:rsid w:val="00A45570"/>
    <w:rsid w:val="00A470CF"/>
    <w:rsid w:val="00A4740C"/>
    <w:rsid w:val="00A47D3E"/>
    <w:rsid w:val="00A51133"/>
    <w:rsid w:val="00A5179F"/>
    <w:rsid w:val="00A53080"/>
    <w:rsid w:val="00A53F93"/>
    <w:rsid w:val="00A5576A"/>
    <w:rsid w:val="00A565CE"/>
    <w:rsid w:val="00A5757C"/>
    <w:rsid w:val="00A6034A"/>
    <w:rsid w:val="00A60446"/>
    <w:rsid w:val="00A60499"/>
    <w:rsid w:val="00A6077D"/>
    <w:rsid w:val="00A61C6C"/>
    <w:rsid w:val="00A61DE6"/>
    <w:rsid w:val="00A61F95"/>
    <w:rsid w:val="00A624A1"/>
    <w:rsid w:val="00A624EB"/>
    <w:rsid w:val="00A6274F"/>
    <w:rsid w:val="00A629CC"/>
    <w:rsid w:val="00A62A9D"/>
    <w:rsid w:val="00A6363D"/>
    <w:rsid w:val="00A63FA4"/>
    <w:rsid w:val="00A64A0A"/>
    <w:rsid w:val="00A65A0D"/>
    <w:rsid w:val="00A65C09"/>
    <w:rsid w:val="00A665AD"/>
    <w:rsid w:val="00A66903"/>
    <w:rsid w:val="00A66A62"/>
    <w:rsid w:val="00A67DED"/>
    <w:rsid w:val="00A67E47"/>
    <w:rsid w:val="00A67FA1"/>
    <w:rsid w:val="00A700E3"/>
    <w:rsid w:val="00A702FB"/>
    <w:rsid w:val="00A70474"/>
    <w:rsid w:val="00A7053C"/>
    <w:rsid w:val="00A70CB3"/>
    <w:rsid w:val="00A717CC"/>
    <w:rsid w:val="00A71867"/>
    <w:rsid w:val="00A72310"/>
    <w:rsid w:val="00A74033"/>
    <w:rsid w:val="00A7405B"/>
    <w:rsid w:val="00A7491B"/>
    <w:rsid w:val="00A74DB8"/>
    <w:rsid w:val="00A74F80"/>
    <w:rsid w:val="00A75DE1"/>
    <w:rsid w:val="00A80820"/>
    <w:rsid w:val="00A80B68"/>
    <w:rsid w:val="00A80EF9"/>
    <w:rsid w:val="00A81B3F"/>
    <w:rsid w:val="00A81BC1"/>
    <w:rsid w:val="00A823F3"/>
    <w:rsid w:val="00A82850"/>
    <w:rsid w:val="00A842B7"/>
    <w:rsid w:val="00A844AF"/>
    <w:rsid w:val="00A84949"/>
    <w:rsid w:val="00A85715"/>
    <w:rsid w:val="00A86515"/>
    <w:rsid w:val="00A86720"/>
    <w:rsid w:val="00A8684F"/>
    <w:rsid w:val="00A868CE"/>
    <w:rsid w:val="00A872E8"/>
    <w:rsid w:val="00A874C8"/>
    <w:rsid w:val="00A90451"/>
    <w:rsid w:val="00A904EB"/>
    <w:rsid w:val="00A90625"/>
    <w:rsid w:val="00A9135C"/>
    <w:rsid w:val="00A917D9"/>
    <w:rsid w:val="00A91AA4"/>
    <w:rsid w:val="00A9210F"/>
    <w:rsid w:val="00A9280C"/>
    <w:rsid w:val="00A9285A"/>
    <w:rsid w:val="00A92BCE"/>
    <w:rsid w:val="00A92EFA"/>
    <w:rsid w:val="00A92F23"/>
    <w:rsid w:val="00A94AB8"/>
    <w:rsid w:val="00A94FC7"/>
    <w:rsid w:val="00A959A7"/>
    <w:rsid w:val="00A962E4"/>
    <w:rsid w:val="00A96F52"/>
    <w:rsid w:val="00A97486"/>
    <w:rsid w:val="00A9780B"/>
    <w:rsid w:val="00A97B4F"/>
    <w:rsid w:val="00A97BD9"/>
    <w:rsid w:val="00AA038B"/>
    <w:rsid w:val="00AA04F4"/>
    <w:rsid w:val="00AA36AB"/>
    <w:rsid w:val="00AA4CAF"/>
    <w:rsid w:val="00AA54E8"/>
    <w:rsid w:val="00AA6139"/>
    <w:rsid w:val="00AA61F1"/>
    <w:rsid w:val="00AA70F6"/>
    <w:rsid w:val="00AA72BF"/>
    <w:rsid w:val="00AA74AF"/>
    <w:rsid w:val="00AA7D1A"/>
    <w:rsid w:val="00AB08C6"/>
    <w:rsid w:val="00AB0BDF"/>
    <w:rsid w:val="00AB104C"/>
    <w:rsid w:val="00AB10FD"/>
    <w:rsid w:val="00AB14E9"/>
    <w:rsid w:val="00AB2B57"/>
    <w:rsid w:val="00AB2C86"/>
    <w:rsid w:val="00AB2E5B"/>
    <w:rsid w:val="00AB33BA"/>
    <w:rsid w:val="00AB350C"/>
    <w:rsid w:val="00AB50E9"/>
    <w:rsid w:val="00AB558D"/>
    <w:rsid w:val="00AB5B23"/>
    <w:rsid w:val="00AB5B78"/>
    <w:rsid w:val="00AB6388"/>
    <w:rsid w:val="00AB67CB"/>
    <w:rsid w:val="00AB6D82"/>
    <w:rsid w:val="00AC12A1"/>
    <w:rsid w:val="00AC1932"/>
    <w:rsid w:val="00AC20FB"/>
    <w:rsid w:val="00AC2405"/>
    <w:rsid w:val="00AC252A"/>
    <w:rsid w:val="00AC29F7"/>
    <w:rsid w:val="00AC2F6C"/>
    <w:rsid w:val="00AC39EA"/>
    <w:rsid w:val="00AC4CC8"/>
    <w:rsid w:val="00AC534A"/>
    <w:rsid w:val="00AC566D"/>
    <w:rsid w:val="00AC58D0"/>
    <w:rsid w:val="00AC594B"/>
    <w:rsid w:val="00AC620B"/>
    <w:rsid w:val="00AD0086"/>
    <w:rsid w:val="00AD0FA7"/>
    <w:rsid w:val="00AD1021"/>
    <w:rsid w:val="00AD1204"/>
    <w:rsid w:val="00AD1563"/>
    <w:rsid w:val="00AD197B"/>
    <w:rsid w:val="00AD1C2C"/>
    <w:rsid w:val="00AD1D89"/>
    <w:rsid w:val="00AD201F"/>
    <w:rsid w:val="00AD297D"/>
    <w:rsid w:val="00AD2B64"/>
    <w:rsid w:val="00AD3071"/>
    <w:rsid w:val="00AD33D0"/>
    <w:rsid w:val="00AD3B83"/>
    <w:rsid w:val="00AD57A3"/>
    <w:rsid w:val="00AD5F60"/>
    <w:rsid w:val="00AD75B1"/>
    <w:rsid w:val="00AE084E"/>
    <w:rsid w:val="00AE13BC"/>
    <w:rsid w:val="00AE15FA"/>
    <w:rsid w:val="00AE1610"/>
    <w:rsid w:val="00AE1892"/>
    <w:rsid w:val="00AE1EEE"/>
    <w:rsid w:val="00AE24DE"/>
    <w:rsid w:val="00AE26CC"/>
    <w:rsid w:val="00AE3242"/>
    <w:rsid w:val="00AE41AC"/>
    <w:rsid w:val="00AE5347"/>
    <w:rsid w:val="00AE5357"/>
    <w:rsid w:val="00AE5BE1"/>
    <w:rsid w:val="00AE5D31"/>
    <w:rsid w:val="00AE65B9"/>
    <w:rsid w:val="00AE6FE4"/>
    <w:rsid w:val="00AE700D"/>
    <w:rsid w:val="00AE7016"/>
    <w:rsid w:val="00AE7515"/>
    <w:rsid w:val="00AE763B"/>
    <w:rsid w:val="00AE798A"/>
    <w:rsid w:val="00AF0BC3"/>
    <w:rsid w:val="00AF105A"/>
    <w:rsid w:val="00AF150D"/>
    <w:rsid w:val="00AF36E7"/>
    <w:rsid w:val="00AF3B72"/>
    <w:rsid w:val="00AF41CA"/>
    <w:rsid w:val="00AF41EC"/>
    <w:rsid w:val="00AF474D"/>
    <w:rsid w:val="00AF59BE"/>
    <w:rsid w:val="00AF5BC5"/>
    <w:rsid w:val="00AF6D09"/>
    <w:rsid w:val="00B003AE"/>
    <w:rsid w:val="00B00E88"/>
    <w:rsid w:val="00B027B1"/>
    <w:rsid w:val="00B039E3"/>
    <w:rsid w:val="00B03E1B"/>
    <w:rsid w:val="00B04080"/>
    <w:rsid w:val="00B045CB"/>
    <w:rsid w:val="00B0483C"/>
    <w:rsid w:val="00B05CF6"/>
    <w:rsid w:val="00B0675C"/>
    <w:rsid w:val="00B06E98"/>
    <w:rsid w:val="00B07099"/>
    <w:rsid w:val="00B10CE4"/>
    <w:rsid w:val="00B10D92"/>
    <w:rsid w:val="00B11375"/>
    <w:rsid w:val="00B12048"/>
    <w:rsid w:val="00B124E1"/>
    <w:rsid w:val="00B12EBA"/>
    <w:rsid w:val="00B1355B"/>
    <w:rsid w:val="00B1466E"/>
    <w:rsid w:val="00B14EDB"/>
    <w:rsid w:val="00B16013"/>
    <w:rsid w:val="00B16114"/>
    <w:rsid w:val="00B16DBB"/>
    <w:rsid w:val="00B175DB"/>
    <w:rsid w:val="00B17702"/>
    <w:rsid w:val="00B17DF3"/>
    <w:rsid w:val="00B21403"/>
    <w:rsid w:val="00B21CFE"/>
    <w:rsid w:val="00B2263A"/>
    <w:rsid w:val="00B23968"/>
    <w:rsid w:val="00B248AB"/>
    <w:rsid w:val="00B25462"/>
    <w:rsid w:val="00B25886"/>
    <w:rsid w:val="00B25F93"/>
    <w:rsid w:val="00B26430"/>
    <w:rsid w:val="00B26B7F"/>
    <w:rsid w:val="00B27077"/>
    <w:rsid w:val="00B274D6"/>
    <w:rsid w:val="00B27978"/>
    <w:rsid w:val="00B27D82"/>
    <w:rsid w:val="00B31313"/>
    <w:rsid w:val="00B33AB0"/>
    <w:rsid w:val="00B3411E"/>
    <w:rsid w:val="00B34614"/>
    <w:rsid w:val="00B35BA9"/>
    <w:rsid w:val="00B36DF6"/>
    <w:rsid w:val="00B37098"/>
    <w:rsid w:val="00B40A21"/>
    <w:rsid w:val="00B40A4C"/>
    <w:rsid w:val="00B423EE"/>
    <w:rsid w:val="00B42561"/>
    <w:rsid w:val="00B42888"/>
    <w:rsid w:val="00B43548"/>
    <w:rsid w:val="00B43B84"/>
    <w:rsid w:val="00B44233"/>
    <w:rsid w:val="00B446AE"/>
    <w:rsid w:val="00B44BFE"/>
    <w:rsid w:val="00B45A39"/>
    <w:rsid w:val="00B45F79"/>
    <w:rsid w:val="00B469F5"/>
    <w:rsid w:val="00B46FFB"/>
    <w:rsid w:val="00B47416"/>
    <w:rsid w:val="00B47CF6"/>
    <w:rsid w:val="00B5149C"/>
    <w:rsid w:val="00B51774"/>
    <w:rsid w:val="00B532FF"/>
    <w:rsid w:val="00B53844"/>
    <w:rsid w:val="00B53F89"/>
    <w:rsid w:val="00B54005"/>
    <w:rsid w:val="00B5411F"/>
    <w:rsid w:val="00B5491C"/>
    <w:rsid w:val="00B54A15"/>
    <w:rsid w:val="00B54F76"/>
    <w:rsid w:val="00B5643E"/>
    <w:rsid w:val="00B564AA"/>
    <w:rsid w:val="00B57239"/>
    <w:rsid w:val="00B60580"/>
    <w:rsid w:val="00B60F49"/>
    <w:rsid w:val="00B617D8"/>
    <w:rsid w:val="00B61B48"/>
    <w:rsid w:val="00B61C2C"/>
    <w:rsid w:val="00B61F47"/>
    <w:rsid w:val="00B624F7"/>
    <w:rsid w:val="00B62FC5"/>
    <w:rsid w:val="00B6332C"/>
    <w:rsid w:val="00B63351"/>
    <w:rsid w:val="00B635FD"/>
    <w:rsid w:val="00B63A12"/>
    <w:rsid w:val="00B63C42"/>
    <w:rsid w:val="00B63CC1"/>
    <w:rsid w:val="00B6410E"/>
    <w:rsid w:val="00B641B7"/>
    <w:rsid w:val="00B64563"/>
    <w:rsid w:val="00B67932"/>
    <w:rsid w:val="00B709AD"/>
    <w:rsid w:val="00B70F09"/>
    <w:rsid w:val="00B724F9"/>
    <w:rsid w:val="00B72DB7"/>
    <w:rsid w:val="00B7374E"/>
    <w:rsid w:val="00B73D5F"/>
    <w:rsid w:val="00B74276"/>
    <w:rsid w:val="00B7491F"/>
    <w:rsid w:val="00B74E4B"/>
    <w:rsid w:val="00B74FE3"/>
    <w:rsid w:val="00B767A4"/>
    <w:rsid w:val="00B77C92"/>
    <w:rsid w:val="00B77DD9"/>
    <w:rsid w:val="00B77FC5"/>
    <w:rsid w:val="00B800C3"/>
    <w:rsid w:val="00B8014E"/>
    <w:rsid w:val="00B8133B"/>
    <w:rsid w:val="00B824FF"/>
    <w:rsid w:val="00B83234"/>
    <w:rsid w:val="00B83A61"/>
    <w:rsid w:val="00B846B8"/>
    <w:rsid w:val="00B85668"/>
    <w:rsid w:val="00B877EE"/>
    <w:rsid w:val="00B90CAE"/>
    <w:rsid w:val="00B92365"/>
    <w:rsid w:val="00B9239A"/>
    <w:rsid w:val="00B9285F"/>
    <w:rsid w:val="00B92B4C"/>
    <w:rsid w:val="00B930E2"/>
    <w:rsid w:val="00B9312F"/>
    <w:rsid w:val="00B936B7"/>
    <w:rsid w:val="00B93788"/>
    <w:rsid w:val="00B94C58"/>
    <w:rsid w:val="00B94D38"/>
    <w:rsid w:val="00B94F4E"/>
    <w:rsid w:val="00B957F6"/>
    <w:rsid w:val="00B9597B"/>
    <w:rsid w:val="00B96446"/>
    <w:rsid w:val="00B966F8"/>
    <w:rsid w:val="00B96903"/>
    <w:rsid w:val="00B97758"/>
    <w:rsid w:val="00BA0FAF"/>
    <w:rsid w:val="00BA2321"/>
    <w:rsid w:val="00BA2977"/>
    <w:rsid w:val="00BA2B90"/>
    <w:rsid w:val="00BA3E40"/>
    <w:rsid w:val="00BA40BF"/>
    <w:rsid w:val="00BA62F8"/>
    <w:rsid w:val="00BA646F"/>
    <w:rsid w:val="00BA66C5"/>
    <w:rsid w:val="00BA68A0"/>
    <w:rsid w:val="00BA6AEA"/>
    <w:rsid w:val="00BA71A4"/>
    <w:rsid w:val="00BA7545"/>
    <w:rsid w:val="00BA777B"/>
    <w:rsid w:val="00BA77C6"/>
    <w:rsid w:val="00BB0102"/>
    <w:rsid w:val="00BB01BD"/>
    <w:rsid w:val="00BB0CF3"/>
    <w:rsid w:val="00BB1062"/>
    <w:rsid w:val="00BB1332"/>
    <w:rsid w:val="00BB15A4"/>
    <w:rsid w:val="00BB163B"/>
    <w:rsid w:val="00BB2BAE"/>
    <w:rsid w:val="00BB3999"/>
    <w:rsid w:val="00BB3A83"/>
    <w:rsid w:val="00BB44AF"/>
    <w:rsid w:val="00BB51CC"/>
    <w:rsid w:val="00BC0D7A"/>
    <w:rsid w:val="00BC18E0"/>
    <w:rsid w:val="00BC1B15"/>
    <w:rsid w:val="00BC30BD"/>
    <w:rsid w:val="00BC4835"/>
    <w:rsid w:val="00BC5328"/>
    <w:rsid w:val="00BC588F"/>
    <w:rsid w:val="00BC68C8"/>
    <w:rsid w:val="00BC701F"/>
    <w:rsid w:val="00BC74AE"/>
    <w:rsid w:val="00BC7F5B"/>
    <w:rsid w:val="00BD0BD3"/>
    <w:rsid w:val="00BD12A6"/>
    <w:rsid w:val="00BD18E9"/>
    <w:rsid w:val="00BD1A5B"/>
    <w:rsid w:val="00BD1F70"/>
    <w:rsid w:val="00BD293C"/>
    <w:rsid w:val="00BD29EF"/>
    <w:rsid w:val="00BD2AC1"/>
    <w:rsid w:val="00BD3B0D"/>
    <w:rsid w:val="00BD4567"/>
    <w:rsid w:val="00BD4E08"/>
    <w:rsid w:val="00BD4F70"/>
    <w:rsid w:val="00BD63E4"/>
    <w:rsid w:val="00BD662E"/>
    <w:rsid w:val="00BD6ADB"/>
    <w:rsid w:val="00BD6C8F"/>
    <w:rsid w:val="00BD6EF2"/>
    <w:rsid w:val="00BD7239"/>
    <w:rsid w:val="00BD792E"/>
    <w:rsid w:val="00BE0A1B"/>
    <w:rsid w:val="00BE1101"/>
    <w:rsid w:val="00BE13F4"/>
    <w:rsid w:val="00BE15B5"/>
    <w:rsid w:val="00BE17F0"/>
    <w:rsid w:val="00BE1D61"/>
    <w:rsid w:val="00BE1D64"/>
    <w:rsid w:val="00BE2F0C"/>
    <w:rsid w:val="00BE5090"/>
    <w:rsid w:val="00BE6962"/>
    <w:rsid w:val="00BE6988"/>
    <w:rsid w:val="00BE73B5"/>
    <w:rsid w:val="00BE7DD7"/>
    <w:rsid w:val="00BF0456"/>
    <w:rsid w:val="00BF115D"/>
    <w:rsid w:val="00BF1317"/>
    <w:rsid w:val="00BF1735"/>
    <w:rsid w:val="00BF2A03"/>
    <w:rsid w:val="00BF2D15"/>
    <w:rsid w:val="00BF333E"/>
    <w:rsid w:val="00BF339F"/>
    <w:rsid w:val="00BF37EF"/>
    <w:rsid w:val="00BF48B0"/>
    <w:rsid w:val="00BF57C5"/>
    <w:rsid w:val="00BF603C"/>
    <w:rsid w:val="00BF61A4"/>
    <w:rsid w:val="00BF63FF"/>
    <w:rsid w:val="00BF64EA"/>
    <w:rsid w:val="00BF6578"/>
    <w:rsid w:val="00BF6659"/>
    <w:rsid w:val="00BF69D8"/>
    <w:rsid w:val="00BF734A"/>
    <w:rsid w:val="00BF766B"/>
    <w:rsid w:val="00BF7D40"/>
    <w:rsid w:val="00C02C65"/>
    <w:rsid w:val="00C04296"/>
    <w:rsid w:val="00C04576"/>
    <w:rsid w:val="00C052E8"/>
    <w:rsid w:val="00C05F79"/>
    <w:rsid w:val="00C06508"/>
    <w:rsid w:val="00C065A7"/>
    <w:rsid w:val="00C06895"/>
    <w:rsid w:val="00C06B14"/>
    <w:rsid w:val="00C06E2B"/>
    <w:rsid w:val="00C07F36"/>
    <w:rsid w:val="00C10772"/>
    <w:rsid w:val="00C10996"/>
    <w:rsid w:val="00C117A0"/>
    <w:rsid w:val="00C12F6C"/>
    <w:rsid w:val="00C1375D"/>
    <w:rsid w:val="00C14E22"/>
    <w:rsid w:val="00C15718"/>
    <w:rsid w:val="00C166D7"/>
    <w:rsid w:val="00C16E37"/>
    <w:rsid w:val="00C17139"/>
    <w:rsid w:val="00C1763E"/>
    <w:rsid w:val="00C17957"/>
    <w:rsid w:val="00C20CA4"/>
    <w:rsid w:val="00C21C1F"/>
    <w:rsid w:val="00C2260B"/>
    <w:rsid w:val="00C231D9"/>
    <w:rsid w:val="00C240CB"/>
    <w:rsid w:val="00C25179"/>
    <w:rsid w:val="00C26061"/>
    <w:rsid w:val="00C2725D"/>
    <w:rsid w:val="00C27A1F"/>
    <w:rsid w:val="00C30431"/>
    <w:rsid w:val="00C3081F"/>
    <w:rsid w:val="00C310FF"/>
    <w:rsid w:val="00C31C5A"/>
    <w:rsid w:val="00C3265E"/>
    <w:rsid w:val="00C32729"/>
    <w:rsid w:val="00C32EDB"/>
    <w:rsid w:val="00C33868"/>
    <w:rsid w:val="00C338EF"/>
    <w:rsid w:val="00C3423B"/>
    <w:rsid w:val="00C3504B"/>
    <w:rsid w:val="00C35061"/>
    <w:rsid w:val="00C3698D"/>
    <w:rsid w:val="00C36E35"/>
    <w:rsid w:val="00C37401"/>
    <w:rsid w:val="00C37E14"/>
    <w:rsid w:val="00C40555"/>
    <w:rsid w:val="00C42869"/>
    <w:rsid w:val="00C432DE"/>
    <w:rsid w:val="00C4427C"/>
    <w:rsid w:val="00C442A5"/>
    <w:rsid w:val="00C445DA"/>
    <w:rsid w:val="00C4540E"/>
    <w:rsid w:val="00C4557F"/>
    <w:rsid w:val="00C4567A"/>
    <w:rsid w:val="00C4684D"/>
    <w:rsid w:val="00C46F87"/>
    <w:rsid w:val="00C477FB"/>
    <w:rsid w:val="00C51FEE"/>
    <w:rsid w:val="00C521C2"/>
    <w:rsid w:val="00C5222E"/>
    <w:rsid w:val="00C53B72"/>
    <w:rsid w:val="00C54124"/>
    <w:rsid w:val="00C545A9"/>
    <w:rsid w:val="00C5491E"/>
    <w:rsid w:val="00C56F64"/>
    <w:rsid w:val="00C604AE"/>
    <w:rsid w:val="00C612F4"/>
    <w:rsid w:val="00C61AD6"/>
    <w:rsid w:val="00C63778"/>
    <w:rsid w:val="00C63B6B"/>
    <w:rsid w:val="00C63CC5"/>
    <w:rsid w:val="00C63E15"/>
    <w:rsid w:val="00C64374"/>
    <w:rsid w:val="00C647F5"/>
    <w:rsid w:val="00C6538D"/>
    <w:rsid w:val="00C655BB"/>
    <w:rsid w:val="00C655EF"/>
    <w:rsid w:val="00C65D6C"/>
    <w:rsid w:val="00C66C6D"/>
    <w:rsid w:val="00C67319"/>
    <w:rsid w:val="00C676D5"/>
    <w:rsid w:val="00C67A42"/>
    <w:rsid w:val="00C71125"/>
    <w:rsid w:val="00C72976"/>
    <w:rsid w:val="00C738A7"/>
    <w:rsid w:val="00C73B36"/>
    <w:rsid w:val="00C74A91"/>
    <w:rsid w:val="00C75C55"/>
    <w:rsid w:val="00C75D4D"/>
    <w:rsid w:val="00C7623B"/>
    <w:rsid w:val="00C7643F"/>
    <w:rsid w:val="00C7658C"/>
    <w:rsid w:val="00C77716"/>
    <w:rsid w:val="00C7783C"/>
    <w:rsid w:val="00C80449"/>
    <w:rsid w:val="00C80457"/>
    <w:rsid w:val="00C8096B"/>
    <w:rsid w:val="00C80C18"/>
    <w:rsid w:val="00C80CE2"/>
    <w:rsid w:val="00C80F62"/>
    <w:rsid w:val="00C848D2"/>
    <w:rsid w:val="00C84976"/>
    <w:rsid w:val="00C86B3D"/>
    <w:rsid w:val="00C86B8F"/>
    <w:rsid w:val="00C86DF5"/>
    <w:rsid w:val="00C876DD"/>
    <w:rsid w:val="00C87D8F"/>
    <w:rsid w:val="00C902B1"/>
    <w:rsid w:val="00C90794"/>
    <w:rsid w:val="00C9092C"/>
    <w:rsid w:val="00C91519"/>
    <w:rsid w:val="00C9157E"/>
    <w:rsid w:val="00C917A1"/>
    <w:rsid w:val="00C91935"/>
    <w:rsid w:val="00C928E5"/>
    <w:rsid w:val="00C92EB0"/>
    <w:rsid w:val="00C9317F"/>
    <w:rsid w:val="00C9318C"/>
    <w:rsid w:val="00C932E8"/>
    <w:rsid w:val="00C9370F"/>
    <w:rsid w:val="00C940BA"/>
    <w:rsid w:val="00C9415F"/>
    <w:rsid w:val="00C946E0"/>
    <w:rsid w:val="00C97206"/>
    <w:rsid w:val="00C97674"/>
    <w:rsid w:val="00C97C50"/>
    <w:rsid w:val="00CA0221"/>
    <w:rsid w:val="00CA059E"/>
    <w:rsid w:val="00CA12F4"/>
    <w:rsid w:val="00CA1612"/>
    <w:rsid w:val="00CA3EA6"/>
    <w:rsid w:val="00CA4337"/>
    <w:rsid w:val="00CA5722"/>
    <w:rsid w:val="00CA5F99"/>
    <w:rsid w:val="00CA62F2"/>
    <w:rsid w:val="00CA65A3"/>
    <w:rsid w:val="00CA6A13"/>
    <w:rsid w:val="00CA6F37"/>
    <w:rsid w:val="00CB19E3"/>
    <w:rsid w:val="00CB2C2C"/>
    <w:rsid w:val="00CB32FE"/>
    <w:rsid w:val="00CB3391"/>
    <w:rsid w:val="00CB3731"/>
    <w:rsid w:val="00CB3D3C"/>
    <w:rsid w:val="00CB4426"/>
    <w:rsid w:val="00CB461F"/>
    <w:rsid w:val="00CB46F1"/>
    <w:rsid w:val="00CB76CC"/>
    <w:rsid w:val="00CB7CA7"/>
    <w:rsid w:val="00CC0C02"/>
    <w:rsid w:val="00CC1CC8"/>
    <w:rsid w:val="00CC1CF7"/>
    <w:rsid w:val="00CC20C1"/>
    <w:rsid w:val="00CC2451"/>
    <w:rsid w:val="00CC24D9"/>
    <w:rsid w:val="00CC27D6"/>
    <w:rsid w:val="00CC2FAE"/>
    <w:rsid w:val="00CC4248"/>
    <w:rsid w:val="00CC4B1F"/>
    <w:rsid w:val="00CC5235"/>
    <w:rsid w:val="00CC5312"/>
    <w:rsid w:val="00CC5709"/>
    <w:rsid w:val="00CC5781"/>
    <w:rsid w:val="00CC5EB5"/>
    <w:rsid w:val="00CC6C26"/>
    <w:rsid w:val="00CC6CB1"/>
    <w:rsid w:val="00CC79E9"/>
    <w:rsid w:val="00CD0B50"/>
    <w:rsid w:val="00CD0CD9"/>
    <w:rsid w:val="00CD0D26"/>
    <w:rsid w:val="00CD10C3"/>
    <w:rsid w:val="00CD1569"/>
    <w:rsid w:val="00CD1D20"/>
    <w:rsid w:val="00CD23A0"/>
    <w:rsid w:val="00CD250E"/>
    <w:rsid w:val="00CD25F1"/>
    <w:rsid w:val="00CD29D5"/>
    <w:rsid w:val="00CD4145"/>
    <w:rsid w:val="00CD48EB"/>
    <w:rsid w:val="00CD4DDA"/>
    <w:rsid w:val="00CD56A7"/>
    <w:rsid w:val="00CD6064"/>
    <w:rsid w:val="00CD6A9F"/>
    <w:rsid w:val="00CD6C72"/>
    <w:rsid w:val="00CD73E0"/>
    <w:rsid w:val="00CD771E"/>
    <w:rsid w:val="00CE0CCC"/>
    <w:rsid w:val="00CE0D98"/>
    <w:rsid w:val="00CE0F09"/>
    <w:rsid w:val="00CE2D14"/>
    <w:rsid w:val="00CE3D77"/>
    <w:rsid w:val="00CE3EE2"/>
    <w:rsid w:val="00CE51F4"/>
    <w:rsid w:val="00CE682E"/>
    <w:rsid w:val="00CF07B7"/>
    <w:rsid w:val="00CF0D12"/>
    <w:rsid w:val="00CF2114"/>
    <w:rsid w:val="00CF2DD6"/>
    <w:rsid w:val="00CF3571"/>
    <w:rsid w:val="00CF49D4"/>
    <w:rsid w:val="00CF4A3A"/>
    <w:rsid w:val="00CF5CB7"/>
    <w:rsid w:val="00CF5CD8"/>
    <w:rsid w:val="00CF6095"/>
    <w:rsid w:val="00CF6130"/>
    <w:rsid w:val="00CF62F3"/>
    <w:rsid w:val="00CF6D93"/>
    <w:rsid w:val="00CF6FBB"/>
    <w:rsid w:val="00CF719A"/>
    <w:rsid w:val="00CF7A7A"/>
    <w:rsid w:val="00D007EA"/>
    <w:rsid w:val="00D019AF"/>
    <w:rsid w:val="00D01F22"/>
    <w:rsid w:val="00D02BBB"/>
    <w:rsid w:val="00D02DE2"/>
    <w:rsid w:val="00D0361C"/>
    <w:rsid w:val="00D03F39"/>
    <w:rsid w:val="00D054C1"/>
    <w:rsid w:val="00D0632C"/>
    <w:rsid w:val="00D073CA"/>
    <w:rsid w:val="00D07D95"/>
    <w:rsid w:val="00D07FAD"/>
    <w:rsid w:val="00D07FD3"/>
    <w:rsid w:val="00D101BF"/>
    <w:rsid w:val="00D106A3"/>
    <w:rsid w:val="00D10D7E"/>
    <w:rsid w:val="00D10DCA"/>
    <w:rsid w:val="00D117EF"/>
    <w:rsid w:val="00D12CB2"/>
    <w:rsid w:val="00D13259"/>
    <w:rsid w:val="00D13342"/>
    <w:rsid w:val="00D13395"/>
    <w:rsid w:val="00D137E9"/>
    <w:rsid w:val="00D1439D"/>
    <w:rsid w:val="00D14519"/>
    <w:rsid w:val="00D14534"/>
    <w:rsid w:val="00D14CE5"/>
    <w:rsid w:val="00D14EDB"/>
    <w:rsid w:val="00D14F42"/>
    <w:rsid w:val="00D16690"/>
    <w:rsid w:val="00D16B2E"/>
    <w:rsid w:val="00D16BEC"/>
    <w:rsid w:val="00D16E5B"/>
    <w:rsid w:val="00D16E82"/>
    <w:rsid w:val="00D17503"/>
    <w:rsid w:val="00D17DAC"/>
    <w:rsid w:val="00D20555"/>
    <w:rsid w:val="00D209F7"/>
    <w:rsid w:val="00D20A46"/>
    <w:rsid w:val="00D20A9E"/>
    <w:rsid w:val="00D2178E"/>
    <w:rsid w:val="00D229FC"/>
    <w:rsid w:val="00D27567"/>
    <w:rsid w:val="00D27DF2"/>
    <w:rsid w:val="00D31781"/>
    <w:rsid w:val="00D325EF"/>
    <w:rsid w:val="00D3286E"/>
    <w:rsid w:val="00D32A3C"/>
    <w:rsid w:val="00D33431"/>
    <w:rsid w:val="00D33F50"/>
    <w:rsid w:val="00D34721"/>
    <w:rsid w:val="00D34DE3"/>
    <w:rsid w:val="00D35920"/>
    <w:rsid w:val="00D35A56"/>
    <w:rsid w:val="00D36717"/>
    <w:rsid w:val="00D367F1"/>
    <w:rsid w:val="00D368A2"/>
    <w:rsid w:val="00D36AA3"/>
    <w:rsid w:val="00D37200"/>
    <w:rsid w:val="00D3728D"/>
    <w:rsid w:val="00D379C2"/>
    <w:rsid w:val="00D37E89"/>
    <w:rsid w:val="00D4064A"/>
    <w:rsid w:val="00D407D0"/>
    <w:rsid w:val="00D4136F"/>
    <w:rsid w:val="00D427BB"/>
    <w:rsid w:val="00D43A3A"/>
    <w:rsid w:val="00D44552"/>
    <w:rsid w:val="00D44D97"/>
    <w:rsid w:val="00D44F2E"/>
    <w:rsid w:val="00D453E1"/>
    <w:rsid w:val="00D4590A"/>
    <w:rsid w:val="00D45E20"/>
    <w:rsid w:val="00D4671D"/>
    <w:rsid w:val="00D46754"/>
    <w:rsid w:val="00D51354"/>
    <w:rsid w:val="00D51F4D"/>
    <w:rsid w:val="00D5385E"/>
    <w:rsid w:val="00D53B84"/>
    <w:rsid w:val="00D541B8"/>
    <w:rsid w:val="00D5462E"/>
    <w:rsid w:val="00D54C61"/>
    <w:rsid w:val="00D550F3"/>
    <w:rsid w:val="00D5513A"/>
    <w:rsid w:val="00D5563A"/>
    <w:rsid w:val="00D559D0"/>
    <w:rsid w:val="00D56BE3"/>
    <w:rsid w:val="00D60DB0"/>
    <w:rsid w:val="00D623FB"/>
    <w:rsid w:val="00D62557"/>
    <w:rsid w:val="00D63329"/>
    <w:rsid w:val="00D64007"/>
    <w:rsid w:val="00D64464"/>
    <w:rsid w:val="00D65BA4"/>
    <w:rsid w:val="00D660DD"/>
    <w:rsid w:val="00D666BB"/>
    <w:rsid w:val="00D66C4D"/>
    <w:rsid w:val="00D67636"/>
    <w:rsid w:val="00D67BEB"/>
    <w:rsid w:val="00D704C6"/>
    <w:rsid w:val="00D70CC3"/>
    <w:rsid w:val="00D7186D"/>
    <w:rsid w:val="00D71921"/>
    <w:rsid w:val="00D72634"/>
    <w:rsid w:val="00D72C00"/>
    <w:rsid w:val="00D7370B"/>
    <w:rsid w:val="00D746EC"/>
    <w:rsid w:val="00D748AB"/>
    <w:rsid w:val="00D749BB"/>
    <w:rsid w:val="00D75E3C"/>
    <w:rsid w:val="00D76AAB"/>
    <w:rsid w:val="00D77411"/>
    <w:rsid w:val="00D80199"/>
    <w:rsid w:val="00D80A1A"/>
    <w:rsid w:val="00D80D8D"/>
    <w:rsid w:val="00D832F4"/>
    <w:rsid w:val="00D852B2"/>
    <w:rsid w:val="00D854C4"/>
    <w:rsid w:val="00D85D65"/>
    <w:rsid w:val="00D85EA7"/>
    <w:rsid w:val="00D86018"/>
    <w:rsid w:val="00D86339"/>
    <w:rsid w:val="00D86516"/>
    <w:rsid w:val="00D86857"/>
    <w:rsid w:val="00D8688A"/>
    <w:rsid w:val="00D8692E"/>
    <w:rsid w:val="00D86EE4"/>
    <w:rsid w:val="00D87813"/>
    <w:rsid w:val="00D87B25"/>
    <w:rsid w:val="00D87EA7"/>
    <w:rsid w:val="00D90250"/>
    <w:rsid w:val="00D90309"/>
    <w:rsid w:val="00D904A6"/>
    <w:rsid w:val="00D90AC6"/>
    <w:rsid w:val="00D91277"/>
    <w:rsid w:val="00D91FD4"/>
    <w:rsid w:val="00D92145"/>
    <w:rsid w:val="00D9227E"/>
    <w:rsid w:val="00D93174"/>
    <w:rsid w:val="00D93FF6"/>
    <w:rsid w:val="00D9407B"/>
    <w:rsid w:val="00D95411"/>
    <w:rsid w:val="00D96135"/>
    <w:rsid w:val="00D96A2D"/>
    <w:rsid w:val="00D96A91"/>
    <w:rsid w:val="00D97091"/>
    <w:rsid w:val="00D97119"/>
    <w:rsid w:val="00D97754"/>
    <w:rsid w:val="00D97A01"/>
    <w:rsid w:val="00DA0D76"/>
    <w:rsid w:val="00DA1311"/>
    <w:rsid w:val="00DA1D91"/>
    <w:rsid w:val="00DA3976"/>
    <w:rsid w:val="00DA404E"/>
    <w:rsid w:val="00DA4263"/>
    <w:rsid w:val="00DA487A"/>
    <w:rsid w:val="00DA57FF"/>
    <w:rsid w:val="00DA602D"/>
    <w:rsid w:val="00DA709D"/>
    <w:rsid w:val="00DA75A3"/>
    <w:rsid w:val="00DA75AF"/>
    <w:rsid w:val="00DA765A"/>
    <w:rsid w:val="00DB052E"/>
    <w:rsid w:val="00DB16E9"/>
    <w:rsid w:val="00DB20D1"/>
    <w:rsid w:val="00DB25FF"/>
    <w:rsid w:val="00DB2903"/>
    <w:rsid w:val="00DB40AD"/>
    <w:rsid w:val="00DB46DD"/>
    <w:rsid w:val="00DB4F0A"/>
    <w:rsid w:val="00DB5022"/>
    <w:rsid w:val="00DB5283"/>
    <w:rsid w:val="00DB5AAD"/>
    <w:rsid w:val="00DB5B38"/>
    <w:rsid w:val="00DB5EC3"/>
    <w:rsid w:val="00DB60D9"/>
    <w:rsid w:val="00DB7D3F"/>
    <w:rsid w:val="00DC04C6"/>
    <w:rsid w:val="00DC0AEC"/>
    <w:rsid w:val="00DC0DFC"/>
    <w:rsid w:val="00DC1C0C"/>
    <w:rsid w:val="00DC36B2"/>
    <w:rsid w:val="00DC3756"/>
    <w:rsid w:val="00DC4697"/>
    <w:rsid w:val="00DC5A6C"/>
    <w:rsid w:val="00DC607B"/>
    <w:rsid w:val="00DC74AE"/>
    <w:rsid w:val="00DC789B"/>
    <w:rsid w:val="00DD03EB"/>
    <w:rsid w:val="00DD132D"/>
    <w:rsid w:val="00DD1693"/>
    <w:rsid w:val="00DD25A8"/>
    <w:rsid w:val="00DD39D8"/>
    <w:rsid w:val="00DD4995"/>
    <w:rsid w:val="00DD4DD0"/>
    <w:rsid w:val="00DD5119"/>
    <w:rsid w:val="00DD5B8D"/>
    <w:rsid w:val="00DD65F1"/>
    <w:rsid w:val="00DD6A53"/>
    <w:rsid w:val="00DD74DE"/>
    <w:rsid w:val="00DD7F24"/>
    <w:rsid w:val="00DE032B"/>
    <w:rsid w:val="00DE05B7"/>
    <w:rsid w:val="00DE0A5B"/>
    <w:rsid w:val="00DE0FCC"/>
    <w:rsid w:val="00DE17BE"/>
    <w:rsid w:val="00DE30BE"/>
    <w:rsid w:val="00DE33D7"/>
    <w:rsid w:val="00DE4435"/>
    <w:rsid w:val="00DE5719"/>
    <w:rsid w:val="00DE5817"/>
    <w:rsid w:val="00DE5904"/>
    <w:rsid w:val="00DE5A31"/>
    <w:rsid w:val="00DE6E6E"/>
    <w:rsid w:val="00DE7AA2"/>
    <w:rsid w:val="00DE7E62"/>
    <w:rsid w:val="00DE7F12"/>
    <w:rsid w:val="00DF00CC"/>
    <w:rsid w:val="00DF074E"/>
    <w:rsid w:val="00DF1A1B"/>
    <w:rsid w:val="00DF1ABB"/>
    <w:rsid w:val="00DF22EB"/>
    <w:rsid w:val="00DF29B3"/>
    <w:rsid w:val="00DF2BBF"/>
    <w:rsid w:val="00DF33C8"/>
    <w:rsid w:val="00DF35C1"/>
    <w:rsid w:val="00DF38F1"/>
    <w:rsid w:val="00DF3DBF"/>
    <w:rsid w:val="00DF4074"/>
    <w:rsid w:val="00DF4127"/>
    <w:rsid w:val="00DF441B"/>
    <w:rsid w:val="00DF4651"/>
    <w:rsid w:val="00DF52E4"/>
    <w:rsid w:val="00DF5DE0"/>
    <w:rsid w:val="00DF75FA"/>
    <w:rsid w:val="00DF78B7"/>
    <w:rsid w:val="00E00888"/>
    <w:rsid w:val="00E00A64"/>
    <w:rsid w:val="00E027E6"/>
    <w:rsid w:val="00E032C5"/>
    <w:rsid w:val="00E032FD"/>
    <w:rsid w:val="00E03438"/>
    <w:rsid w:val="00E03482"/>
    <w:rsid w:val="00E044E5"/>
    <w:rsid w:val="00E04A32"/>
    <w:rsid w:val="00E04F87"/>
    <w:rsid w:val="00E0509D"/>
    <w:rsid w:val="00E0536C"/>
    <w:rsid w:val="00E057E0"/>
    <w:rsid w:val="00E05C9B"/>
    <w:rsid w:val="00E06670"/>
    <w:rsid w:val="00E06FF3"/>
    <w:rsid w:val="00E07119"/>
    <w:rsid w:val="00E07834"/>
    <w:rsid w:val="00E10F3E"/>
    <w:rsid w:val="00E12728"/>
    <w:rsid w:val="00E12855"/>
    <w:rsid w:val="00E15745"/>
    <w:rsid w:val="00E16079"/>
    <w:rsid w:val="00E16AA6"/>
    <w:rsid w:val="00E17F9F"/>
    <w:rsid w:val="00E21496"/>
    <w:rsid w:val="00E219E0"/>
    <w:rsid w:val="00E222F7"/>
    <w:rsid w:val="00E22E29"/>
    <w:rsid w:val="00E230F5"/>
    <w:rsid w:val="00E23FFA"/>
    <w:rsid w:val="00E26813"/>
    <w:rsid w:val="00E269BE"/>
    <w:rsid w:val="00E27823"/>
    <w:rsid w:val="00E27D6F"/>
    <w:rsid w:val="00E303D9"/>
    <w:rsid w:val="00E327C9"/>
    <w:rsid w:val="00E3356C"/>
    <w:rsid w:val="00E33DD1"/>
    <w:rsid w:val="00E357FF"/>
    <w:rsid w:val="00E35977"/>
    <w:rsid w:val="00E35A49"/>
    <w:rsid w:val="00E36B08"/>
    <w:rsid w:val="00E36D2A"/>
    <w:rsid w:val="00E3754F"/>
    <w:rsid w:val="00E37B30"/>
    <w:rsid w:val="00E37B60"/>
    <w:rsid w:val="00E37F7B"/>
    <w:rsid w:val="00E409B6"/>
    <w:rsid w:val="00E41016"/>
    <w:rsid w:val="00E43015"/>
    <w:rsid w:val="00E43470"/>
    <w:rsid w:val="00E43D10"/>
    <w:rsid w:val="00E44107"/>
    <w:rsid w:val="00E452F7"/>
    <w:rsid w:val="00E45ECE"/>
    <w:rsid w:val="00E464EB"/>
    <w:rsid w:val="00E46BD0"/>
    <w:rsid w:val="00E47011"/>
    <w:rsid w:val="00E4705D"/>
    <w:rsid w:val="00E5068D"/>
    <w:rsid w:val="00E5071D"/>
    <w:rsid w:val="00E50D0E"/>
    <w:rsid w:val="00E52035"/>
    <w:rsid w:val="00E522B5"/>
    <w:rsid w:val="00E52E70"/>
    <w:rsid w:val="00E5308C"/>
    <w:rsid w:val="00E532D7"/>
    <w:rsid w:val="00E535F3"/>
    <w:rsid w:val="00E53C9E"/>
    <w:rsid w:val="00E54138"/>
    <w:rsid w:val="00E5420B"/>
    <w:rsid w:val="00E54497"/>
    <w:rsid w:val="00E559EA"/>
    <w:rsid w:val="00E569DD"/>
    <w:rsid w:val="00E6080D"/>
    <w:rsid w:val="00E60920"/>
    <w:rsid w:val="00E60CB1"/>
    <w:rsid w:val="00E611E6"/>
    <w:rsid w:val="00E61647"/>
    <w:rsid w:val="00E62768"/>
    <w:rsid w:val="00E6281A"/>
    <w:rsid w:val="00E62999"/>
    <w:rsid w:val="00E6348E"/>
    <w:rsid w:val="00E635E8"/>
    <w:rsid w:val="00E637FA"/>
    <w:rsid w:val="00E655B8"/>
    <w:rsid w:val="00E660A2"/>
    <w:rsid w:val="00E66CCA"/>
    <w:rsid w:val="00E67053"/>
    <w:rsid w:val="00E677A4"/>
    <w:rsid w:val="00E67C62"/>
    <w:rsid w:val="00E7261A"/>
    <w:rsid w:val="00E72680"/>
    <w:rsid w:val="00E730E6"/>
    <w:rsid w:val="00E7344D"/>
    <w:rsid w:val="00E73641"/>
    <w:rsid w:val="00E73D13"/>
    <w:rsid w:val="00E73ED5"/>
    <w:rsid w:val="00E7461A"/>
    <w:rsid w:val="00E7623F"/>
    <w:rsid w:val="00E77A95"/>
    <w:rsid w:val="00E80357"/>
    <w:rsid w:val="00E80768"/>
    <w:rsid w:val="00E8225E"/>
    <w:rsid w:val="00E82364"/>
    <w:rsid w:val="00E827D6"/>
    <w:rsid w:val="00E836CA"/>
    <w:rsid w:val="00E83A5E"/>
    <w:rsid w:val="00E84392"/>
    <w:rsid w:val="00E84481"/>
    <w:rsid w:val="00E84C75"/>
    <w:rsid w:val="00E84E65"/>
    <w:rsid w:val="00E8534C"/>
    <w:rsid w:val="00E854B2"/>
    <w:rsid w:val="00E85EFA"/>
    <w:rsid w:val="00E86535"/>
    <w:rsid w:val="00E87176"/>
    <w:rsid w:val="00E87998"/>
    <w:rsid w:val="00E90AEF"/>
    <w:rsid w:val="00E90E8E"/>
    <w:rsid w:val="00E91077"/>
    <w:rsid w:val="00E91194"/>
    <w:rsid w:val="00E91394"/>
    <w:rsid w:val="00E914ED"/>
    <w:rsid w:val="00E92A32"/>
    <w:rsid w:val="00E9319C"/>
    <w:rsid w:val="00E93219"/>
    <w:rsid w:val="00E93357"/>
    <w:rsid w:val="00E94672"/>
    <w:rsid w:val="00E9469D"/>
    <w:rsid w:val="00E96307"/>
    <w:rsid w:val="00E96D2B"/>
    <w:rsid w:val="00E970D2"/>
    <w:rsid w:val="00E97396"/>
    <w:rsid w:val="00E97E1C"/>
    <w:rsid w:val="00E97FFA"/>
    <w:rsid w:val="00EA0125"/>
    <w:rsid w:val="00EA1A2B"/>
    <w:rsid w:val="00EA1C23"/>
    <w:rsid w:val="00EA1ED7"/>
    <w:rsid w:val="00EA2FE4"/>
    <w:rsid w:val="00EA3944"/>
    <w:rsid w:val="00EA4BE8"/>
    <w:rsid w:val="00EA5577"/>
    <w:rsid w:val="00EA723A"/>
    <w:rsid w:val="00EA7B42"/>
    <w:rsid w:val="00EB00C3"/>
    <w:rsid w:val="00EB0773"/>
    <w:rsid w:val="00EB2DAB"/>
    <w:rsid w:val="00EB4FAB"/>
    <w:rsid w:val="00EB5AD3"/>
    <w:rsid w:val="00EB5E64"/>
    <w:rsid w:val="00EB5F71"/>
    <w:rsid w:val="00EC001A"/>
    <w:rsid w:val="00EC035E"/>
    <w:rsid w:val="00EC0D32"/>
    <w:rsid w:val="00EC1193"/>
    <w:rsid w:val="00EC18FF"/>
    <w:rsid w:val="00EC2266"/>
    <w:rsid w:val="00EC4A55"/>
    <w:rsid w:val="00EC4E2F"/>
    <w:rsid w:val="00EC5855"/>
    <w:rsid w:val="00EC68A9"/>
    <w:rsid w:val="00EC7060"/>
    <w:rsid w:val="00EC708B"/>
    <w:rsid w:val="00EC70B3"/>
    <w:rsid w:val="00EC79E8"/>
    <w:rsid w:val="00EC7BBB"/>
    <w:rsid w:val="00ED01AD"/>
    <w:rsid w:val="00ED05BD"/>
    <w:rsid w:val="00ED092C"/>
    <w:rsid w:val="00ED0EE3"/>
    <w:rsid w:val="00ED1109"/>
    <w:rsid w:val="00ED2DD2"/>
    <w:rsid w:val="00ED3DA0"/>
    <w:rsid w:val="00ED4D4C"/>
    <w:rsid w:val="00ED5794"/>
    <w:rsid w:val="00ED5928"/>
    <w:rsid w:val="00ED6761"/>
    <w:rsid w:val="00ED684F"/>
    <w:rsid w:val="00ED6DE8"/>
    <w:rsid w:val="00ED6EA7"/>
    <w:rsid w:val="00ED77C3"/>
    <w:rsid w:val="00ED784E"/>
    <w:rsid w:val="00ED78F8"/>
    <w:rsid w:val="00EE00DF"/>
    <w:rsid w:val="00EE12E1"/>
    <w:rsid w:val="00EE1D03"/>
    <w:rsid w:val="00EE2307"/>
    <w:rsid w:val="00EE2F20"/>
    <w:rsid w:val="00EE3AC2"/>
    <w:rsid w:val="00EE3B09"/>
    <w:rsid w:val="00EE3B6E"/>
    <w:rsid w:val="00EE403D"/>
    <w:rsid w:val="00EE4D71"/>
    <w:rsid w:val="00EE55F1"/>
    <w:rsid w:val="00EE5D52"/>
    <w:rsid w:val="00EE65A3"/>
    <w:rsid w:val="00EE6957"/>
    <w:rsid w:val="00EE74CE"/>
    <w:rsid w:val="00EE7CA7"/>
    <w:rsid w:val="00EF0432"/>
    <w:rsid w:val="00EF05AF"/>
    <w:rsid w:val="00EF27F3"/>
    <w:rsid w:val="00EF29FA"/>
    <w:rsid w:val="00EF3904"/>
    <w:rsid w:val="00EF3D6B"/>
    <w:rsid w:val="00EF40FE"/>
    <w:rsid w:val="00EF5A5E"/>
    <w:rsid w:val="00EF5A75"/>
    <w:rsid w:val="00EF5C9E"/>
    <w:rsid w:val="00EF6EFB"/>
    <w:rsid w:val="00EF7134"/>
    <w:rsid w:val="00F00B51"/>
    <w:rsid w:val="00F00F34"/>
    <w:rsid w:val="00F01AFB"/>
    <w:rsid w:val="00F02420"/>
    <w:rsid w:val="00F02780"/>
    <w:rsid w:val="00F0366C"/>
    <w:rsid w:val="00F039FD"/>
    <w:rsid w:val="00F03BA4"/>
    <w:rsid w:val="00F042AE"/>
    <w:rsid w:val="00F0687D"/>
    <w:rsid w:val="00F0712D"/>
    <w:rsid w:val="00F0716C"/>
    <w:rsid w:val="00F0770E"/>
    <w:rsid w:val="00F07CA5"/>
    <w:rsid w:val="00F104A6"/>
    <w:rsid w:val="00F10CBB"/>
    <w:rsid w:val="00F11541"/>
    <w:rsid w:val="00F11623"/>
    <w:rsid w:val="00F125AE"/>
    <w:rsid w:val="00F12836"/>
    <w:rsid w:val="00F1398D"/>
    <w:rsid w:val="00F143E6"/>
    <w:rsid w:val="00F1471C"/>
    <w:rsid w:val="00F14A76"/>
    <w:rsid w:val="00F15148"/>
    <w:rsid w:val="00F15B1B"/>
    <w:rsid w:val="00F1618F"/>
    <w:rsid w:val="00F17273"/>
    <w:rsid w:val="00F1745F"/>
    <w:rsid w:val="00F201F6"/>
    <w:rsid w:val="00F21A44"/>
    <w:rsid w:val="00F22334"/>
    <w:rsid w:val="00F225B2"/>
    <w:rsid w:val="00F22AA1"/>
    <w:rsid w:val="00F2352F"/>
    <w:rsid w:val="00F245B6"/>
    <w:rsid w:val="00F24AB5"/>
    <w:rsid w:val="00F24D71"/>
    <w:rsid w:val="00F2514A"/>
    <w:rsid w:val="00F26B05"/>
    <w:rsid w:val="00F26FC9"/>
    <w:rsid w:val="00F273F7"/>
    <w:rsid w:val="00F27F32"/>
    <w:rsid w:val="00F3004E"/>
    <w:rsid w:val="00F30757"/>
    <w:rsid w:val="00F30B34"/>
    <w:rsid w:val="00F3136F"/>
    <w:rsid w:val="00F3159F"/>
    <w:rsid w:val="00F31E1A"/>
    <w:rsid w:val="00F32BC7"/>
    <w:rsid w:val="00F338AF"/>
    <w:rsid w:val="00F33B26"/>
    <w:rsid w:val="00F3403A"/>
    <w:rsid w:val="00F3495D"/>
    <w:rsid w:val="00F35B12"/>
    <w:rsid w:val="00F36806"/>
    <w:rsid w:val="00F36A10"/>
    <w:rsid w:val="00F373ED"/>
    <w:rsid w:val="00F4003B"/>
    <w:rsid w:val="00F40716"/>
    <w:rsid w:val="00F4210E"/>
    <w:rsid w:val="00F422B6"/>
    <w:rsid w:val="00F42362"/>
    <w:rsid w:val="00F433E8"/>
    <w:rsid w:val="00F445F6"/>
    <w:rsid w:val="00F4579A"/>
    <w:rsid w:val="00F45C85"/>
    <w:rsid w:val="00F45E52"/>
    <w:rsid w:val="00F46F51"/>
    <w:rsid w:val="00F47022"/>
    <w:rsid w:val="00F47B1C"/>
    <w:rsid w:val="00F5021B"/>
    <w:rsid w:val="00F51D37"/>
    <w:rsid w:val="00F52E25"/>
    <w:rsid w:val="00F53319"/>
    <w:rsid w:val="00F53FCA"/>
    <w:rsid w:val="00F54379"/>
    <w:rsid w:val="00F5451A"/>
    <w:rsid w:val="00F54C34"/>
    <w:rsid w:val="00F5620A"/>
    <w:rsid w:val="00F568B0"/>
    <w:rsid w:val="00F56BC7"/>
    <w:rsid w:val="00F57609"/>
    <w:rsid w:val="00F57C3D"/>
    <w:rsid w:val="00F6089B"/>
    <w:rsid w:val="00F61EE7"/>
    <w:rsid w:val="00F61FDA"/>
    <w:rsid w:val="00F62539"/>
    <w:rsid w:val="00F63A2F"/>
    <w:rsid w:val="00F64437"/>
    <w:rsid w:val="00F64536"/>
    <w:rsid w:val="00F65424"/>
    <w:rsid w:val="00F65C4F"/>
    <w:rsid w:val="00F666A4"/>
    <w:rsid w:val="00F66D04"/>
    <w:rsid w:val="00F66D91"/>
    <w:rsid w:val="00F67B06"/>
    <w:rsid w:val="00F70885"/>
    <w:rsid w:val="00F70EAD"/>
    <w:rsid w:val="00F714BB"/>
    <w:rsid w:val="00F71E66"/>
    <w:rsid w:val="00F722E4"/>
    <w:rsid w:val="00F7282B"/>
    <w:rsid w:val="00F7310E"/>
    <w:rsid w:val="00F73285"/>
    <w:rsid w:val="00F737DF"/>
    <w:rsid w:val="00F7388B"/>
    <w:rsid w:val="00F739EA"/>
    <w:rsid w:val="00F73A27"/>
    <w:rsid w:val="00F7462D"/>
    <w:rsid w:val="00F746D1"/>
    <w:rsid w:val="00F749DF"/>
    <w:rsid w:val="00F74D40"/>
    <w:rsid w:val="00F74E29"/>
    <w:rsid w:val="00F75CDB"/>
    <w:rsid w:val="00F76455"/>
    <w:rsid w:val="00F76602"/>
    <w:rsid w:val="00F8026F"/>
    <w:rsid w:val="00F818EC"/>
    <w:rsid w:val="00F8309B"/>
    <w:rsid w:val="00F831D1"/>
    <w:rsid w:val="00F861DF"/>
    <w:rsid w:val="00F863D7"/>
    <w:rsid w:val="00F87186"/>
    <w:rsid w:val="00F87715"/>
    <w:rsid w:val="00F9053C"/>
    <w:rsid w:val="00F913FC"/>
    <w:rsid w:val="00F9170B"/>
    <w:rsid w:val="00F92369"/>
    <w:rsid w:val="00F93350"/>
    <w:rsid w:val="00F936EC"/>
    <w:rsid w:val="00F95110"/>
    <w:rsid w:val="00F95F4C"/>
    <w:rsid w:val="00F96BD2"/>
    <w:rsid w:val="00F970BF"/>
    <w:rsid w:val="00F97761"/>
    <w:rsid w:val="00F979B4"/>
    <w:rsid w:val="00FA065B"/>
    <w:rsid w:val="00FA103E"/>
    <w:rsid w:val="00FA18A2"/>
    <w:rsid w:val="00FA2B07"/>
    <w:rsid w:val="00FA3A0F"/>
    <w:rsid w:val="00FA3BBF"/>
    <w:rsid w:val="00FA3CD1"/>
    <w:rsid w:val="00FA4531"/>
    <w:rsid w:val="00FA52D8"/>
    <w:rsid w:val="00FA6458"/>
    <w:rsid w:val="00FA6D43"/>
    <w:rsid w:val="00FA710A"/>
    <w:rsid w:val="00FA7240"/>
    <w:rsid w:val="00FA7313"/>
    <w:rsid w:val="00FA7C4B"/>
    <w:rsid w:val="00FA7EC3"/>
    <w:rsid w:val="00FB18B5"/>
    <w:rsid w:val="00FB1CEE"/>
    <w:rsid w:val="00FB1D9E"/>
    <w:rsid w:val="00FB2834"/>
    <w:rsid w:val="00FB320B"/>
    <w:rsid w:val="00FB3294"/>
    <w:rsid w:val="00FB3858"/>
    <w:rsid w:val="00FB3FF6"/>
    <w:rsid w:val="00FB4150"/>
    <w:rsid w:val="00FB4299"/>
    <w:rsid w:val="00FB4D38"/>
    <w:rsid w:val="00FB60AF"/>
    <w:rsid w:val="00FB68C8"/>
    <w:rsid w:val="00FB6BAB"/>
    <w:rsid w:val="00FB6E8D"/>
    <w:rsid w:val="00FB7621"/>
    <w:rsid w:val="00FB791B"/>
    <w:rsid w:val="00FC0843"/>
    <w:rsid w:val="00FC0A9F"/>
    <w:rsid w:val="00FC15AA"/>
    <w:rsid w:val="00FC1CD3"/>
    <w:rsid w:val="00FC25C8"/>
    <w:rsid w:val="00FC273F"/>
    <w:rsid w:val="00FC2792"/>
    <w:rsid w:val="00FC29B3"/>
    <w:rsid w:val="00FC2FF9"/>
    <w:rsid w:val="00FC34BB"/>
    <w:rsid w:val="00FC36D8"/>
    <w:rsid w:val="00FC3B95"/>
    <w:rsid w:val="00FC56B5"/>
    <w:rsid w:val="00FC59E1"/>
    <w:rsid w:val="00FC6EC1"/>
    <w:rsid w:val="00FC7FFB"/>
    <w:rsid w:val="00FD196C"/>
    <w:rsid w:val="00FD2796"/>
    <w:rsid w:val="00FD2C7F"/>
    <w:rsid w:val="00FD314C"/>
    <w:rsid w:val="00FD3194"/>
    <w:rsid w:val="00FD448B"/>
    <w:rsid w:val="00FD452B"/>
    <w:rsid w:val="00FD47E8"/>
    <w:rsid w:val="00FD4B00"/>
    <w:rsid w:val="00FD4B33"/>
    <w:rsid w:val="00FD5A8C"/>
    <w:rsid w:val="00FD63AB"/>
    <w:rsid w:val="00FD716E"/>
    <w:rsid w:val="00FD76C9"/>
    <w:rsid w:val="00FE05D2"/>
    <w:rsid w:val="00FE072C"/>
    <w:rsid w:val="00FE0BC3"/>
    <w:rsid w:val="00FE1A54"/>
    <w:rsid w:val="00FE1E2E"/>
    <w:rsid w:val="00FE2829"/>
    <w:rsid w:val="00FE2E41"/>
    <w:rsid w:val="00FE2FE1"/>
    <w:rsid w:val="00FE33D7"/>
    <w:rsid w:val="00FE5BBB"/>
    <w:rsid w:val="00FE5D0C"/>
    <w:rsid w:val="00FE5DCE"/>
    <w:rsid w:val="00FE5EA0"/>
    <w:rsid w:val="00FE5F7B"/>
    <w:rsid w:val="00FE60CE"/>
    <w:rsid w:val="00FE6D4C"/>
    <w:rsid w:val="00FE76B5"/>
    <w:rsid w:val="00FF0EE5"/>
    <w:rsid w:val="00FF12E1"/>
    <w:rsid w:val="00FF28D5"/>
    <w:rsid w:val="00FF29AA"/>
    <w:rsid w:val="00FF4287"/>
    <w:rsid w:val="00FF49F1"/>
    <w:rsid w:val="00FF4B67"/>
    <w:rsid w:val="00FF5AF0"/>
    <w:rsid w:val="00FF6379"/>
    <w:rsid w:val="00FF6BE7"/>
    <w:rsid w:val="00FF6C59"/>
    <w:rsid w:val="00FF6F96"/>
    <w:rsid w:val="00FF712F"/>
    <w:rsid w:val="00FF715A"/>
    <w:rsid w:val="00FF72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17C6FA"/>
  <w15:docId w15:val="{B9EBCE1B-D011-4FED-AE8B-8ACD4AB969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pPr>
        <w:spacing w:after="60"/>
        <w:ind w:left="1152" w:hanging="360"/>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8"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rsid w:val="00406DFD"/>
    <w:rPr>
      <w:rFonts w:ascii="Adobe Garamond Pro" w:hAnsi="Adobe Garamond Pro"/>
      <w:szCs w:val="22"/>
      <w:lang w:bidi="en-US"/>
    </w:rPr>
  </w:style>
  <w:style w:type="paragraph" w:styleId="Heading1">
    <w:name w:val="heading 1"/>
    <w:basedOn w:val="Normal"/>
    <w:next w:val="Normal"/>
    <w:link w:val="Heading1Char"/>
    <w:qFormat/>
    <w:rsid w:val="00C9318C"/>
    <w:pPr>
      <w:spacing w:before="480" w:after="0" w:line="360" w:lineRule="auto"/>
      <w:ind w:left="360"/>
      <w:contextualSpacing/>
      <w:outlineLvl w:val="0"/>
    </w:pPr>
    <w:rPr>
      <w:rFonts w:ascii="Franklin Gothic Medium" w:hAnsi="Franklin Gothic Medium"/>
      <w:bCs/>
      <w:color w:val="005F86"/>
      <w:sz w:val="32"/>
      <w:szCs w:val="28"/>
    </w:rPr>
  </w:style>
  <w:style w:type="paragraph" w:styleId="Heading2">
    <w:name w:val="heading 2"/>
    <w:basedOn w:val="Normal"/>
    <w:next w:val="Normal"/>
    <w:link w:val="Heading2Char"/>
    <w:qFormat/>
    <w:rsid w:val="009E71FC"/>
    <w:pPr>
      <w:spacing w:before="200" w:after="0" w:line="360" w:lineRule="auto"/>
      <w:ind w:left="0" w:firstLine="432"/>
      <w:outlineLvl w:val="1"/>
    </w:pPr>
    <w:rPr>
      <w:rFonts w:ascii="Franklin Gothic Demi Cond" w:hAnsi="Franklin Gothic Demi Cond"/>
      <w:bCs/>
      <w:color w:val="005F86"/>
      <w:sz w:val="24"/>
      <w:szCs w:val="26"/>
    </w:rPr>
  </w:style>
  <w:style w:type="paragraph" w:styleId="Heading3">
    <w:name w:val="heading 3"/>
    <w:basedOn w:val="Normal"/>
    <w:next w:val="Normal"/>
    <w:link w:val="Heading3Char"/>
    <w:uiPriority w:val="9"/>
    <w:qFormat/>
    <w:rsid w:val="00812134"/>
    <w:pPr>
      <w:spacing w:before="200" w:after="0" w:line="360" w:lineRule="auto"/>
      <w:ind w:left="0" w:firstLine="432"/>
      <w:outlineLvl w:val="2"/>
    </w:pPr>
    <w:rPr>
      <w:rFonts w:ascii="Franklin Gothic Demi Cond" w:hAnsi="Franklin Gothic Demi Cond"/>
      <w:bCs/>
      <w:sz w:val="22"/>
    </w:rPr>
  </w:style>
  <w:style w:type="paragraph" w:styleId="Heading4">
    <w:name w:val="heading 4"/>
    <w:basedOn w:val="Normal"/>
    <w:next w:val="Normal"/>
    <w:link w:val="Heading4Char"/>
    <w:uiPriority w:val="9"/>
    <w:qFormat/>
    <w:rsid w:val="00812134"/>
    <w:pPr>
      <w:spacing w:before="200" w:after="0" w:line="360" w:lineRule="auto"/>
      <w:ind w:left="0" w:firstLine="432"/>
      <w:outlineLvl w:val="3"/>
    </w:pPr>
    <w:rPr>
      <w:rFonts w:ascii="Franklin Gothic Medium Cond" w:hAnsi="Franklin Gothic Medium Cond"/>
      <w:bCs/>
      <w:i/>
      <w:iCs/>
      <w:sz w:val="22"/>
    </w:rPr>
  </w:style>
  <w:style w:type="paragraph" w:styleId="Heading5">
    <w:name w:val="heading 5"/>
    <w:basedOn w:val="Normal"/>
    <w:next w:val="Normal"/>
    <w:link w:val="Heading5Char"/>
    <w:uiPriority w:val="9"/>
    <w:qFormat/>
    <w:rsid w:val="000D3399"/>
    <w:pPr>
      <w:spacing w:before="200" w:after="0" w:line="360" w:lineRule="auto"/>
      <w:ind w:left="0" w:firstLine="432"/>
      <w:outlineLvl w:val="4"/>
    </w:pPr>
    <w:rPr>
      <w:rFonts w:ascii="Cambria" w:hAnsi="Cambria"/>
      <w:b/>
      <w:bCs/>
      <w:color w:val="7F7F7F"/>
    </w:rPr>
  </w:style>
  <w:style w:type="paragraph" w:styleId="Heading6">
    <w:name w:val="heading 6"/>
    <w:basedOn w:val="Normal"/>
    <w:next w:val="Normal"/>
    <w:link w:val="Heading6Char"/>
    <w:uiPriority w:val="9"/>
    <w:unhideWhenUsed/>
    <w:qFormat/>
    <w:rsid w:val="00885241"/>
    <w:pPr>
      <w:spacing w:after="0" w:line="360" w:lineRule="auto"/>
      <w:ind w:left="0" w:firstLine="432"/>
      <w:outlineLvl w:val="5"/>
    </w:pPr>
    <w:rPr>
      <w:rFonts w:ascii="Cambria" w:hAnsi="Cambria"/>
      <w:b/>
      <w:bCs/>
      <w:i/>
      <w:iCs/>
      <w:color w:val="7F7F7F"/>
      <w:szCs w:val="20"/>
      <w:lang w:bidi="ar-SA"/>
    </w:rPr>
  </w:style>
  <w:style w:type="paragraph" w:styleId="Heading7">
    <w:name w:val="heading 7"/>
    <w:basedOn w:val="Normal"/>
    <w:next w:val="Normal"/>
    <w:link w:val="Heading7Char"/>
    <w:uiPriority w:val="9"/>
    <w:unhideWhenUsed/>
    <w:rsid w:val="00EE12E1"/>
    <w:pPr>
      <w:spacing w:after="0"/>
      <w:outlineLvl w:val="6"/>
    </w:pPr>
    <w:rPr>
      <w:rFonts w:ascii="Cambria" w:hAnsi="Cambria"/>
      <w:i/>
      <w:iCs/>
    </w:rPr>
  </w:style>
  <w:style w:type="paragraph" w:styleId="Heading8">
    <w:name w:val="heading 8"/>
    <w:basedOn w:val="Normal"/>
    <w:next w:val="Normal"/>
    <w:link w:val="Heading8Char"/>
    <w:uiPriority w:val="9"/>
    <w:unhideWhenUsed/>
    <w:rsid w:val="00E032FD"/>
    <w:pPr>
      <w:spacing w:before="200" w:after="0" w:line="360" w:lineRule="auto"/>
      <w:ind w:firstLine="432"/>
      <w:outlineLvl w:val="7"/>
    </w:pPr>
    <w:rPr>
      <w:rFonts w:ascii="Cambria" w:hAnsi="Cambria"/>
      <w:szCs w:val="20"/>
    </w:rPr>
  </w:style>
  <w:style w:type="paragraph" w:styleId="Heading9">
    <w:name w:val="heading 9"/>
    <w:basedOn w:val="Normal"/>
    <w:next w:val="Normal"/>
    <w:link w:val="Heading9Char"/>
    <w:uiPriority w:val="9"/>
    <w:semiHidden/>
    <w:unhideWhenUsed/>
    <w:rsid w:val="00EE12E1"/>
    <w:pPr>
      <w:spacing w:after="0"/>
      <w:outlineLvl w:val="8"/>
    </w:pPr>
    <w:rPr>
      <w:rFonts w:ascii="Cambria" w:hAnsi="Cambria"/>
      <w:i/>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9318C"/>
    <w:rPr>
      <w:rFonts w:ascii="Franklin Gothic Medium" w:hAnsi="Franklin Gothic Medium"/>
      <w:bCs/>
      <w:color w:val="005F86"/>
      <w:sz w:val="32"/>
      <w:szCs w:val="28"/>
      <w:lang w:bidi="en-US"/>
    </w:rPr>
  </w:style>
  <w:style w:type="character" w:customStyle="1" w:styleId="Heading2Char">
    <w:name w:val="Heading 2 Char"/>
    <w:basedOn w:val="DefaultParagraphFont"/>
    <w:link w:val="Heading2"/>
    <w:rsid w:val="009E71FC"/>
    <w:rPr>
      <w:rFonts w:ascii="Franklin Gothic Demi Cond" w:hAnsi="Franklin Gothic Demi Cond"/>
      <w:bCs/>
      <w:color w:val="005F86"/>
      <w:sz w:val="24"/>
      <w:szCs w:val="26"/>
      <w:lang w:bidi="en-US"/>
    </w:rPr>
  </w:style>
  <w:style w:type="character" w:customStyle="1" w:styleId="Heading3Char">
    <w:name w:val="Heading 3 Char"/>
    <w:basedOn w:val="DefaultParagraphFont"/>
    <w:link w:val="Heading3"/>
    <w:uiPriority w:val="9"/>
    <w:rsid w:val="0043070D"/>
    <w:rPr>
      <w:rFonts w:ascii="Franklin Gothic Demi Cond" w:hAnsi="Franklin Gothic Demi Cond"/>
      <w:bCs/>
      <w:sz w:val="22"/>
      <w:szCs w:val="22"/>
      <w:lang w:bidi="en-US"/>
    </w:rPr>
  </w:style>
  <w:style w:type="character" w:customStyle="1" w:styleId="Heading4Char">
    <w:name w:val="Heading 4 Char"/>
    <w:basedOn w:val="DefaultParagraphFont"/>
    <w:link w:val="Heading4"/>
    <w:uiPriority w:val="9"/>
    <w:rsid w:val="00F373ED"/>
    <w:rPr>
      <w:rFonts w:ascii="Franklin Gothic Medium Cond" w:hAnsi="Franklin Gothic Medium Cond"/>
      <w:bCs/>
      <w:i/>
      <w:iCs/>
      <w:sz w:val="22"/>
      <w:szCs w:val="22"/>
      <w:lang w:bidi="en-US"/>
    </w:rPr>
  </w:style>
  <w:style w:type="character" w:customStyle="1" w:styleId="Heading5Char">
    <w:name w:val="Heading 5 Char"/>
    <w:basedOn w:val="DefaultParagraphFont"/>
    <w:link w:val="Heading5"/>
    <w:uiPriority w:val="9"/>
    <w:rsid w:val="000D3399"/>
    <w:rPr>
      <w:rFonts w:ascii="Cambria" w:hAnsi="Cambria"/>
      <w:b/>
      <w:bCs/>
      <w:color w:val="7F7F7F"/>
      <w:szCs w:val="22"/>
      <w:lang w:bidi="en-US"/>
    </w:rPr>
  </w:style>
  <w:style w:type="character" w:customStyle="1" w:styleId="Heading6Char">
    <w:name w:val="Heading 6 Char"/>
    <w:basedOn w:val="DefaultParagraphFont"/>
    <w:link w:val="Heading6"/>
    <w:uiPriority w:val="9"/>
    <w:rsid w:val="00885241"/>
    <w:rPr>
      <w:rFonts w:ascii="Cambria" w:hAnsi="Cambria"/>
      <w:b/>
      <w:bCs/>
      <w:i/>
      <w:iCs/>
      <w:color w:val="7F7F7F"/>
    </w:rPr>
  </w:style>
  <w:style w:type="character" w:customStyle="1" w:styleId="Heading7Char">
    <w:name w:val="Heading 7 Char"/>
    <w:basedOn w:val="DefaultParagraphFont"/>
    <w:link w:val="Heading7"/>
    <w:uiPriority w:val="9"/>
    <w:rsid w:val="00EE12E1"/>
    <w:rPr>
      <w:rFonts w:ascii="Cambria" w:eastAsia="Times New Roman" w:hAnsi="Cambria" w:cs="Times New Roman"/>
      <w:i/>
      <w:iCs/>
    </w:rPr>
  </w:style>
  <w:style w:type="character" w:customStyle="1" w:styleId="Heading8Char">
    <w:name w:val="Heading 8 Char"/>
    <w:basedOn w:val="DefaultParagraphFont"/>
    <w:link w:val="Heading8"/>
    <w:uiPriority w:val="9"/>
    <w:rsid w:val="00E032FD"/>
    <w:rPr>
      <w:rFonts w:ascii="Cambria" w:hAnsi="Cambria"/>
      <w:lang w:bidi="en-US"/>
    </w:rPr>
  </w:style>
  <w:style w:type="character" w:customStyle="1" w:styleId="Heading9Char">
    <w:name w:val="Heading 9 Char"/>
    <w:basedOn w:val="DefaultParagraphFont"/>
    <w:link w:val="Heading9"/>
    <w:uiPriority w:val="9"/>
    <w:semiHidden/>
    <w:rsid w:val="00EE12E1"/>
    <w:rPr>
      <w:rFonts w:ascii="Cambria" w:eastAsia="Times New Roman" w:hAnsi="Cambria" w:cs="Times New Roman"/>
      <w:i/>
      <w:iCs/>
      <w:spacing w:val="5"/>
      <w:sz w:val="20"/>
      <w:szCs w:val="20"/>
    </w:rPr>
  </w:style>
  <w:style w:type="paragraph" w:styleId="Title">
    <w:name w:val="Title"/>
    <w:next w:val="Normal"/>
    <w:link w:val="TitleChar"/>
    <w:uiPriority w:val="10"/>
    <w:qFormat/>
    <w:rsid w:val="00C9318C"/>
    <w:pPr>
      <w:spacing w:after="200"/>
      <w:contextualSpacing/>
    </w:pPr>
    <w:rPr>
      <w:rFonts w:ascii="Franklin Gothic Demi" w:hAnsi="Franklin Gothic Demi"/>
      <w:color w:val="005F86"/>
      <w:spacing w:val="5"/>
      <w:sz w:val="56"/>
      <w:szCs w:val="52"/>
      <w:lang w:bidi="en-US"/>
    </w:rPr>
  </w:style>
  <w:style w:type="character" w:customStyle="1" w:styleId="TitleChar">
    <w:name w:val="Title Char"/>
    <w:basedOn w:val="DefaultParagraphFont"/>
    <w:link w:val="Title"/>
    <w:uiPriority w:val="10"/>
    <w:rsid w:val="00C9318C"/>
    <w:rPr>
      <w:rFonts w:ascii="Franklin Gothic Demi" w:hAnsi="Franklin Gothic Demi"/>
      <w:color w:val="005F86"/>
      <w:spacing w:val="5"/>
      <w:sz w:val="56"/>
      <w:szCs w:val="52"/>
      <w:lang w:val="en-US" w:eastAsia="en-US" w:bidi="en-US"/>
    </w:rPr>
  </w:style>
  <w:style w:type="paragraph" w:styleId="Subtitle">
    <w:name w:val="Subtitle"/>
    <w:basedOn w:val="Title"/>
    <w:next w:val="Normal"/>
    <w:link w:val="SubtitleChar"/>
    <w:uiPriority w:val="11"/>
    <w:qFormat/>
    <w:rsid w:val="00C9318C"/>
    <w:pPr>
      <w:spacing w:before="360" w:after="480"/>
      <w:contextualSpacing w:val="0"/>
    </w:pPr>
    <w:rPr>
      <w:rFonts w:ascii="Franklin Gothic Medium" w:hAnsi="Franklin Gothic Medium"/>
      <w:color w:val="auto"/>
      <w:sz w:val="36"/>
      <w:szCs w:val="36"/>
    </w:rPr>
  </w:style>
  <w:style w:type="character" w:customStyle="1" w:styleId="SubtitleChar">
    <w:name w:val="Subtitle Char"/>
    <w:basedOn w:val="DefaultParagraphFont"/>
    <w:link w:val="Subtitle"/>
    <w:uiPriority w:val="11"/>
    <w:rsid w:val="00C9318C"/>
    <w:rPr>
      <w:rFonts w:ascii="Franklin Gothic Medium" w:hAnsi="Franklin Gothic Medium"/>
      <w:spacing w:val="5"/>
      <w:sz w:val="36"/>
      <w:szCs w:val="36"/>
      <w:lang w:bidi="en-US"/>
    </w:rPr>
  </w:style>
  <w:style w:type="character" w:styleId="Strong">
    <w:name w:val="Strong"/>
    <w:uiPriority w:val="22"/>
    <w:qFormat/>
    <w:rsid w:val="00C9318C"/>
    <w:rPr>
      <w:b/>
      <w:bCs/>
    </w:rPr>
  </w:style>
  <w:style w:type="character" w:styleId="Emphasis">
    <w:name w:val="Emphasis"/>
    <w:uiPriority w:val="20"/>
    <w:unhideWhenUsed/>
    <w:qFormat/>
    <w:rsid w:val="00C9318C"/>
    <w:rPr>
      <w:b/>
      <w:bCs/>
      <w:i/>
      <w:iCs/>
      <w:spacing w:val="10"/>
      <w:bdr w:val="none" w:sz="0" w:space="0" w:color="auto"/>
      <w:shd w:val="clear" w:color="auto" w:fill="auto"/>
    </w:rPr>
  </w:style>
  <w:style w:type="paragraph" w:styleId="NoSpacing">
    <w:name w:val="No Spacing"/>
    <w:basedOn w:val="Normal"/>
    <w:link w:val="NoSpacingChar"/>
    <w:uiPriority w:val="1"/>
    <w:qFormat/>
    <w:rsid w:val="00EE12E1"/>
    <w:pPr>
      <w:spacing w:after="0"/>
    </w:pPr>
  </w:style>
  <w:style w:type="paragraph" w:styleId="ListParagraph">
    <w:name w:val="List Paragraph"/>
    <w:basedOn w:val="Normal"/>
    <w:uiPriority w:val="34"/>
    <w:qFormat/>
    <w:rsid w:val="00C9318C"/>
    <w:pPr>
      <w:spacing w:line="360" w:lineRule="auto"/>
      <w:ind w:left="720"/>
      <w:contextualSpacing/>
    </w:pPr>
    <w:rPr>
      <w:rFonts w:ascii="Minion Pro" w:hAnsi="Minion Pro"/>
    </w:rPr>
  </w:style>
  <w:style w:type="paragraph" w:styleId="Quote">
    <w:name w:val="Quote"/>
    <w:basedOn w:val="BodyText"/>
    <w:next w:val="Normal"/>
    <w:link w:val="QuoteChar"/>
    <w:uiPriority w:val="8"/>
    <w:qFormat/>
    <w:rsid w:val="00C9318C"/>
    <w:rPr>
      <w:rFonts w:ascii="Franklin Gothic Demi" w:hAnsi="Franklin Gothic Demi"/>
      <w:sz w:val="24"/>
      <w:szCs w:val="24"/>
    </w:rPr>
  </w:style>
  <w:style w:type="character" w:customStyle="1" w:styleId="QuoteChar">
    <w:name w:val="Quote Char"/>
    <w:basedOn w:val="DefaultParagraphFont"/>
    <w:link w:val="Quote"/>
    <w:uiPriority w:val="8"/>
    <w:rsid w:val="00C9318C"/>
    <w:rPr>
      <w:rFonts w:ascii="Franklin Gothic Demi" w:eastAsia="Arial Narrow" w:hAnsi="Franklin Gothic Demi"/>
      <w:bCs/>
      <w:sz w:val="24"/>
      <w:szCs w:val="24"/>
    </w:rPr>
  </w:style>
  <w:style w:type="paragraph" w:styleId="IntenseQuote">
    <w:name w:val="Intense Quote"/>
    <w:basedOn w:val="Normal"/>
    <w:next w:val="Normal"/>
    <w:link w:val="IntenseQuoteChar"/>
    <w:uiPriority w:val="30"/>
    <w:unhideWhenUsed/>
    <w:qFormat/>
    <w:rsid w:val="00C9318C"/>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C9318C"/>
    <w:rPr>
      <w:rFonts w:ascii="Adobe Garamond Pro" w:hAnsi="Adobe Garamond Pro"/>
      <w:b/>
      <w:bCs/>
      <w:i/>
      <w:iCs/>
      <w:szCs w:val="22"/>
      <w:lang w:bidi="en-US"/>
    </w:rPr>
  </w:style>
  <w:style w:type="character" w:styleId="SubtleEmphasis">
    <w:name w:val="Subtle Emphasis"/>
    <w:uiPriority w:val="19"/>
    <w:unhideWhenUsed/>
    <w:qFormat/>
    <w:rsid w:val="00C9318C"/>
    <w:rPr>
      <w:i/>
      <w:iCs/>
    </w:rPr>
  </w:style>
  <w:style w:type="character" w:styleId="IntenseEmphasis">
    <w:name w:val="Intense Emphasis"/>
    <w:uiPriority w:val="21"/>
    <w:unhideWhenUsed/>
    <w:qFormat/>
    <w:rsid w:val="00C9318C"/>
    <w:rPr>
      <w:b/>
      <w:bCs/>
    </w:rPr>
  </w:style>
  <w:style w:type="character" w:styleId="SubtleReference">
    <w:name w:val="Subtle Reference"/>
    <w:uiPriority w:val="31"/>
    <w:unhideWhenUsed/>
    <w:qFormat/>
    <w:rsid w:val="00C9318C"/>
    <w:rPr>
      <w:smallCaps/>
    </w:rPr>
  </w:style>
  <w:style w:type="character" w:styleId="IntenseReference">
    <w:name w:val="Intense Reference"/>
    <w:uiPriority w:val="32"/>
    <w:unhideWhenUsed/>
    <w:qFormat/>
    <w:rsid w:val="00C9318C"/>
    <w:rPr>
      <w:smallCaps/>
      <w:spacing w:val="5"/>
      <w:u w:val="single"/>
    </w:rPr>
  </w:style>
  <w:style w:type="character" w:styleId="BookTitle">
    <w:name w:val="Book Title"/>
    <w:uiPriority w:val="33"/>
    <w:qFormat/>
    <w:rsid w:val="00C9318C"/>
    <w:rPr>
      <w:i/>
      <w:iCs/>
      <w:smallCaps/>
      <w:spacing w:val="5"/>
    </w:rPr>
  </w:style>
  <w:style w:type="paragraph" w:styleId="TOCHeading">
    <w:name w:val="TOC Heading"/>
    <w:basedOn w:val="Heading1"/>
    <w:next w:val="Normal"/>
    <w:uiPriority w:val="39"/>
    <w:semiHidden/>
    <w:unhideWhenUsed/>
    <w:qFormat/>
    <w:rsid w:val="00C9318C"/>
    <w:pPr>
      <w:outlineLvl w:val="9"/>
    </w:pPr>
  </w:style>
  <w:style w:type="paragraph" w:styleId="BodyText">
    <w:name w:val="Body Text"/>
    <w:basedOn w:val="Normal"/>
    <w:link w:val="BodyTextChar"/>
    <w:qFormat/>
    <w:rsid w:val="00926D7E"/>
    <w:pPr>
      <w:widowControl w:val="0"/>
      <w:spacing w:after="120" w:line="360" w:lineRule="auto"/>
      <w:ind w:left="0" w:firstLine="432"/>
      <w:jc w:val="both"/>
    </w:pPr>
    <w:rPr>
      <w:rFonts w:ascii="Cambria" w:eastAsia="Arial Narrow" w:hAnsi="Cambria"/>
      <w:bCs/>
      <w:sz w:val="22"/>
      <w:lang w:bidi="ar-SA"/>
    </w:rPr>
  </w:style>
  <w:style w:type="character" w:customStyle="1" w:styleId="BodyTextChar">
    <w:name w:val="Body Text Char"/>
    <w:basedOn w:val="DefaultParagraphFont"/>
    <w:link w:val="BodyText"/>
    <w:rsid w:val="00926D7E"/>
    <w:rPr>
      <w:rFonts w:ascii="Cambria" w:eastAsia="Arial Narrow" w:hAnsi="Cambria"/>
      <w:bCs/>
      <w:sz w:val="22"/>
      <w:szCs w:val="22"/>
    </w:rPr>
  </w:style>
  <w:style w:type="paragraph" w:styleId="Header">
    <w:name w:val="header"/>
    <w:basedOn w:val="Normal"/>
    <w:link w:val="HeaderChar"/>
    <w:uiPriority w:val="99"/>
    <w:unhideWhenUsed/>
    <w:rsid w:val="00FD76C9"/>
    <w:pPr>
      <w:tabs>
        <w:tab w:val="center" w:pos="4680"/>
        <w:tab w:val="right" w:pos="9360"/>
      </w:tabs>
    </w:pPr>
  </w:style>
  <w:style w:type="character" w:customStyle="1" w:styleId="HeaderChar">
    <w:name w:val="Header Char"/>
    <w:basedOn w:val="DefaultParagraphFont"/>
    <w:link w:val="Header"/>
    <w:uiPriority w:val="99"/>
    <w:rsid w:val="00FD76C9"/>
  </w:style>
  <w:style w:type="paragraph" w:styleId="Footer">
    <w:name w:val="footer"/>
    <w:basedOn w:val="Normal"/>
    <w:link w:val="FooterChar"/>
    <w:uiPriority w:val="99"/>
    <w:unhideWhenUsed/>
    <w:rsid w:val="00FD76C9"/>
    <w:pPr>
      <w:tabs>
        <w:tab w:val="center" w:pos="4680"/>
        <w:tab w:val="right" w:pos="9360"/>
      </w:tabs>
    </w:pPr>
  </w:style>
  <w:style w:type="character" w:customStyle="1" w:styleId="FooterChar">
    <w:name w:val="Footer Char"/>
    <w:basedOn w:val="DefaultParagraphFont"/>
    <w:link w:val="Footer"/>
    <w:uiPriority w:val="99"/>
    <w:rsid w:val="00FD76C9"/>
  </w:style>
  <w:style w:type="paragraph" w:styleId="TOC2">
    <w:name w:val="toc 2"/>
    <w:basedOn w:val="TOC1"/>
    <w:next w:val="Normal"/>
    <w:autoRedefine/>
    <w:uiPriority w:val="39"/>
    <w:unhideWhenUsed/>
    <w:rsid w:val="00CF5CB7"/>
    <w:pPr>
      <w:tabs>
        <w:tab w:val="left" w:pos="440"/>
        <w:tab w:val="right" w:leader="dot" w:pos="9360"/>
      </w:tabs>
      <w:spacing w:line="360" w:lineRule="auto"/>
      <w:ind w:firstLine="450"/>
    </w:pPr>
    <w:rPr>
      <w:rFonts w:ascii="Franklin Gothic Book" w:hAnsi="Franklin Gothic Book"/>
      <w:b w:val="0"/>
      <w:bCs w:val="0"/>
      <w:caps w:val="0"/>
      <w:noProof/>
      <w:sz w:val="22"/>
      <w:szCs w:val="22"/>
    </w:rPr>
  </w:style>
  <w:style w:type="paragraph" w:styleId="TOC1">
    <w:name w:val="toc 1"/>
    <w:basedOn w:val="Normal"/>
    <w:next w:val="Normal"/>
    <w:link w:val="TOC1Char"/>
    <w:autoRedefine/>
    <w:uiPriority w:val="39"/>
    <w:unhideWhenUsed/>
    <w:rsid w:val="0091110E"/>
    <w:pPr>
      <w:tabs>
        <w:tab w:val="right" w:leader="dot" w:pos="10070"/>
      </w:tabs>
      <w:spacing w:before="120" w:after="120"/>
      <w:ind w:left="360"/>
    </w:pPr>
    <w:rPr>
      <w:rFonts w:ascii="Calibri" w:hAnsi="Calibri"/>
      <w:b/>
      <w:bCs/>
      <w:caps/>
      <w:szCs w:val="20"/>
    </w:rPr>
  </w:style>
  <w:style w:type="paragraph" w:styleId="TOC3">
    <w:name w:val="toc 3"/>
    <w:basedOn w:val="Normal"/>
    <w:next w:val="Normal"/>
    <w:autoRedefine/>
    <w:uiPriority w:val="39"/>
    <w:rsid w:val="00621A3D"/>
    <w:pPr>
      <w:tabs>
        <w:tab w:val="right" w:leader="dot" w:pos="10070"/>
      </w:tabs>
      <w:spacing w:after="0"/>
      <w:ind w:left="1800"/>
    </w:pPr>
    <w:rPr>
      <w:rFonts w:ascii="Calibri" w:hAnsi="Calibri"/>
      <w:i/>
      <w:iCs/>
      <w:szCs w:val="20"/>
    </w:rPr>
  </w:style>
  <w:style w:type="paragraph" w:styleId="BalloonText">
    <w:name w:val="Balloon Text"/>
    <w:basedOn w:val="Normal"/>
    <w:link w:val="BalloonTextChar"/>
    <w:uiPriority w:val="99"/>
    <w:semiHidden/>
    <w:unhideWhenUsed/>
    <w:rsid w:val="00E660A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660A2"/>
    <w:rPr>
      <w:rFonts w:ascii="Tahoma" w:hAnsi="Tahoma" w:cs="Tahoma"/>
      <w:sz w:val="16"/>
      <w:szCs w:val="16"/>
      <w:lang w:bidi="en-US"/>
    </w:rPr>
  </w:style>
  <w:style w:type="character" w:styleId="Hyperlink">
    <w:name w:val="Hyperlink"/>
    <w:basedOn w:val="DefaultParagraphFont"/>
    <w:uiPriority w:val="99"/>
    <w:unhideWhenUsed/>
    <w:rsid w:val="00E660A2"/>
    <w:rPr>
      <w:color w:val="0000FF"/>
      <w:u w:val="single"/>
    </w:rPr>
  </w:style>
  <w:style w:type="paragraph" w:styleId="TOC4">
    <w:name w:val="toc 4"/>
    <w:basedOn w:val="Normal"/>
    <w:next w:val="Normal"/>
    <w:autoRedefine/>
    <w:uiPriority w:val="39"/>
    <w:semiHidden/>
    <w:rsid w:val="00C848D2"/>
    <w:pPr>
      <w:spacing w:after="0"/>
      <w:ind w:left="660"/>
    </w:pPr>
    <w:rPr>
      <w:rFonts w:ascii="Calibri" w:hAnsi="Calibri"/>
      <w:sz w:val="18"/>
      <w:szCs w:val="18"/>
    </w:rPr>
  </w:style>
  <w:style w:type="paragraph" w:styleId="TOC5">
    <w:name w:val="toc 5"/>
    <w:basedOn w:val="Normal"/>
    <w:next w:val="Normal"/>
    <w:autoRedefine/>
    <w:uiPriority w:val="39"/>
    <w:semiHidden/>
    <w:rsid w:val="00C848D2"/>
    <w:pPr>
      <w:spacing w:after="0"/>
      <w:ind w:left="880"/>
    </w:pPr>
    <w:rPr>
      <w:rFonts w:ascii="Calibri" w:hAnsi="Calibri"/>
      <w:sz w:val="18"/>
      <w:szCs w:val="18"/>
    </w:rPr>
  </w:style>
  <w:style w:type="paragraph" w:styleId="TOC6">
    <w:name w:val="toc 6"/>
    <w:basedOn w:val="Normal"/>
    <w:next w:val="Normal"/>
    <w:autoRedefine/>
    <w:uiPriority w:val="39"/>
    <w:semiHidden/>
    <w:rsid w:val="00C848D2"/>
    <w:pPr>
      <w:spacing w:after="0"/>
      <w:ind w:left="1100"/>
    </w:pPr>
    <w:rPr>
      <w:rFonts w:ascii="Calibri" w:hAnsi="Calibri"/>
      <w:sz w:val="18"/>
      <w:szCs w:val="18"/>
    </w:rPr>
  </w:style>
  <w:style w:type="paragraph" w:styleId="TOC7">
    <w:name w:val="toc 7"/>
    <w:basedOn w:val="Normal"/>
    <w:next w:val="Normal"/>
    <w:autoRedefine/>
    <w:uiPriority w:val="39"/>
    <w:semiHidden/>
    <w:rsid w:val="00C848D2"/>
    <w:pPr>
      <w:spacing w:after="0"/>
      <w:ind w:left="1320"/>
    </w:pPr>
    <w:rPr>
      <w:rFonts w:ascii="Calibri" w:hAnsi="Calibri"/>
      <w:sz w:val="18"/>
      <w:szCs w:val="18"/>
    </w:rPr>
  </w:style>
  <w:style w:type="paragraph" w:styleId="TOC8">
    <w:name w:val="toc 8"/>
    <w:basedOn w:val="Normal"/>
    <w:next w:val="Normal"/>
    <w:autoRedefine/>
    <w:uiPriority w:val="39"/>
    <w:semiHidden/>
    <w:rsid w:val="00C848D2"/>
    <w:pPr>
      <w:spacing w:after="0"/>
      <w:ind w:left="1540"/>
    </w:pPr>
    <w:rPr>
      <w:rFonts w:ascii="Calibri" w:hAnsi="Calibri"/>
      <w:sz w:val="18"/>
      <w:szCs w:val="18"/>
    </w:rPr>
  </w:style>
  <w:style w:type="paragraph" w:styleId="TOC9">
    <w:name w:val="toc 9"/>
    <w:basedOn w:val="Normal"/>
    <w:next w:val="Normal"/>
    <w:autoRedefine/>
    <w:uiPriority w:val="39"/>
    <w:semiHidden/>
    <w:rsid w:val="00C848D2"/>
    <w:pPr>
      <w:spacing w:after="0"/>
      <w:ind w:left="1760"/>
    </w:pPr>
    <w:rPr>
      <w:rFonts w:ascii="Calibri" w:hAnsi="Calibri"/>
      <w:sz w:val="18"/>
      <w:szCs w:val="18"/>
    </w:rPr>
  </w:style>
  <w:style w:type="paragraph" w:customStyle="1" w:styleId="Normal1">
    <w:name w:val="Normal1"/>
    <w:semiHidden/>
    <w:rsid w:val="009802A6"/>
    <w:rPr>
      <w:rFonts w:ascii="Arial" w:eastAsia="Arial" w:hAnsi="Arial" w:cs="Arial"/>
      <w:color w:val="000000"/>
    </w:rPr>
  </w:style>
  <w:style w:type="character" w:styleId="FootnoteReference">
    <w:name w:val="footnote reference"/>
    <w:aliases w:val="o,fr,Style 13,Style 12,Style 15,Style 17,Style 9,o1,fr1,o2,fr2,o3,fr3,Style 18,(NECG) Footnote Reference,Style 20,Style 7,Styl,Style 8,Style 19,Style 6,Style 28,Style 11,Style 16,Footnote Reference (EIS),fnr,Footnote reference (EA),."/>
    <w:basedOn w:val="DefaultParagraphFont"/>
    <w:uiPriority w:val="99"/>
    <w:unhideWhenUsed/>
    <w:qFormat/>
    <w:rsid w:val="007F2B88"/>
    <w:rPr>
      <w:vertAlign w:val="superscript"/>
    </w:rPr>
  </w:style>
  <w:style w:type="paragraph" w:styleId="FootnoteText">
    <w:name w:val="footnote text"/>
    <w:aliases w:val="fn,Footnote Text Char1,Footnote Text Char Char,Footnote Text Char1 Char,Footnote Text Char Char Char,Footnote Text Char Char1 Char,Footnote Text Char Char1,Footnote Text Char1 Char Char Char1 Char Char,fn Char,Car"/>
    <w:basedOn w:val="Normal"/>
    <w:link w:val="FootnoteTextChar"/>
    <w:uiPriority w:val="99"/>
    <w:unhideWhenUsed/>
    <w:rsid w:val="002723A8"/>
    <w:rPr>
      <w:szCs w:val="20"/>
    </w:rPr>
  </w:style>
  <w:style w:type="character" w:customStyle="1" w:styleId="FootnoteTextChar">
    <w:name w:val="Footnote Text Char"/>
    <w:aliases w:val="fn Char1,Footnote Text Char1 Char1,Footnote Text Char Char Char1,Footnote Text Char1 Char Char,Footnote Text Char Char Char Char,Footnote Text Char Char1 Char Char,Footnote Text Char Char1 Char1,fn Char Char,Car Char"/>
    <w:basedOn w:val="DefaultParagraphFont"/>
    <w:link w:val="FootnoteText"/>
    <w:uiPriority w:val="99"/>
    <w:rsid w:val="002723A8"/>
    <w:rPr>
      <w:rFonts w:ascii="Adobe Garamond Pro" w:hAnsi="Adobe Garamond Pro"/>
      <w:lang w:bidi="en-US"/>
    </w:rPr>
  </w:style>
  <w:style w:type="paragraph" w:customStyle="1" w:styleId="Footnote">
    <w:name w:val="Footnote"/>
    <w:aliases w:val="Source"/>
    <w:basedOn w:val="FootnoteText"/>
    <w:link w:val="FootnoteChar"/>
    <w:uiPriority w:val="13"/>
    <w:qFormat/>
    <w:rsid w:val="00C9318C"/>
    <w:rPr>
      <w:rFonts w:ascii="Franklin Gothic Book" w:hAnsi="Franklin Gothic Book"/>
      <w:sz w:val="16"/>
      <w:szCs w:val="16"/>
    </w:rPr>
  </w:style>
  <w:style w:type="character" w:customStyle="1" w:styleId="FootnoteChar">
    <w:name w:val="Footnote Char"/>
    <w:aliases w:val="Source Char"/>
    <w:basedOn w:val="FootnoteTextChar"/>
    <w:link w:val="Footnote"/>
    <w:uiPriority w:val="13"/>
    <w:rsid w:val="00C9318C"/>
    <w:rPr>
      <w:rFonts w:ascii="Franklin Gothic Book" w:hAnsi="Franklin Gothic Book"/>
      <w:sz w:val="16"/>
      <w:szCs w:val="16"/>
      <w:lang w:bidi="en-US"/>
    </w:rPr>
  </w:style>
  <w:style w:type="paragraph" w:customStyle="1" w:styleId="Bulletstyle">
    <w:name w:val="Bullet style"/>
    <w:basedOn w:val="BodyText"/>
    <w:link w:val="BulletstyleChar"/>
    <w:qFormat/>
    <w:rsid w:val="00C9318C"/>
    <w:pPr>
      <w:spacing w:line="240" w:lineRule="auto"/>
      <w:ind w:firstLine="0"/>
    </w:pPr>
  </w:style>
  <w:style w:type="character" w:customStyle="1" w:styleId="BulletstyleChar">
    <w:name w:val="Bullet style Char"/>
    <w:basedOn w:val="BodyTextChar"/>
    <w:link w:val="Bulletstyle"/>
    <w:rsid w:val="00C9318C"/>
    <w:rPr>
      <w:rFonts w:ascii="Cambria" w:eastAsia="Arial Narrow" w:hAnsi="Cambria"/>
      <w:bCs/>
      <w:sz w:val="22"/>
      <w:szCs w:val="22"/>
    </w:rPr>
  </w:style>
  <w:style w:type="paragraph" w:styleId="DocumentMap">
    <w:name w:val="Document Map"/>
    <w:basedOn w:val="Normal"/>
    <w:link w:val="DocumentMapChar"/>
    <w:uiPriority w:val="99"/>
    <w:semiHidden/>
    <w:unhideWhenUsed/>
    <w:rsid w:val="007E1C4A"/>
    <w:rPr>
      <w:rFonts w:ascii="Tahoma" w:hAnsi="Tahoma" w:cs="Tahoma"/>
      <w:sz w:val="16"/>
      <w:szCs w:val="16"/>
    </w:rPr>
  </w:style>
  <w:style w:type="character" w:customStyle="1" w:styleId="DocumentMapChar">
    <w:name w:val="Document Map Char"/>
    <w:basedOn w:val="DefaultParagraphFont"/>
    <w:link w:val="DocumentMap"/>
    <w:uiPriority w:val="99"/>
    <w:semiHidden/>
    <w:rsid w:val="007E1C4A"/>
    <w:rPr>
      <w:rFonts w:ascii="Tahoma" w:hAnsi="Tahoma" w:cs="Tahoma"/>
      <w:sz w:val="16"/>
      <w:szCs w:val="16"/>
      <w:lang w:bidi="en-US"/>
    </w:rPr>
  </w:style>
  <w:style w:type="paragraph" w:customStyle="1" w:styleId="TableofContents1">
    <w:name w:val="Table of Contents 1"/>
    <w:basedOn w:val="TOC1"/>
    <w:link w:val="TableofContents1Char"/>
    <w:uiPriority w:val="11"/>
    <w:qFormat/>
    <w:rsid w:val="00C9318C"/>
    <w:pPr>
      <w:tabs>
        <w:tab w:val="left" w:pos="440"/>
        <w:tab w:val="right" w:leader="dot" w:pos="9350"/>
      </w:tabs>
      <w:spacing w:line="480" w:lineRule="auto"/>
    </w:pPr>
    <w:rPr>
      <w:noProof/>
    </w:rPr>
  </w:style>
  <w:style w:type="character" w:customStyle="1" w:styleId="TOC1Char">
    <w:name w:val="TOC 1 Char"/>
    <w:basedOn w:val="DefaultParagraphFont"/>
    <w:link w:val="TOC1"/>
    <w:uiPriority w:val="39"/>
    <w:rsid w:val="0091110E"/>
    <w:rPr>
      <w:b/>
      <w:bCs/>
      <w:caps/>
      <w:lang w:bidi="en-US"/>
    </w:rPr>
  </w:style>
  <w:style w:type="character" w:customStyle="1" w:styleId="TableofContents1Char">
    <w:name w:val="Table of Contents 1 Char"/>
    <w:basedOn w:val="TOC1Char"/>
    <w:link w:val="TableofContents1"/>
    <w:uiPriority w:val="11"/>
    <w:rsid w:val="00C9318C"/>
    <w:rPr>
      <w:b/>
      <w:bCs/>
      <w:caps/>
      <w:noProof/>
      <w:lang w:bidi="en-US"/>
    </w:rPr>
  </w:style>
  <w:style w:type="numbering" w:customStyle="1" w:styleId="NYISOList">
    <w:name w:val="NYISO List"/>
    <w:uiPriority w:val="99"/>
    <w:rsid w:val="00167681"/>
    <w:pPr>
      <w:numPr>
        <w:numId w:val="1"/>
      </w:numPr>
    </w:pPr>
  </w:style>
  <w:style w:type="numbering" w:customStyle="1" w:styleId="NYISOBullets">
    <w:name w:val="NYISO Bullets"/>
    <w:uiPriority w:val="99"/>
    <w:rsid w:val="002D3BD6"/>
    <w:pPr>
      <w:numPr>
        <w:numId w:val="2"/>
      </w:numPr>
    </w:pPr>
  </w:style>
  <w:style w:type="paragraph" w:styleId="EndnoteText">
    <w:name w:val="endnote text"/>
    <w:basedOn w:val="Normal"/>
    <w:link w:val="EndnoteTextChar"/>
    <w:uiPriority w:val="99"/>
    <w:semiHidden/>
    <w:unhideWhenUsed/>
    <w:rsid w:val="00E10F3E"/>
    <w:rPr>
      <w:szCs w:val="20"/>
    </w:rPr>
  </w:style>
  <w:style w:type="character" w:customStyle="1" w:styleId="EndnoteTextChar">
    <w:name w:val="Endnote Text Char"/>
    <w:basedOn w:val="DefaultParagraphFont"/>
    <w:link w:val="EndnoteText"/>
    <w:uiPriority w:val="99"/>
    <w:semiHidden/>
    <w:rsid w:val="00E10F3E"/>
    <w:rPr>
      <w:rFonts w:ascii="Adobe Garamond Pro" w:hAnsi="Adobe Garamond Pro"/>
      <w:lang w:bidi="en-US"/>
    </w:rPr>
  </w:style>
  <w:style w:type="character" w:styleId="EndnoteReference">
    <w:name w:val="endnote reference"/>
    <w:basedOn w:val="DefaultParagraphFont"/>
    <w:uiPriority w:val="99"/>
    <w:semiHidden/>
    <w:unhideWhenUsed/>
    <w:rsid w:val="00E10F3E"/>
    <w:rPr>
      <w:vertAlign w:val="superscript"/>
    </w:rPr>
  </w:style>
  <w:style w:type="table" w:styleId="TableGrid">
    <w:name w:val="Table Grid"/>
    <w:basedOn w:val="TableNormal"/>
    <w:uiPriority w:val="59"/>
    <w:rsid w:val="0054595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0">
    <w:name w:val="bodytext"/>
    <w:basedOn w:val="Normal"/>
    <w:link w:val="bodytextChar0"/>
    <w:rsid w:val="0084324A"/>
    <w:pPr>
      <w:keepNext/>
      <w:spacing w:before="240" w:after="240"/>
      <w:ind w:left="2160" w:firstLine="720"/>
    </w:pPr>
    <w:rPr>
      <w:rFonts w:asciiTheme="minorHAnsi" w:hAnsiTheme="minorHAnsi"/>
      <w:sz w:val="24"/>
      <w:szCs w:val="24"/>
      <w:lang w:bidi="ar-SA"/>
    </w:rPr>
  </w:style>
  <w:style w:type="character" w:customStyle="1" w:styleId="bodytextChar0">
    <w:name w:val="bodytext Char"/>
    <w:basedOn w:val="DefaultParagraphFont"/>
    <w:link w:val="bodytext0"/>
    <w:rsid w:val="0084324A"/>
    <w:rPr>
      <w:rFonts w:asciiTheme="minorHAnsi" w:hAnsiTheme="minorHAnsi"/>
      <w:sz w:val="24"/>
      <w:szCs w:val="24"/>
    </w:rPr>
  </w:style>
  <w:style w:type="paragraph" w:styleId="Caption">
    <w:name w:val="caption"/>
    <w:basedOn w:val="Normal"/>
    <w:next w:val="Normal"/>
    <w:link w:val="CaptionChar"/>
    <w:uiPriority w:val="35"/>
    <w:qFormat/>
    <w:rsid w:val="0084324A"/>
    <w:pPr>
      <w:keepNext/>
      <w:spacing w:before="120" w:after="120"/>
      <w:ind w:left="0" w:firstLine="0"/>
      <w:jc w:val="center"/>
    </w:pPr>
    <w:rPr>
      <w:rFonts w:asciiTheme="minorHAnsi" w:hAnsiTheme="minorHAnsi" w:cs="Arial"/>
      <w:iCs/>
      <w:sz w:val="24"/>
      <w:szCs w:val="20"/>
      <w:lang w:bidi="ar-SA"/>
    </w:rPr>
  </w:style>
  <w:style w:type="character" w:customStyle="1" w:styleId="CaptionChar">
    <w:name w:val="Caption Char"/>
    <w:basedOn w:val="DefaultParagraphFont"/>
    <w:link w:val="Caption"/>
    <w:uiPriority w:val="35"/>
    <w:rsid w:val="0084324A"/>
    <w:rPr>
      <w:rFonts w:asciiTheme="minorHAnsi" w:hAnsiTheme="minorHAnsi" w:cs="Arial"/>
      <w:iCs/>
      <w:sz w:val="24"/>
    </w:rPr>
  </w:style>
  <w:style w:type="paragraph" w:customStyle="1" w:styleId="Figure">
    <w:name w:val="Figure"/>
    <w:basedOn w:val="BodyText"/>
    <w:link w:val="FigureChar"/>
    <w:qFormat/>
    <w:rsid w:val="00F54C34"/>
    <w:pPr>
      <w:ind w:firstLine="0"/>
    </w:pPr>
    <w:rPr>
      <w:rFonts w:ascii="Franklin Gothic Demi" w:hAnsi="Franklin Gothic Demi"/>
      <w:sz w:val="20"/>
      <w:szCs w:val="20"/>
    </w:rPr>
  </w:style>
  <w:style w:type="character" w:customStyle="1" w:styleId="FigureChar">
    <w:name w:val="Figure Char"/>
    <w:basedOn w:val="BodyTextChar"/>
    <w:link w:val="Figure"/>
    <w:rsid w:val="00F54C34"/>
    <w:rPr>
      <w:rFonts w:ascii="Franklin Gothic Demi" w:eastAsia="Arial Narrow" w:hAnsi="Franklin Gothic Demi"/>
      <w:bCs/>
      <w:sz w:val="22"/>
      <w:szCs w:val="22"/>
    </w:rPr>
  </w:style>
  <w:style w:type="table" w:customStyle="1" w:styleId="TableGrid1">
    <w:name w:val="Table Grid1"/>
    <w:basedOn w:val="TableNormal"/>
    <w:next w:val="TableGrid"/>
    <w:uiPriority w:val="59"/>
    <w:rsid w:val="008F4FA6"/>
    <w:pPr>
      <w:spacing w:after="0"/>
      <w:ind w:left="0" w:firstLine="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8F4FA6"/>
    <w:pPr>
      <w:spacing w:after="0"/>
      <w:ind w:left="0" w:firstLine="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492A5B"/>
    <w:pPr>
      <w:spacing w:after="0"/>
      <w:ind w:left="0" w:firstLine="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CC1CF7"/>
    <w:pPr>
      <w:spacing w:after="0"/>
      <w:ind w:left="0" w:firstLine="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numbered-Style1">
    <w:name w:val="not numbered - Style1"/>
    <w:link w:val="notnumbered-Style1Char"/>
    <w:qFormat/>
    <w:rsid w:val="006B382B"/>
    <w:pPr>
      <w:pageBreakBefore/>
      <w:spacing w:after="120"/>
      <w:ind w:left="0" w:firstLine="432"/>
    </w:pPr>
    <w:rPr>
      <w:rFonts w:ascii="Franklin Gothic Medium" w:hAnsi="Franklin Gothic Medium"/>
      <w:bCs/>
      <w:color w:val="005F86"/>
      <w:sz w:val="32"/>
      <w:szCs w:val="28"/>
      <w:lang w:bidi="en-US"/>
    </w:rPr>
  </w:style>
  <w:style w:type="paragraph" w:customStyle="1" w:styleId="notnumbered-Style2">
    <w:name w:val="not numbered - Style 2"/>
    <w:basedOn w:val="Normal"/>
    <w:link w:val="notnumbered-Style2Char"/>
    <w:qFormat/>
    <w:rsid w:val="000F447F"/>
    <w:pPr>
      <w:ind w:left="0" w:firstLine="432"/>
    </w:pPr>
    <w:rPr>
      <w:rFonts w:ascii="Franklin Gothic Demi Cond" w:hAnsi="Franklin Gothic Demi Cond"/>
      <w:color w:val="005F86"/>
      <w:sz w:val="24"/>
    </w:rPr>
  </w:style>
  <w:style w:type="character" w:customStyle="1" w:styleId="notnumbered-Style1Char">
    <w:name w:val="not numbered - Style1 Char"/>
    <w:basedOn w:val="Heading1Char"/>
    <w:link w:val="notnumbered-Style1"/>
    <w:rsid w:val="006B382B"/>
    <w:rPr>
      <w:rFonts w:ascii="Franklin Gothic Medium" w:hAnsi="Franklin Gothic Medium"/>
      <w:bCs/>
      <w:color w:val="005F86"/>
      <w:sz w:val="32"/>
      <w:szCs w:val="28"/>
      <w:lang w:bidi="en-US"/>
    </w:rPr>
  </w:style>
  <w:style w:type="paragraph" w:customStyle="1" w:styleId="Caption1">
    <w:name w:val="Caption1"/>
    <w:basedOn w:val="BodyText"/>
    <w:link w:val="captionChar0"/>
    <w:rsid w:val="00251543"/>
    <w:pPr>
      <w:keepNext/>
      <w:jc w:val="center"/>
    </w:pPr>
    <w:rPr>
      <w:rFonts w:ascii="Franklin Gothic Demi" w:hAnsi="Franklin Gothic Demi"/>
      <w:sz w:val="16"/>
    </w:rPr>
  </w:style>
  <w:style w:type="character" w:customStyle="1" w:styleId="notnumbered-Style2Char">
    <w:name w:val="not numbered - Style 2 Char"/>
    <w:basedOn w:val="Heading2Char"/>
    <w:link w:val="notnumbered-Style2"/>
    <w:rsid w:val="000F447F"/>
    <w:rPr>
      <w:rFonts w:ascii="Franklin Gothic Demi Cond" w:hAnsi="Franklin Gothic Demi Cond"/>
      <w:bCs/>
      <w:color w:val="005F86"/>
      <w:sz w:val="24"/>
      <w:szCs w:val="22"/>
      <w:lang w:bidi="en-US"/>
    </w:rPr>
  </w:style>
  <w:style w:type="character" w:customStyle="1" w:styleId="captionChar0">
    <w:name w:val="caption Char"/>
    <w:basedOn w:val="BodyTextChar"/>
    <w:link w:val="Caption1"/>
    <w:rsid w:val="00251543"/>
    <w:rPr>
      <w:rFonts w:ascii="Franklin Gothic Demi" w:eastAsia="Arial Narrow" w:hAnsi="Franklin Gothic Demi"/>
      <w:bCs/>
      <w:sz w:val="16"/>
      <w:szCs w:val="22"/>
    </w:rPr>
  </w:style>
  <w:style w:type="paragraph" w:styleId="TableofFigures">
    <w:name w:val="table of figures"/>
    <w:basedOn w:val="Normal"/>
    <w:next w:val="Normal"/>
    <w:uiPriority w:val="99"/>
    <w:unhideWhenUsed/>
    <w:rsid w:val="00062D5F"/>
    <w:pPr>
      <w:spacing w:after="0" w:line="360" w:lineRule="auto"/>
      <w:ind w:left="0" w:firstLine="0"/>
    </w:pPr>
    <w:rPr>
      <w:rFonts w:ascii="Calibri" w:hAnsi="Calibri"/>
    </w:rPr>
  </w:style>
  <w:style w:type="paragraph" w:customStyle="1" w:styleId="caption10">
    <w:name w:val="caption1"/>
    <w:basedOn w:val="BodyText"/>
    <w:link w:val="caption1Char"/>
    <w:qFormat/>
    <w:rsid w:val="00EC708B"/>
    <w:pPr>
      <w:spacing w:line="240" w:lineRule="auto"/>
      <w:ind w:firstLine="0"/>
    </w:pPr>
    <w:rPr>
      <w:rFonts w:ascii="Franklin Gothic Book" w:hAnsi="Franklin Gothic Book"/>
      <w:sz w:val="16"/>
    </w:rPr>
  </w:style>
  <w:style w:type="character" w:customStyle="1" w:styleId="caption1Char">
    <w:name w:val="caption1 Char"/>
    <w:basedOn w:val="BodyTextChar"/>
    <w:link w:val="caption10"/>
    <w:rsid w:val="00EC708B"/>
    <w:rPr>
      <w:rFonts w:ascii="Franklin Gothic Book" w:eastAsia="Arial Narrow" w:hAnsi="Franklin Gothic Book"/>
      <w:bCs/>
      <w:sz w:val="16"/>
      <w:szCs w:val="22"/>
    </w:rPr>
  </w:style>
  <w:style w:type="character" w:styleId="FollowedHyperlink">
    <w:name w:val="FollowedHyperlink"/>
    <w:basedOn w:val="DefaultParagraphFont"/>
    <w:uiPriority w:val="99"/>
    <w:semiHidden/>
    <w:unhideWhenUsed/>
    <w:rsid w:val="00E7461A"/>
    <w:rPr>
      <w:color w:val="800080" w:themeColor="followedHyperlink"/>
      <w:u w:val="single"/>
    </w:rPr>
  </w:style>
  <w:style w:type="paragraph" w:styleId="Revision">
    <w:name w:val="Revision"/>
    <w:hidden/>
    <w:uiPriority w:val="99"/>
    <w:semiHidden/>
    <w:rsid w:val="00654289"/>
    <w:pPr>
      <w:spacing w:after="0"/>
      <w:ind w:left="0" w:firstLine="0"/>
    </w:pPr>
    <w:rPr>
      <w:rFonts w:ascii="Adobe Garamond Pro" w:hAnsi="Adobe Garamond Pro"/>
      <w:szCs w:val="22"/>
      <w:lang w:bidi="en-US"/>
    </w:rPr>
  </w:style>
  <w:style w:type="character" w:styleId="CommentReference">
    <w:name w:val="annotation reference"/>
    <w:basedOn w:val="DefaultParagraphFont"/>
    <w:uiPriority w:val="99"/>
    <w:semiHidden/>
    <w:unhideWhenUsed/>
    <w:rsid w:val="00581639"/>
    <w:rPr>
      <w:sz w:val="16"/>
      <w:szCs w:val="16"/>
    </w:rPr>
  </w:style>
  <w:style w:type="paragraph" w:styleId="CommentText">
    <w:name w:val="annotation text"/>
    <w:basedOn w:val="Normal"/>
    <w:link w:val="CommentTextChar"/>
    <w:uiPriority w:val="99"/>
    <w:unhideWhenUsed/>
    <w:rsid w:val="00581639"/>
    <w:pPr>
      <w:spacing w:after="160"/>
      <w:ind w:left="0" w:firstLine="0"/>
    </w:pPr>
    <w:rPr>
      <w:rFonts w:asciiTheme="minorHAnsi" w:eastAsiaTheme="minorHAnsi" w:hAnsiTheme="minorHAnsi" w:cstheme="minorBidi"/>
      <w:szCs w:val="20"/>
      <w:lang w:bidi="ar-SA"/>
    </w:rPr>
  </w:style>
  <w:style w:type="character" w:customStyle="1" w:styleId="CommentTextChar">
    <w:name w:val="Comment Text Char"/>
    <w:basedOn w:val="DefaultParagraphFont"/>
    <w:link w:val="CommentText"/>
    <w:uiPriority w:val="99"/>
    <w:rsid w:val="00581639"/>
    <w:rPr>
      <w:rFonts w:asciiTheme="minorHAnsi" w:eastAsiaTheme="minorHAnsi" w:hAnsiTheme="minorHAnsi" w:cstheme="minorBidi"/>
    </w:rPr>
  </w:style>
  <w:style w:type="paragraph" w:styleId="CommentSubject">
    <w:name w:val="annotation subject"/>
    <w:basedOn w:val="CommentText"/>
    <w:next w:val="CommentText"/>
    <w:link w:val="CommentSubjectChar"/>
    <w:uiPriority w:val="99"/>
    <w:semiHidden/>
    <w:unhideWhenUsed/>
    <w:rsid w:val="00D2178E"/>
    <w:pPr>
      <w:spacing w:after="60"/>
      <w:ind w:left="1152" w:hanging="360"/>
    </w:pPr>
    <w:rPr>
      <w:rFonts w:ascii="Adobe Garamond Pro" w:eastAsia="Times New Roman" w:hAnsi="Adobe Garamond Pro" w:cs="Times New Roman"/>
      <w:b/>
      <w:bCs/>
      <w:lang w:bidi="en-US"/>
    </w:rPr>
  </w:style>
  <w:style w:type="character" w:customStyle="1" w:styleId="CommentSubjectChar">
    <w:name w:val="Comment Subject Char"/>
    <w:basedOn w:val="CommentTextChar"/>
    <w:link w:val="CommentSubject"/>
    <w:uiPriority w:val="99"/>
    <w:semiHidden/>
    <w:rsid w:val="00D2178E"/>
    <w:rPr>
      <w:rFonts w:ascii="Adobe Garamond Pro" w:eastAsiaTheme="minorHAnsi" w:hAnsi="Adobe Garamond Pro" w:cstheme="minorBidi"/>
      <w:b/>
      <w:bCs/>
      <w:lang w:bidi="en-US"/>
    </w:rPr>
  </w:style>
  <w:style w:type="paragraph" w:styleId="NormalWeb">
    <w:name w:val="Normal (Web)"/>
    <w:basedOn w:val="Normal"/>
    <w:uiPriority w:val="99"/>
    <w:unhideWhenUsed/>
    <w:rsid w:val="006B0B6A"/>
    <w:pPr>
      <w:spacing w:before="100" w:beforeAutospacing="1" w:after="100" w:afterAutospacing="1"/>
      <w:ind w:left="0" w:firstLine="0"/>
    </w:pPr>
    <w:rPr>
      <w:rFonts w:ascii="Times New Roman" w:hAnsi="Times New Roman"/>
      <w:sz w:val="24"/>
      <w:szCs w:val="24"/>
      <w:lang w:bidi="ar-SA"/>
    </w:rPr>
  </w:style>
  <w:style w:type="character" w:customStyle="1" w:styleId="NoSpacingChar">
    <w:name w:val="No Spacing Char"/>
    <w:basedOn w:val="DefaultParagraphFont"/>
    <w:link w:val="NoSpacing"/>
    <w:uiPriority w:val="1"/>
    <w:rsid w:val="00A045F7"/>
    <w:rPr>
      <w:rFonts w:ascii="Adobe Garamond Pro" w:hAnsi="Adobe Garamond Pro"/>
      <w:szCs w:val="22"/>
      <w:lang w:bidi="en-US"/>
    </w:rPr>
  </w:style>
  <w:style w:type="paragraph" w:customStyle="1" w:styleId="NLItem">
    <w:name w:val="NL Item"/>
    <w:rsid w:val="006001B4"/>
    <w:pPr>
      <w:numPr>
        <w:ilvl w:val="1"/>
        <w:numId w:val="3"/>
      </w:numPr>
      <w:spacing w:before="120" w:after="0"/>
    </w:pPr>
    <w:rPr>
      <w:rFonts w:ascii="Times New Roman" w:hAnsi="Times New Roman"/>
      <w:sz w:val="24"/>
      <w:szCs w:val="24"/>
    </w:rPr>
  </w:style>
  <w:style w:type="paragraph" w:customStyle="1" w:styleId="NLBegin">
    <w:name w:val="NL Begin"/>
    <w:next w:val="NLItem"/>
    <w:rsid w:val="006001B4"/>
    <w:pPr>
      <w:numPr>
        <w:numId w:val="3"/>
      </w:numPr>
      <w:spacing w:after="0" w:line="80" w:lineRule="exact"/>
    </w:pPr>
    <w:rPr>
      <w:rFonts w:ascii="Times New Roman" w:hAnsi="Times New Roman"/>
      <w:color w:val="FFFFFF"/>
      <w:szCs w:val="24"/>
    </w:rPr>
  </w:style>
  <w:style w:type="paragraph" w:customStyle="1" w:styleId="Appendix">
    <w:name w:val="Appendix"/>
    <w:basedOn w:val="Heading7"/>
    <w:link w:val="AppendixChar"/>
    <w:qFormat/>
    <w:rsid w:val="00521C48"/>
    <w:pPr>
      <w:keepNext/>
      <w:spacing w:before="240" w:after="60"/>
      <w:ind w:left="0" w:firstLine="0"/>
    </w:pPr>
    <w:rPr>
      <w:rFonts w:asciiTheme="minorHAnsi" w:hAnsiTheme="minorHAnsi"/>
      <w:b/>
      <w:i w:val="0"/>
      <w:color w:val="005C42"/>
      <w:sz w:val="32"/>
      <w:szCs w:val="32"/>
      <w:lang w:bidi="ar-SA"/>
    </w:rPr>
  </w:style>
  <w:style w:type="character" w:customStyle="1" w:styleId="AppendixChar">
    <w:name w:val="Appendix Char"/>
    <w:basedOn w:val="Heading7Char"/>
    <w:link w:val="Appendix"/>
    <w:rsid w:val="00521C48"/>
    <w:rPr>
      <w:rFonts w:asciiTheme="minorHAnsi" w:eastAsia="Times New Roman" w:hAnsiTheme="minorHAnsi" w:cs="Times New Roman"/>
      <w:b/>
      <w:i w:val="0"/>
      <w:iCs/>
      <w:color w:val="005C42"/>
      <w:sz w:val="32"/>
      <w:szCs w:val="32"/>
    </w:rPr>
  </w:style>
  <w:style w:type="paragraph" w:customStyle="1" w:styleId="A1AppendixI">
    <w:name w:val="A1 Appendix I"/>
    <w:uiPriority w:val="99"/>
    <w:rsid w:val="00A429B2"/>
    <w:pPr>
      <w:numPr>
        <w:numId w:val="5"/>
      </w:numPr>
      <w:spacing w:after="200" w:line="276" w:lineRule="auto"/>
    </w:pPr>
    <w:rPr>
      <w:rFonts w:ascii="Cambria" w:hAnsi="Cambria"/>
      <w:b/>
      <w:bCs/>
      <w:iCs/>
      <w:sz w:val="32"/>
      <w:szCs w:val="28"/>
    </w:rPr>
  </w:style>
  <w:style w:type="paragraph" w:customStyle="1" w:styleId="A2AppendixII">
    <w:name w:val="A2 Appendix II"/>
    <w:uiPriority w:val="99"/>
    <w:rsid w:val="00A429B2"/>
    <w:pPr>
      <w:numPr>
        <w:ilvl w:val="1"/>
        <w:numId w:val="5"/>
      </w:numPr>
      <w:spacing w:after="200" w:line="276" w:lineRule="auto"/>
    </w:pPr>
    <w:rPr>
      <w:rFonts w:ascii="Cambria" w:hAnsi="Cambria"/>
      <w:b/>
      <w:bCs/>
      <w:iCs/>
      <w:sz w:val="28"/>
      <w:szCs w:val="28"/>
    </w:rPr>
  </w:style>
  <w:style w:type="paragraph" w:customStyle="1" w:styleId="A3AppendixIII">
    <w:name w:val="A3 Appendix III"/>
    <w:uiPriority w:val="99"/>
    <w:rsid w:val="00A429B2"/>
    <w:pPr>
      <w:numPr>
        <w:ilvl w:val="2"/>
        <w:numId w:val="5"/>
      </w:numPr>
      <w:spacing w:after="200" w:line="276" w:lineRule="auto"/>
    </w:pPr>
    <w:rPr>
      <w:rFonts w:ascii="Cambria" w:hAnsi="Cambria"/>
      <w:b/>
      <w:bCs/>
      <w:iCs/>
      <w:sz w:val="24"/>
      <w:szCs w:val="28"/>
    </w:rPr>
  </w:style>
  <w:style w:type="paragraph" w:customStyle="1" w:styleId="A4AppendixIV">
    <w:name w:val="A4 Appendix IV"/>
    <w:uiPriority w:val="99"/>
    <w:rsid w:val="00A429B2"/>
    <w:pPr>
      <w:numPr>
        <w:ilvl w:val="3"/>
        <w:numId w:val="5"/>
      </w:numPr>
      <w:spacing w:after="200" w:line="276" w:lineRule="auto"/>
    </w:pPr>
    <w:rPr>
      <w:rFonts w:ascii="Cambria" w:hAnsi="Cambria"/>
      <w:b/>
      <w:bCs/>
      <w:iCs/>
      <w:sz w:val="24"/>
      <w:szCs w:val="28"/>
    </w:rPr>
  </w:style>
  <w:style w:type="paragraph" w:customStyle="1" w:styleId="A5AppendixListLevel1">
    <w:name w:val="A5 Appendix List Level 1"/>
    <w:uiPriority w:val="99"/>
    <w:rsid w:val="00A429B2"/>
    <w:pPr>
      <w:numPr>
        <w:ilvl w:val="4"/>
        <w:numId w:val="5"/>
      </w:numPr>
      <w:spacing w:after="200" w:line="276" w:lineRule="auto"/>
      <w:jc w:val="both"/>
    </w:pPr>
    <w:rPr>
      <w:rFonts w:ascii="Cambria" w:hAnsi="Cambria"/>
      <w:bCs/>
      <w:iCs/>
      <w:szCs w:val="28"/>
    </w:rPr>
  </w:style>
  <w:style w:type="paragraph" w:customStyle="1" w:styleId="A6AppendixListLevel2">
    <w:name w:val="A6 Appendix List Level 2"/>
    <w:uiPriority w:val="99"/>
    <w:rsid w:val="00A429B2"/>
    <w:pPr>
      <w:numPr>
        <w:ilvl w:val="5"/>
        <w:numId w:val="5"/>
      </w:numPr>
      <w:spacing w:after="200" w:line="276" w:lineRule="auto"/>
      <w:jc w:val="both"/>
    </w:pPr>
    <w:rPr>
      <w:rFonts w:ascii="Cambria" w:hAnsi="Cambria"/>
      <w:bCs/>
      <w:iCs/>
      <w:szCs w:val="28"/>
    </w:rPr>
  </w:style>
  <w:style w:type="paragraph" w:customStyle="1" w:styleId="A8Appendix-Caption-Figure">
    <w:name w:val="A8 Appendix - Caption - Figure"/>
    <w:uiPriority w:val="99"/>
    <w:rsid w:val="00A429B2"/>
    <w:pPr>
      <w:numPr>
        <w:ilvl w:val="8"/>
        <w:numId w:val="5"/>
      </w:numPr>
      <w:spacing w:after="200" w:line="276" w:lineRule="auto"/>
      <w:ind w:left="0" w:firstLine="0"/>
      <w:jc w:val="center"/>
    </w:pPr>
    <w:rPr>
      <w:rFonts w:ascii="Cambria" w:eastAsia="Calibri" w:hAnsi="Cambria"/>
      <w:b/>
      <w:color w:val="1F497D"/>
      <w:sz w:val="18"/>
      <w:szCs w:val="22"/>
    </w:rPr>
  </w:style>
  <w:style w:type="paragraph" w:customStyle="1" w:styleId="A7Appendix-Caption-Table">
    <w:name w:val="A7 Appendix - Caption - Table"/>
    <w:uiPriority w:val="99"/>
    <w:rsid w:val="00A429B2"/>
    <w:pPr>
      <w:numPr>
        <w:ilvl w:val="7"/>
        <w:numId w:val="5"/>
      </w:numPr>
      <w:spacing w:after="200" w:line="276" w:lineRule="auto"/>
      <w:ind w:left="0" w:firstLine="0"/>
      <w:jc w:val="center"/>
    </w:pPr>
    <w:rPr>
      <w:rFonts w:ascii="Cambria" w:hAnsi="Cambria"/>
      <w:b/>
      <w:bCs/>
      <w:iCs/>
      <w:color w:val="1F497D"/>
      <w:sz w:val="18"/>
      <w:szCs w:val="28"/>
    </w:rPr>
  </w:style>
  <w:style w:type="numbering" w:customStyle="1" w:styleId="RNAAppendixList">
    <w:name w:val="RNA Appendix List"/>
    <w:rsid w:val="00A429B2"/>
    <w:pPr>
      <w:numPr>
        <w:numId w:val="4"/>
      </w:numPr>
    </w:pPr>
  </w:style>
  <w:style w:type="paragraph" w:customStyle="1" w:styleId="figure0">
    <w:name w:val="figure"/>
    <w:basedOn w:val="bodytext0"/>
    <w:next w:val="bodytext0"/>
    <w:link w:val="figureChar0"/>
    <w:rsid w:val="00B175DB"/>
    <w:pPr>
      <w:keepNext w:val="0"/>
      <w:spacing w:before="120" w:after="0"/>
      <w:ind w:left="0" w:firstLine="0"/>
    </w:pPr>
    <w:rPr>
      <w:rFonts w:ascii="Times New Roman" w:hAnsi="Times New Roman"/>
    </w:rPr>
  </w:style>
  <w:style w:type="character" w:customStyle="1" w:styleId="figureChar0">
    <w:name w:val="figure Char"/>
    <w:basedOn w:val="DefaultParagraphFont"/>
    <w:link w:val="figure0"/>
    <w:rsid w:val="00B175DB"/>
    <w:rPr>
      <w:rFonts w:ascii="Times New Roman" w:hAnsi="Times New Roman"/>
      <w:sz w:val="24"/>
      <w:szCs w:val="24"/>
    </w:rPr>
  </w:style>
  <w:style w:type="paragraph" w:customStyle="1" w:styleId="BodyTextSubLevels">
    <w:name w:val="Body Text Sub Levels"/>
    <w:rsid w:val="00533A77"/>
    <w:pPr>
      <w:spacing w:before="120" w:after="0"/>
      <w:ind w:left="504" w:firstLine="0"/>
    </w:pPr>
    <w:rPr>
      <w:rFonts w:ascii="Times New Roman" w:hAnsi="Times New Roman"/>
      <w:sz w:val="24"/>
      <w:szCs w:val="24"/>
    </w:rPr>
  </w:style>
  <w:style w:type="paragraph" w:customStyle="1" w:styleId="BodyText1">
    <w:name w:val="Body Text1"/>
    <w:basedOn w:val="Normal"/>
    <w:link w:val="bodytextChar1"/>
    <w:qFormat/>
    <w:rsid w:val="00D76AAB"/>
    <w:pPr>
      <w:spacing w:after="160" w:line="276" w:lineRule="auto"/>
      <w:ind w:left="0" w:firstLine="360"/>
    </w:pPr>
    <w:rPr>
      <w:rFonts w:ascii="Cambria" w:eastAsiaTheme="minorHAnsi" w:hAnsi="Cambria" w:cstheme="minorHAnsi"/>
      <w:sz w:val="22"/>
      <w:lang w:bidi="ar-SA"/>
    </w:rPr>
  </w:style>
  <w:style w:type="character" w:customStyle="1" w:styleId="bodytextChar1">
    <w:name w:val="body text Char"/>
    <w:basedOn w:val="DefaultParagraphFont"/>
    <w:link w:val="BodyText1"/>
    <w:rsid w:val="00D76AAB"/>
    <w:rPr>
      <w:rFonts w:ascii="Cambria" w:eastAsiaTheme="minorHAnsi" w:hAnsi="Cambria" w:cstheme="minorHAnsi"/>
      <w:sz w:val="22"/>
      <w:szCs w:val="22"/>
    </w:rPr>
  </w:style>
  <w:style w:type="paragraph" w:customStyle="1" w:styleId="SquareBulletstyle">
    <w:name w:val="Square Bullet style"/>
    <w:basedOn w:val="BodyText"/>
    <w:link w:val="SquareBulletstyleChar"/>
    <w:qFormat/>
    <w:rsid w:val="0059004C"/>
    <w:pPr>
      <w:numPr>
        <w:numId w:val="17"/>
      </w:numPr>
      <w:spacing w:line="240" w:lineRule="auto"/>
      <w:jc w:val="left"/>
    </w:pPr>
  </w:style>
  <w:style w:type="character" w:customStyle="1" w:styleId="SquareBulletstyleChar">
    <w:name w:val="Square Bullet style Char"/>
    <w:link w:val="SquareBulletstyle"/>
    <w:rsid w:val="0059004C"/>
    <w:rPr>
      <w:rFonts w:ascii="Cambria" w:eastAsia="Arial Narrow" w:hAnsi="Cambria"/>
      <w:bCs/>
      <w:sz w:val="22"/>
      <w:szCs w:val="22"/>
    </w:rPr>
  </w:style>
  <w:style w:type="paragraph" w:customStyle="1" w:styleId="Default">
    <w:name w:val="Default"/>
    <w:rsid w:val="006A33E3"/>
    <w:pPr>
      <w:autoSpaceDE w:val="0"/>
      <w:autoSpaceDN w:val="0"/>
      <w:adjustRightInd w:val="0"/>
      <w:spacing w:after="0"/>
      <w:ind w:left="0" w:firstLine="0"/>
    </w:pPr>
    <w:rPr>
      <w:rFonts w:ascii="Cambria" w:hAnsi="Cambria" w:cs="Cambria"/>
      <w:color w:val="000000"/>
      <w:sz w:val="24"/>
      <w:szCs w:val="24"/>
    </w:rPr>
  </w:style>
  <w:style w:type="paragraph" w:customStyle="1" w:styleId="Numberedlist">
    <w:name w:val="Numbered list"/>
    <w:basedOn w:val="SquareBulletstyle"/>
    <w:link w:val="NumberedlistChar"/>
    <w:qFormat/>
    <w:rsid w:val="00787D25"/>
    <w:pPr>
      <w:numPr>
        <w:numId w:val="0"/>
      </w:numPr>
      <w:tabs>
        <w:tab w:val="num" w:pos="720"/>
      </w:tabs>
      <w:ind w:left="1512" w:hanging="720"/>
    </w:pPr>
  </w:style>
  <w:style w:type="character" w:customStyle="1" w:styleId="NumberedlistChar">
    <w:name w:val="Numbered list Char"/>
    <w:basedOn w:val="SquareBulletstyleChar"/>
    <w:link w:val="Numberedlist"/>
    <w:rsid w:val="00787D25"/>
    <w:rPr>
      <w:rFonts w:ascii="Cambria" w:eastAsia="Arial Narrow" w:hAnsi="Cambria"/>
      <w:bCs/>
      <w:sz w:val="22"/>
      <w:szCs w:val="22"/>
    </w:rPr>
  </w:style>
  <w:style w:type="paragraph" w:customStyle="1" w:styleId="Blackcirclebullet">
    <w:name w:val="Black circle bullet"/>
    <w:basedOn w:val="BodyText"/>
    <w:link w:val="BlackcirclebulletChar"/>
    <w:qFormat/>
    <w:rsid w:val="00787D25"/>
    <w:pPr>
      <w:numPr>
        <w:ilvl w:val="1"/>
        <w:numId w:val="33"/>
      </w:numPr>
      <w:jc w:val="left"/>
    </w:pPr>
  </w:style>
  <w:style w:type="character" w:customStyle="1" w:styleId="BlackcirclebulletChar">
    <w:name w:val="Black circle bullet Char"/>
    <w:basedOn w:val="BodyTextChar"/>
    <w:link w:val="Blackcirclebullet"/>
    <w:rsid w:val="00787D25"/>
    <w:rPr>
      <w:rFonts w:ascii="Cambria" w:eastAsia="Arial Narrow" w:hAnsi="Cambria"/>
      <w:bCs/>
      <w:sz w:val="22"/>
      <w:szCs w:val="22"/>
    </w:rPr>
  </w:style>
  <w:style w:type="paragraph" w:customStyle="1" w:styleId="Opencirclebullet">
    <w:name w:val="Open circle bullet"/>
    <w:basedOn w:val="BodyText"/>
    <w:link w:val="OpencirclebulletChar"/>
    <w:qFormat/>
    <w:rsid w:val="00787D25"/>
    <w:pPr>
      <w:numPr>
        <w:ilvl w:val="2"/>
        <w:numId w:val="33"/>
      </w:numPr>
      <w:jc w:val="left"/>
    </w:pPr>
  </w:style>
  <w:style w:type="character" w:customStyle="1" w:styleId="OpencirclebulletChar">
    <w:name w:val="Open circle bullet Char"/>
    <w:basedOn w:val="BodyTextChar"/>
    <w:link w:val="Opencirclebullet"/>
    <w:rsid w:val="00787D25"/>
    <w:rPr>
      <w:rFonts w:ascii="Cambria" w:eastAsia="Arial Narrow" w:hAnsi="Cambria"/>
      <w:bCs/>
      <w:sz w:val="22"/>
      <w:szCs w:val="22"/>
    </w:rPr>
  </w:style>
  <w:style w:type="paragraph" w:customStyle="1" w:styleId="greysquarebullet">
    <w:name w:val="grey square bullet"/>
    <w:basedOn w:val="BodyText"/>
    <w:link w:val="greysquarebulletChar"/>
    <w:qFormat/>
    <w:rsid w:val="00787D25"/>
    <w:pPr>
      <w:numPr>
        <w:ilvl w:val="3"/>
        <w:numId w:val="33"/>
      </w:numPr>
      <w:jc w:val="left"/>
    </w:pPr>
  </w:style>
  <w:style w:type="character" w:customStyle="1" w:styleId="greysquarebulletChar">
    <w:name w:val="grey square bullet Char"/>
    <w:basedOn w:val="BodyTextChar"/>
    <w:link w:val="greysquarebullet"/>
    <w:rsid w:val="00787D25"/>
    <w:rPr>
      <w:rFonts w:ascii="Cambria" w:eastAsia="Arial Narrow" w:hAnsi="Cambria"/>
      <w:bCs/>
      <w:sz w:val="22"/>
      <w:szCs w:val="22"/>
    </w:rPr>
  </w:style>
  <w:style w:type="paragraph" w:customStyle="1" w:styleId="Greycirclebullet">
    <w:name w:val="Grey circle bullet"/>
    <w:basedOn w:val="BodyText"/>
    <w:link w:val="GreycirclebulletChar"/>
    <w:qFormat/>
    <w:rsid w:val="00787D25"/>
    <w:pPr>
      <w:tabs>
        <w:tab w:val="num" w:pos="3600"/>
      </w:tabs>
      <w:ind w:left="4032" w:hanging="360"/>
      <w:jc w:val="left"/>
    </w:pPr>
  </w:style>
  <w:style w:type="character" w:customStyle="1" w:styleId="GreycirclebulletChar">
    <w:name w:val="Grey circle bullet Char"/>
    <w:basedOn w:val="BodyTextChar"/>
    <w:link w:val="Greycirclebullet"/>
    <w:rsid w:val="00787D25"/>
    <w:rPr>
      <w:rFonts w:ascii="Cambria" w:eastAsia="Arial Narrow" w:hAnsi="Cambria"/>
      <w:bCs/>
      <w:sz w:val="22"/>
      <w:szCs w:val="22"/>
    </w:rPr>
  </w:style>
  <w:style w:type="paragraph" w:customStyle="1" w:styleId="Figuretitle">
    <w:name w:val="Figure title"/>
    <w:basedOn w:val="BodyText"/>
    <w:link w:val="FiguretitleChar"/>
    <w:qFormat/>
    <w:rsid w:val="00787D25"/>
    <w:pPr>
      <w:ind w:firstLine="360"/>
      <w:jc w:val="left"/>
    </w:pPr>
    <w:rPr>
      <w:rFonts w:ascii="Franklin Gothic Demi" w:hAnsi="Franklin Gothic Demi"/>
    </w:rPr>
  </w:style>
  <w:style w:type="character" w:customStyle="1" w:styleId="FiguretitleChar">
    <w:name w:val="Figure title Char"/>
    <w:link w:val="Figuretitle"/>
    <w:rsid w:val="00787D25"/>
    <w:rPr>
      <w:rFonts w:ascii="Franklin Gothic Demi" w:eastAsia="Arial Narrow" w:hAnsi="Franklin Gothic Demi"/>
      <w:bCs/>
      <w:sz w:val="22"/>
      <w:szCs w:val="22"/>
    </w:rPr>
  </w:style>
  <w:style w:type="paragraph" w:customStyle="1" w:styleId="Charttitles">
    <w:name w:val="Chart titles"/>
    <w:basedOn w:val="BodyText"/>
    <w:link w:val="CharttitlesChar"/>
    <w:qFormat/>
    <w:rsid w:val="00787D25"/>
    <w:pPr>
      <w:spacing w:line="240" w:lineRule="auto"/>
      <w:ind w:firstLine="360"/>
      <w:jc w:val="center"/>
    </w:pPr>
    <w:rPr>
      <w:rFonts w:ascii="Franklin Gothic Demi Cond" w:hAnsi="Franklin Gothic Demi Cond"/>
      <w:color w:val="FFFFFF"/>
    </w:rPr>
  </w:style>
  <w:style w:type="character" w:customStyle="1" w:styleId="CharttitlesChar">
    <w:name w:val="Chart titles Char"/>
    <w:link w:val="Charttitles"/>
    <w:rsid w:val="00787D25"/>
    <w:rPr>
      <w:rFonts w:ascii="Franklin Gothic Demi Cond" w:eastAsia="Arial Narrow" w:hAnsi="Franklin Gothic Demi Cond"/>
      <w:bCs/>
      <w:color w:val="FFFFFF"/>
      <w:sz w:val="22"/>
      <w:szCs w:val="22"/>
    </w:rPr>
  </w:style>
  <w:style w:type="paragraph" w:customStyle="1" w:styleId="Charttext">
    <w:name w:val="Chart text"/>
    <w:basedOn w:val="BodyText"/>
    <w:link w:val="CharttextChar"/>
    <w:qFormat/>
    <w:rsid w:val="00787D25"/>
    <w:pPr>
      <w:ind w:firstLine="360"/>
      <w:jc w:val="left"/>
    </w:pPr>
    <w:rPr>
      <w:rFonts w:ascii="Franklin Gothic Book" w:hAnsi="Franklin Gothic Book"/>
    </w:rPr>
  </w:style>
  <w:style w:type="character" w:customStyle="1" w:styleId="CharttextChar">
    <w:name w:val="Chart text Char"/>
    <w:link w:val="Charttext"/>
    <w:rsid w:val="00787D25"/>
    <w:rPr>
      <w:rFonts w:ascii="Franklin Gothic Book" w:eastAsia="Arial Narrow" w:hAnsi="Franklin Gothic Book"/>
      <w:bCs/>
      <w:sz w:val="22"/>
      <w:szCs w:val="22"/>
    </w:rPr>
  </w:style>
  <w:style w:type="paragraph" w:customStyle="1" w:styleId="Captiontext">
    <w:name w:val="Caption text"/>
    <w:basedOn w:val="BodyText"/>
    <w:link w:val="CaptiontextChar"/>
    <w:qFormat/>
    <w:rsid w:val="00787D25"/>
    <w:pPr>
      <w:ind w:firstLine="360"/>
      <w:jc w:val="left"/>
    </w:pPr>
    <w:rPr>
      <w:rFonts w:ascii="Franklin Gothic Book" w:hAnsi="Franklin Gothic Book"/>
      <w:sz w:val="16"/>
      <w:szCs w:val="16"/>
    </w:rPr>
  </w:style>
  <w:style w:type="character" w:customStyle="1" w:styleId="CaptiontextChar">
    <w:name w:val="Caption text Char"/>
    <w:link w:val="Captiontext"/>
    <w:rsid w:val="00787D25"/>
    <w:rPr>
      <w:rFonts w:ascii="Franklin Gothic Book" w:eastAsia="Arial Narrow" w:hAnsi="Franklin Gothic Book"/>
      <w:bCs/>
      <w:sz w:val="16"/>
      <w:szCs w:val="16"/>
    </w:rPr>
  </w:style>
  <w:style w:type="paragraph" w:customStyle="1" w:styleId="Figures">
    <w:name w:val="Figures"/>
    <w:basedOn w:val="Normal"/>
    <w:link w:val="FiguresChar"/>
    <w:qFormat/>
    <w:rsid w:val="00787D25"/>
    <w:pPr>
      <w:spacing w:after="160" w:line="259" w:lineRule="auto"/>
      <w:ind w:left="0" w:firstLine="0"/>
    </w:pPr>
    <w:rPr>
      <w:rFonts w:ascii="Times New Roman" w:eastAsiaTheme="minorHAnsi" w:hAnsi="Times New Roman"/>
      <w:i/>
      <w:sz w:val="22"/>
      <w:lang w:bidi="ar-SA"/>
    </w:rPr>
  </w:style>
  <w:style w:type="character" w:customStyle="1" w:styleId="FiguresChar">
    <w:name w:val="Figures Char"/>
    <w:basedOn w:val="DefaultParagraphFont"/>
    <w:link w:val="Figures"/>
    <w:rsid w:val="00787D25"/>
    <w:rPr>
      <w:rFonts w:ascii="Times New Roman" w:eastAsiaTheme="minorHAnsi" w:hAnsi="Times New Roman"/>
      <w:i/>
      <w:sz w:val="22"/>
      <w:szCs w:val="22"/>
    </w:rPr>
  </w:style>
  <w:style w:type="character" w:styleId="PlaceholderText">
    <w:name w:val="Placeholder Text"/>
    <w:basedOn w:val="DefaultParagraphFont"/>
    <w:uiPriority w:val="99"/>
    <w:semiHidden/>
    <w:rsid w:val="00787D25"/>
    <w:rPr>
      <w:color w:val="808080"/>
    </w:rPr>
  </w:style>
  <w:style w:type="paragraph" w:customStyle="1" w:styleId="msonormal0">
    <w:name w:val="msonormal"/>
    <w:basedOn w:val="Normal"/>
    <w:rsid w:val="00787D25"/>
    <w:pPr>
      <w:spacing w:before="100" w:beforeAutospacing="1" w:after="100" w:afterAutospacing="1"/>
      <w:ind w:left="0" w:firstLine="0"/>
    </w:pPr>
    <w:rPr>
      <w:rFonts w:ascii="Times New Roman" w:hAnsi="Times New Roman"/>
      <w:sz w:val="24"/>
      <w:szCs w:val="24"/>
      <w:lang w:bidi="ar-SA"/>
    </w:rPr>
  </w:style>
  <w:style w:type="paragraph" w:customStyle="1" w:styleId="xl65">
    <w:name w:val="xl65"/>
    <w:basedOn w:val="Normal"/>
    <w:rsid w:val="00787D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top"/>
    </w:pPr>
    <w:rPr>
      <w:rFonts w:ascii="Times New Roman" w:hAnsi="Times New Roman"/>
      <w:b/>
      <w:bCs/>
      <w:sz w:val="24"/>
      <w:szCs w:val="24"/>
      <w:lang w:bidi="ar-SA"/>
    </w:rPr>
  </w:style>
  <w:style w:type="paragraph" w:customStyle="1" w:styleId="xl66">
    <w:name w:val="xl66"/>
    <w:basedOn w:val="Normal"/>
    <w:rsid w:val="00787D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top"/>
    </w:pPr>
    <w:rPr>
      <w:rFonts w:ascii="Times New Roman" w:hAnsi="Times New Roman"/>
      <w:b/>
      <w:bCs/>
      <w:sz w:val="24"/>
      <w:szCs w:val="24"/>
      <w:lang w:bidi="ar-SA"/>
    </w:rPr>
  </w:style>
  <w:style w:type="paragraph" w:customStyle="1" w:styleId="xl63">
    <w:name w:val="xl63"/>
    <w:basedOn w:val="Normal"/>
    <w:rsid w:val="00787D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top"/>
    </w:pPr>
    <w:rPr>
      <w:rFonts w:ascii="Times New Roman" w:hAnsi="Times New Roman"/>
      <w:b/>
      <w:bCs/>
      <w:sz w:val="24"/>
      <w:szCs w:val="24"/>
      <w:lang w:bidi="ar-SA"/>
    </w:rPr>
  </w:style>
  <w:style w:type="paragraph" w:customStyle="1" w:styleId="xl64">
    <w:name w:val="xl64"/>
    <w:basedOn w:val="Normal"/>
    <w:rsid w:val="00787D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top"/>
    </w:pPr>
    <w:rPr>
      <w:rFonts w:ascii="Times New Roman" w:hAnsi="Times New Roman"/>
      <w:b/>
      <w:bCs/>
      <w:sz w:val="24"/>
      <w:szCs w:val="24"/>
      <w:lang w:bidi="ar-SA"/>
    </w:rPr>
  </w:style>
  <w:style w:type="character" w:customStyle="1" w:styleId="markedcontent">
    <w:name w:val="markedcontent"/>
    <w:basedOn w:val="DefaultParagraphFont"/>
    <w:rsid w:val="00787D25"/>
  </w:style>
  <w:style w:type="paragraph" w:customStyle="1" w:styleId="xl67">
    <w:name w:val="xl67"/>
    <w:basedOn w:val="Normal"/>
    <w:rsid w:val="00787D25"/>
    <w:pPr>
      <w:pBdr>
        <w:bottom w:val="single" w:sz="8" w:space="0" w:color="auto"/>
        <w:right w:val="single" w:sz="8" w:space="0" w:color="auto"/>
      </w:pBdr>
      <w:spacing w:before="100" w:beforeAutospacing="1" w:after="100" w:afterAutospacing="1"/>
      <w:ind w:left="0" w:firstLine="0"/>
      <w:jc w:val="center"/>
      <w:textAlignment w:val="center"/>
    </w:pPr>
    <w:rPr>
      <w:rFonts w:ascii="Times New Roman" w:hAnsi="Times New Roman"/>
      <w:color w:val="000000"/>
      <w:sz w:val="24"/>
      <w:szCs w:val="24"/>
      <w:lang w:bidi="ar-SA"/>
    </w:rPr>
  </w:style>
  <w:style w:type="paragraph" w:customStyle="1" w:styleId="xl68">
    <w:name w:val="xl68"/>
    <w:basedOn w:val="Normal"/>
    <w:rsid w:val="00787D25"/>
    <w:pPr>
      <w:pBdr>
        <w:top w:val="single" w:sz="8" w:space="0" w:color="auto"/>
        <w:left w:val="single" w:sz="8" w:space="0" w:color="auto"/>
        <w:right w:val="single" w:sz="8" w:space="0" w:color="auto"/>
      </w:pBdr>
      <w:shd w:val="clear" w:color="000000" w:fill="BDD7EE"/>
      <w:spacing w:before="100" w:beforeAutospacing="1" w:after="100" w:afterAutospacing="1"/>
      <w:ind w:left="0" w:firstLine="0"/>
      <w:jc w:val="center"/>
      <w:textAlignment w:val="center"/>
    </w:pPr>
    <w:rPr>
      <w:rFonts w:ascii="Times New Roman" w:hAnsi="Times New Roman"/>
      <w:b/>
      <w:bCs/>
      <w:color w:val="000000"/>
      <w:sz w:val="24"/>
      <w:szCs w:val="24"/>
      <w:lang w:bidi="ar-SA"/>
    </w:rPr>
  </w:style>
  <w:style w:type="paragraph" w:customStyle="1" w:styleId="xl69">
    <w:name w:val="xl69"/>
    <w:basedOn w:val="Normal"/>
    <w:rsid w:val="00787D25"/>
    <w:pPr>
      <w:pBdr>
        <w:left w:val="single" w:sz="8" w:space="0" w:color="auto"/>
        <w:bottom w:val="single" w:sz="8" w:space="0" w:color="auto"/>
        <w:right w:val="single" w:sz="8" w:space="0" w:color="auto"/>
      </w:pBdr>
      <w:shd w:val="clear" w:color="000000" w:fill="BDD7EE"/>
      <w:spacing w:before="100" w:beforeAutospacing="1" w:after="100" w:afterAutospacing="1"/>
      <w:ind w:left="0" w:firstLine="0"/>
      <w:jc w:val="center"/>
      <w:textAlignment w:val="center"/>
    </w:pPr>
    <w:rPr>
      <w:rFonts w:ascii="Times New Roman" w:hAnsi="Times New Roman"/>
      <w:b/>
      <w:bCs/>
      <w:color w:val="000000"/>
      <w:sz w:val="24"/>
      <w:szCs w:val="24"/>
      <w:lang w:bidi="ar-SA"/>
    </w:rPr>
  </w:style>
  <w:style w:type="paragraph" w:customStyle="1" w:styleId="xl70">
    <w:name w:val="xl70"/>
    <w:basedOn w:val="Normal"/>
    <w:rsid w:val="00787D25"/>
    <w:pPr>
      <w:pBdr>
        <w:top w:val="single" w:sz="8" w:space="0" w:color="auto"/>
        <w:left w:val="single" w:sz="8" w:space="0" w:color="auto"/>
        <w:right w:val="single" w:sz="8" w:space="0" w:color="auto"/>
      </w:pBdr>
      <w:shd w:val="clear" w:color="000000" w:fill="BDD7EE"/>
      <w:spacing w:before="100" w:beforeAutospacing="1" w:after="100" w:afterAutospacing="1"/>
      <w:ind w:left="0" w:firstLine="0"/>
      <w:jc w:val="center"/>
      <w:textAlignment w:val="center"/>
    </w:pPr>
    <w:rPr>
      <w:rFonts w:ascii="Times New Roman" w:hAnsi="Times New Roman"/>
      <w:b/>
      <w:bCs/>
      <w:color w:val="000000"/>
      <w:sz w:val="24"/>
      <w:szCs w:val="24"/>
      <w:lang w:bidi="ar-SA"/>
    </w:rPr>
  </w:style>
  <w:style w:type="paragraph" w:customStyle="1" w:styleId="xl71">
    <w:name w:val="xl71"/>
    <w:basedOn w:val="Normal"/>
    <w:rsid w:val="00787D25"/>
    <w:pPr>
      <w:pBdr>
        <w:left w:val="single" w:sz="8" w:space="0" w:color="auto"/>
        <w:bottom w:val="single" w:sz="8" w:space="0" w:color="auto"/>
        <w:right w:val="single" w:sz="8" w:space="0" w:color="auto"/>
      </w:pBdr>
      <w:shd w:val="clear" w:color="000000" w:fill="BDD7EE"/>
      <w:spacing w:before="100" w:beforeAutospacing="1" w:after="100" w:afterAutospacing="1"/>
      <w:ind w:left="0" w:firstLine="0"/>
      <w:jc w:val="center"/>
      <w:textAlignment w:val="center"/>
    </w:pPr>
    <w:rPr>
      <w:rFonts w:ascii="Times New Roman" w:hAnsi="Times New Roman"/>
      <w:b/>
      <w:bCs/>
      <w:color w:val="000000"/>
      <w:sz w:val="24"/>
      <w:szCs w:val="24"/>
      <w:lang w:bidi="ar-SA"/>
    </w:rPr>
  </w:style>
  <w:style w:type="paragraph" w:customStyle="1" w:styleId="xl72">
    <w:name w:val="xl72"/>
    <w:basedOn w:val="Normal"/>
    <w:rsid w:val="00787D25"/>
    <w:pPr>
      <w:pBdr>
        <w:top w:val="single" w:sz="8" w:space="0" w:color="auto"/>
        <w:bottom w:val="single" w:sz="8" w:space="0" w:color="auto"/>
      </w:pBdr>
      <w:shd w:val="clear" w:color="000000" w:fill="BDD7EE"/>
      <w:spacing w:before="100" w:beforeAutospacing="1" w:after="100" w:afterAutospacing="1"/>
      <w:ind w:left="0" w:firstLine="0"/>
      <w:jc w:val="center"/>
      <w:textAlignment w:val="center"/>
    </w:pPr>
    <w:rPr>
      <w:rFonts w:ascii="Times New Roman" w:hAnsi="Times New Roman"/>
      <w:b/>
      <w:bCs/>
      <w:color w:val="000000"/>
      <w:sz w:val="24"/>
      <w:szCs w:val="24"/>
      <w:lang w:bidi="ar-SA"/>
    </w:rPr>
  </w:style>
  <w:style w:type="paragraph" w:customStyle="1" w:styleId="xl73">
    <w:name w:val="xl73"/>
    <w:basedOn w:val="Normal"/>
    <w:rsid w:val="00787D25"/>
    <w:pPr>
      <w:pBdr>
        <w:top w:val="single" w:sz="8" w:space="0" w:color="auto"/>
        <w:left w:val="single" w:sz="8" w:space="0" w:color="auto"/>
        <w:bottom w:val="single" w:sz="8" w:space="0" w:color="auto"/>
      </w:pBdr>
      <w:shd w:val="clear" w:color="000000" w:fill="BDD7EE"/>
      <w:spacing w:before="100" w:beforeAutospacing="1" w:after="100" w:afterAutospacing="1"/>
      <w:ind w:left="0" w:firstLine="0"/>
      <w:jc w:val="center"/>
      <w:textAlignment w:val="center"/>
    </w:pPr>
    <w:rPr>
      <w:rFonts w:ascii="Times New Roman" w:hAnsi="Times New Roman"/>
      <w:b/>
      <w:bCs/>
      <w:color w:val="000000"/>
      <w:sz w:val="24"/>
      <w:szCs w:val="24"/>
      <w:lang w:bidi="ar-SA"/>
    </w:rPr>
  </w:style>
  <w:style w:type="paragraph" w:customStyle="1" w:styleId="xl74">
    <w:name w:val="xl74"/>
    <w:basedOn w:val="Normal"/>
    <w:rsid w:val="00787D25"/>
    <w:pPr>
      <w:pBdr>
        <w:top w:val="single" w:sz="8" w:space="0" w:color="auto"/>
        <w:bottom w:val="single" w:sz="8" w:space="0" w:color="auto"/>
        <w:right w:val="single" w:sz="8" w:space="0" w:color="auto"/>
      </w:pBdr>
      <w:shd w:val="clear" w:color="000000" w:fill="BDD7EE"/>
      <w:spacing w:before="100" w:beforeAutospacing="1" w:after="100" w:afterAutospacing="1"/>
      <w:ind w:left="0" w:firstLine="0"/>
      <w:jc w:val="center"/>
      <w:textAlignment w:val="center"/>
    </w:pPr>
    <w:rPr>
      <w:rFonts w:ascii="Times New Roman" w:hAnsi="Times New Roman"/>
      <w:b/>
      <w:bCs/>
      <w:color w:val="000000"/>
      <w:sz w:val="24"/>
      <w:szCs w:val="24"/>
      <w:lang w:bidi="ar-SA"/>
    </w:rPr>
  </w:style>
  <w:style w:type="paragraph" w:customStyle="1" w:styleId="xl75">
    <w:name w:val="xl75"/>
    <w:basedOn w:val="Normal"/>
    <w:rsid w:val="00787D25"/>
    <w:pPr>
      <w:spacing w:before="100" w:beforeAutospacing="1" w:after="100" w:afterAutospacing="1"/>
      <w:ind w:left="0" w:firstLine="0"/>
      <w:jc w:val="center"/>
    </w:pPr>
    <w:rPr>
      <w:rFonts w:ascii="Times New Roman" w:hAnsi="Times New Roman"/>
      <w:sz w:val="24"/>
      <w:szCs w:val="24"/>
      <w:lang w:bidi="ar-SA"/>
    </w:rPr>
  </w:style>
  <w:style w:type="paragraph" w:customStyle="1" w:styleId="xl76">
    <w:name w:val="xl76"/>
    <w:basedOn w:val="Normal"/>
    <w:rsid w:val="00787D25"/>
    <w:pPr>
      <w:pBdr>
        <w:bottom w:val="single" w:sz="8" w:space="0" w:color="auto"/>
        <w:right w:val="single" w:sz="8" w:space="0" w:color="auto"/>
      </w:pBdr>
      <w:spacing w:before="100" w:beforeAutospacing="1" w:after="100" w:afterAutospacing="1"/>
      <w:ind w:left="0" w:firstLine="0"/>
      <w:jc w:val="center"/>
      <w:textAlignment w:val="center"/>
    </w:pPr>
    <w:rPr>
      <w:rFonts w:ascii="Times New Roman" w:hAnsi="Times New Roman"/>
      <w:color w:val="000000"/>
      <w:sz w:val="24"/>
      <w:szCs w:val="24"/>
      <w:lang w:bidi="ar-SA"/>
    </w:rPr>
  </w:style>
  <w:style w:type="numbering" w:customStyle="1" w:styleId="NoList1">
    <w:name w:val="No List1"/>
    <w:next w:val="NoList"/>
    <w:uiPriority w:val="99"/>
    <w:semiHidden/>
    <w:unhideWhenUsed/>
    <w:rsid w:val="00787D25"/>
  </w:style>
  <w:style w:type="table" w:customStyle="1" w:styleId="TableGrid5">
    <w:name w:val="Table Grid5"/>
    <w:basedOn w:val="TableNormal"/>
    <w:next w:val="TableGrid"/>
    <w:uiPriority w:val="39"/>
    <w:rsid w:val="00787D25"/>
    <w:pPr>
      <w:spacing w:after="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7">
    <w:name w:val="xl77"/>
    <w:basedOn w:val="Normal"/>
    <w:rsid w:val="00FF49F1"/>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left="0" w:firstLine="0"/>
      <w:jc w:val="center"/>
      <w:textAlignment w:val="center"/>
    </w:pPr>
    <w:rPr>
      <w:rFonts w:ascii="Franklin Gothic Book" w:hAnsi="Franklin Gothic Book"/>
      <w:sz w:val="24"/>
      <w:szCs w:val="24"/>
      <w:lang w:bidi="ar-SA"/>
    </w:rPr>
  </w:style>
  <w:style w:type="paragraph" w:customStyle="1" w:styleId="xl78">
    <w:name w:val="xl78"/>
    <w:basedOn w:val="Normal"/>
    <w:rsid w:val="00FF49F1"/>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left="0" w:firstLine="0"/>
      <w:jc w:val="center"/>
      <w:textAlignment w:val="center"/>
    </w:pPr>
    <w:rPr>
      <w:rFonts w:ascii="Franklin Gothic Book" w:hAnsi="Franklin Gothic Book"/>
      <w:sz w:val="24"/>
      <w:szCs w:val="24"/>
      <w:lang w:bidi="ar-SA"/>
    </w:rPr>
  </w:style>
  <w:style w:type="paragraph" w:customStyle="1" w:styleId="xl79">
    <w:name w:val="xl79"/>
    <w:basedOn w:val="Normal"/>
    <w:rsid w:val="00FF49F1"/>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left="0" w:firstLine="0"/>
      <w:jc w:val="center"/>
      <w:textAlignment w:val="center"/>
    </w:pPr>
    <w:rPr>
      <w:rFonts w:ascii="Franklin Gothic Book" w:hAnsi="Franklin Gothic Book"/>
      <w:b/>
      <w:bCs/>
      <w:sz w:val="24"/>
      <w:szCs w:val="24"/>
      <w:lang w:bidi="ar-SA"/>
    </w:rPr>
  </w:style>
  <w:style w:type="paragraph" w:customStyle="1" w:styleId="xl80">
    <w:name w:val="xl80"/>
    <w:basedOn w:val="Normal"/>
    <w:rsid w:val="00FF49F1"/>
    <w:pPr>
      <w:pBdr>
        <w:left w:val="single" w:sz="8" w:space="0" w:color="auto"/>
        <w:bottom w:val="single" w:sz="8" w:space="0" w:color="auto"/>
        <w:right w:val="single" w:sz="8" w:space="0" w:color="auto"/>
      </w:pBdr>
      <w:shd w:val="clear" w:color="000000" w:fill="FFFFFF"/>
      <w:spacing w:before="100" w:beforeAutospacing="1" w:after="100" w:afterAutospacing="1"/>
      <w:ind w:left="0" w:firstLine="0"/>
      <w:jc w:val="center"/>
      <w:textAlignment w:val="center"/>
    </w:pPr>
    <w:rPr>
      <w:rFonts w:ascii="Franklin Gothic Book" w:hAnsi="Franklin Gothic Book"/>
      <w:sz w:val="24"/>
      <w:szCs w:val="24"/>
      <w:lang w:bidi="ar-SA"/>
    </w:rPr>
  </w:style>
  <w:style w:type="paragraph" w:customStyle="1" w:styleId="xl81">
    <w:name w:val="xl81"/>
    <w:basedOn w:val="Normal"/>
    <w:rsid w:val="00FF49F1"/>
    <w:pPr>
      <w:pBdr>
        <w:top w:val="single" w:sz="4" w:space="0" w:color="auto"/>
        <w:left w:val="single" w:sz="4" w:space="0" w:color="auto"/>
        <w:right w:val="single" w:sz="4" w:space="0" w:color="auto"/>
      </w:pBdr>
      <w:shd w:val="clear" w:color="000000" w:fill="003D57"/>
      <w:spacing w:before="100" w:beforeAutospacing="1" w:after="100" w:afterAutospacing="1"/>
      <w:ind w:left="0" w:firstLine="0"/>
      <w:jc w:val="center"/>
      <w:textAlignment w:val="center"/>
    </w:pPr>
    <w:rPr>
      <w:rFonts w:ascii="Franklin Gothic Book" w:hAnsi="Franklin Gothic Book"/>
      <w:b/>
      <w:bCs/>
      <w:color w:val="FFFFFF"/>
      <w:sz w:val="24"/>
      <w:szCs w:val="24"/>
      <w:lang w:bidi="ar-SA"/>
    </w:rPr>
  </w:style>
  <w:style w:type="paragraph" w:customStyle="1" w:styleId="xl82">
    <w:name w:val="xl82"/>
    <w:basedOn w:val="Normal"/>
    <w:rsid w:val="00FF49F1"/>
    <w:pPr>
      <w:pBdr>
        <w:left w:val="single" w:sz="4" w:space="0" w:color="auto"/>
      </w:pBdr>
      <w:shd w:val="clear" w:color="000000" w:fill="003D57"/>
      <w:spacing w:before="100" w:beforeAutospacing="1" w:after="100" w:afterAutospacing="1"/>
      <w:ind w:left="0" w:firstLine="0"/>
      <w:jc w:val="center"/>
      <w:textAlignment w:val="center"/>
    </w:pPr>
    <w:rPr>
      <w:rFonts w:ascii="Franklin Gothic Book" w:hAnsi="Franklin Gothic Book"/>
      <w:b/>
      <w:bCs/>
      <w:color w:val="FFFFFF"/>
      <w:sz w:val="24"/>
      <w:szCs w:val="24"/>
      <w:lang w:bidi="ar-SA"/>
    </w:rPr>
  </w:style>
  <w:style w:type="paragraph" w:customStyle="1" w:styleId="xl83">
    <w:name w:val="xl83"/>
    <w:basedOn w:val="Normal"/>
    <w:rsid w:val="00FF49F1"/>
    <w:pPr>
      <w:pBdr>
        <w:right w:val="single" w:sz="4" w:space="0" w:color="auto"/>
      </w:pBdr>
      <w:shd w:val="clear" w:color="000000" w:fill="003D57"/>
      <w:spacing w:before="100" w:beforeAutospacing="1" w:after="100" w:afterAutospacing="1"/>
      <w:ind w:left="0" w:firstLine="0"/>
      <w:jc w:val="center"/>
      <w:textAlignment w:val="center"/>
    </w:pPr>
    <w:rPr>
      <w:rFonts w:ascii="Franklin Gothic Book" w:hAnsi="Franklin Gothic Book"/>
      <w:b/>
      <w:bCs/>
      <w:color w:val="FFFFFF"/>
      <w:sz w:val="24"/>
      <w:szCs w:val="24"/>
      <w:lang w:bidi="ar-SA"/>
    </w:rPr>
  </w:style>
  <w:style w:type="paragraph" w:customStyle="1" w:styleId="xl84">
    <w:name w:val="xl84"/>
    <w:basedOn w:val="Normal"/>
    <w:rsid w:val="00FF49F1"/>
    <w:pPr>
      <w:pBdr>
        <w:left w:val="single" w:sz="4" w:space="0" w:color="auto"/>
        <w:bottom w:val="single" w:sz="4" w:space="0" w:color="auto"/>
      </w:pBdr>
      <w:shd w:val="clear" w:color="000000" w:fill="003D57"/>
      <w:spacing w:before="100" w:beforeAutospacing="1" w:after="100" w:afterAutospacing="1"/>
      <w:ind w:left="0" w:firstLine="0"/>
      <w:jc w:val="center"/>
      <w:textAlignment w:val="center"/>
    </w:pPr>
    <w:rPr>
      <w:rFonts w:ascii="Franklin Gothic Book" w:hAnsi="Franklin Gothic Book"/>
      <w:b/>
      <w:bCs/>
      <w:color w:val="FFFFFF"/>
      <w:sz w:val="24"/>
      <w:szCs w:val="24"/>
      <w:lang w:bidi="ar-SA"/>
    </w:rPr>
  </w:style>
  <w:style w:type="paragraph" w:customStyle="1" w:styleId="xl85">
    <w:name w:val="xl85"/>
    <w:basedOn w:val="Normal"/>
    <w:rsid w:val="00FF49F1"/>
    <w:pPr>
      <w:pBdr>
        <w:bottom w:val="single" w:sz="4" w:space="0" w:color="auto"/>
        <w:right w:val="single" w:sz="4" w:space="0" w:color="auto"/>
      </w:pBdr>
      <w:shd w:val="clear" w:color="000000" w:fill="003D57"/>
      <w:spacing w:before="100" w:beforeAutospacing="1" w:after="100" w:afterAutospacing="1"/>
      <w:ind w:left="0" w:firstLine="0"/>
      <w:jc w:val="center"/>
      <w:textAlignment w:val="center"/>
    </w:pPr>
    <w:rPr>
      <w:rFonts w:ascii="Franklin Gothic Book" w:hAnsi="Franklin Gothic Book"/>
      <w:b/>
      <w:bCs/>
      <w:color w:val="FFFFFF"/>
      <w:sz w:val="24"/>
      <w:szCs w:val="24"/>
      <w:lang w:bidi="ar-SA"/>
    </w:rPr>
  </w:style>
  <w:style w:type="paragraph" w:customStyle="1" w:styleId="xl86">
    <w:name w:val="xl86"/>
    <w:basedOn w:val="Normal"/>
    <w:rsid w:val="00FF49F1"/>
    <w:pPr>
      <w:pBdr>
        <w:left w:val="single" w:sz="4" w:space="0" w:color="auto"/>
        <w:right w:val="single" w:sz="4" w:space="0" w:color="auto"/>
      </w:pBdr>
      <w:shd w:val="clear" w:color="000000" w:fill="003D57"/>
      <w:spacing w:before="100" w:beforeAutospacing="1" w:after="100" w:afterAutospacing="1"/>
      <w:ind w:left="0" w:firstLine="0"/>
      <w:jc w:val="center"/>
      <w:textAlignment w:val="center"/>
    </w:pPr>
    <w:rPr>
      <w:rFonts w:ascii="Franklin Gothic Book" w:hAnsi="Franklin Gothic Book"/>
      <w:b/>
      <w:bCs/>
      <w:color w:val="FFFFFF"/>
      <w:sz w:val="24"/>
      <w:szCs w:val="24"/>
      <w:lang w:bidi="ar-SA"/>
    </w:rPr>
  </w:style>
  <w:style w:type="paragraph" w:customStyle="1" w:styleId="xl87">
    <w:name w:val="xl87"/>
    <w:basedOn w:val="Normal"/>
    <w:rsid w:val="00FF49F1"/>
    <w:pPr>
      <w:pBdr>
        <w:left w:val="single" w:sz="4" w:space="0" w:color="auto"/>
        <w:bottom w:val="single" w:sz="4" w:space="0" w:color="auto"/>
        <w:right w:val="single" w:sz="4" w:space="0" w:color="auto"/>
      </w:pBdr>
      <w:shd w:val="clear" w:color="000000" w:fill="003D57"/>
      <w:spacing w:before="100" w:beforeAutospacing="1" w:after="100" w:afterAutospacing="1"/>
      <w:ind w:left="0" w:firstLine="0"/>
      <w:jc w:val="center"/>
      <w:textAlignment w:val="center"/>
    </w:pPr>
    <w:rPr>
      <w:rFonts w:ascii="Franklin Gothic Book" w:hAnsi="Franklin Gothic Book"/>
      <w:b/>
      <w:bCs/>
      <w:color w:val="FFFFFF"/>
      <w:sz w:val="24"/>
      <w:szCs w:val="24"/>
      <w:lang w:bidi="ar-SA"/>
    </w:rPr>
  </w:style>
  <w:style w:type="paragraph" w:customStyle="1" w:styleId="xl88">
    <w:name w:val="xl88"/>
    <w:basedOn w:val="Normal"/>
    <w:rsid w:val="00FF49F1"/>
    <w:pPr>
      <w:pBdr>
        <w:top w:val="single" w:sz="4" w:space="0" w:color="auto"/>
        <w:right w:val="single" w:sz="4" w:space="0" w:color="auto"/>
      </w:pBdr>
      <w:shd w:val="clear" w:color="000000" w:fill="003D57"/>
      <w:spacing w:before="100" w:beforeAutospacing="1" w:after="100" w:afterAutospacing="1"/>
      <w:ind w:left="0" w:firstLine="0"/>
      <w:jc w:val="center"/>
      <w:textAlignment w:val="center"/>
    </w:pPr>
    <w:rPr>
      <w:rFonts w:ascii="Franklin Gothic Book" w:hAnsi="Franklin Gothic Book"/>
      <w:b/>
      <w:bCs/>
      <w:color w:val="FFFFFF"/>
      <w:sz w:val="24"/>
      <w:szCs w:val="24"/>
      <w:lang w:bidi="ar-SA"/>
    </w:rPr>
  </w:style>
  <w:style w:type="paragraph" w:customStyle="1" w:styleId="xl89">
    <w:name w:val="xl89"/>
    <w:basedOn w:val="Normal"/>
    <w:rsid w:val="00FF49F1"/>
    <w:pPr>
      <w:pBdr>
        <w:left w:val="single" w:sz="8" w:space="0" w:color="auto"/>
      </w:pBdr>
      <w:shd w:val="clear" w:color="000000" w:fill="003D57"/>
      <w:spacing w:before="100" w:beforeAutospacing="1" w:after="100" w:afterAutospacing="1"/>
      <w:ind w:left="0" w:firstLine="0"/>
      <w:jc w:val="center"/>
      <w:textAlignment w:val="center"/>
    </w:pPr>
    <w:rPr>
      <w:rFonts w:ascii="Franklin Gothic Book" w:hAnsi="Franklin Gothic Book"/>
      <w:b/>
      <w:bCs/>
      <w:color w:val="FFFFFF"/>
      <w:sz w:val="24"/>
      <w:szCs w:val="24"/>
      <w:lang w:bidi="ar-SA"/>
    </w:rPr>
  </w:style>
  <w:style w:type="paragraph" w:customStyle="1" w:styleId="xl90">
    <w:name w:val="xl90"/>
    <w:basedOn w:val="Normal"/>
    <w:rsid w:val="00FF49F1"/>
    <w:pPr>
      <w:pBdr>
        <w:top w:val="single" w:sz="8" w:space="0" w:color="auto"/>
        <w:left w:val="single" w:sz="8" w:space="0" w:color="auto"/>
        <w:bottom w:val="single" w:sz="4" w:space="0" w:color="auto"/>
        <w:right w:val="single" w:sz="8" w:space="0" w:color="auto"/>
      </w:pBdr>
      <w:shd w:val="clear" w:color="000000" w:fill="003D57"/>
      <w:spacing w:before="100" w:beforeAutospacing="1" w:after="100" w:afterAutospacing="1"/>
      <w:ind w:left="0" w:firstLine="0"/>
      <w:jc w:val="center"/>
      <w:textAlignment w:val="center"/>
    </w:pPr>
    <w:rPr>
      <w:rFonts w:ascii="Franklin Gothic Book" w:hAnsi="Franklin Gothic Book"/>
      <w:b/>
      <w:bCs/>
      <w:color w:val="FFFFFF"/>
      <w:sz w:val="24"/>
      <w:szCs w:val="24"/>
      <w:lang w:bidi="ar-SA"/>
    </w:rPr>
  </w:style>
  <w:style w:type="paragraph" w:customStyle="1" w:styleId="xl91">
    <w:name w:val="xl91"/>
    <w:basedOn w:val="Normal"/>
    <w:rsid w:val="00FF49F1"/>
    <w:pPr>
      <w:pBdr>
        <w:top w:val="single" w:sz="8" w:space="0" w:color="auto"/>
        <w:left w:val="single" w:sz="8" w:space="0" w:color="auto"/>
        <w:bottom w:val="single" w:sz="4" w:space="0" w:color="auto"/>
        <w:right w:val="single" w:sz="4" w:space="0" w:color="auto"/>
      </w:pBdr>
      <w:shd w:val="clear" w:color="000000" w:fill="003D57"/>
      <w:spacing w:before="100" w:beforeAutospacing="1" w:after="100" w:afterAutospacing="1"/>
      <w:ind w:left="0" w:firstLine="0"/>
      <w:jc w:val="center"/>
      <w:textAlignment w:val="center"/>
    </w:pPr>
    <w:rPr>
      <w:rFonts w:ascii="Franklin Gothic Book" w:hAnsi="Franklin Gothic Book"/>
      <w:b/>
      <w:bCs/>
      <w:color w:val="FFFFFF"/>
      <w:sz w:val="24"/>
      <w:szCs w:val="24"/>
      <w:lang w:bidi="ar-SA"/>
    </w:rPr>
  </w:style>
  <w:style w:type="paragraph" w:customStyle="1" w:styleId="xl92">
    <w:name w:val="xl92"/>
    <w:basedOn w:val="Normal"/>
    <w:rsid w:val="00FF49F1"/>
    <w:pPr>
      <w:pBdr>
        <w:top w:val="single" w:sz="8" w:space="0" w:color="auto"/>
        <w:left w:val="single" w:sz="8" w:space="0" w:color="auto"/>
      </w:pBdr>
      <w:shd w:val="clear" w:color="000000" w:fill="003D57"/>
      <w:spacing w:before="100" w:beforeAutospacing="1" w:after="100" w:afterAutospacing="1"/>
      <w:ind w:left="0" w:firstLine="0"/>
      <w:jc w:val="center"/>
      <w:textAlignment w:val="center"/>
    </w:pPr>
    <w:rPr>
      <w:rFonts w:ascii="Franklin Gothic Book" w:hAnsi="Franklin Gothic Book"/>
      <w:b/>
      <w:bCs/>
      <w:color w:val="FFFFFF"/>
      <w:sz w:val="24"/>
      <w:szCs w:val="24"/>
      <w:lang w:bidi="ar-SA"/>
    </w:rPr>
  </w:style>
  <w:style w:type="paragraph" w:customStyle="1" w:styleId="xl93">
    <w:name w:val="xl93"/>
    <w:basedOn w:val="Normal"/>
    <w:rsid w:val="00FF49F1"/>
    <w:pPr>
      <w:pBdr>
        <w:top w:val="single" w:sz="8" w:space="0" w:color="auto"/>
      </w:pBdr>
      <w:shd w:val="clear" w:color="000000" w:fill="003D57"/>
      <w:spacing w:before="100" w:beforeAutospacing="1" w:after="100" w:afterAutospacing="1"/>
      <w:ind w:left="0" w:firstLine="0"/>
      <w:jc w:val="center"/>
      <w:textAlignment w:val="center"/>
    </w:pPr>
    <w:rPr>
      <w:rFonts w:ascii="Franklin Gothic Book" w:hAnsi="Franklin Gothic Book"/>
      <w:b/>
      <w:bCs/>
      <w:color w:val="FFFFFF"/>
      <w:sz w:val="24"/>
      <w:szCs w:val="24"/>
      <w:lang w:bidi="ar-SA"/>
    </w:rPr>
  </w:style>
  <w:style w:type="paragraph" w:customStyle="1" w:styleId="xl94">
    <w:name w:val="xl94"/>
    <w:basedOn w:val="Normal"/>
    <w:rsid w:val="00FF49F1"/>
    <w:pPr>
      <w:shd w:val="clear" w:color="000000" w:fill="003D57"/>
      <w:spacing w:before="100" w:beforeAutospacing="1" w:after="100" w:afterAutospacing="1"/>
      <w:ind w:left="0" w:firstLine="0"/>
      <w:jc w:val="center"/>
      <w:textAlignment w:val="center"/>
    </w:pPr>
    <w:rPr>
      <w:rFonts w:ascii="Franklin Gothic Book" w:hAnsi="Franklin Gothic Book"/>
      <w:b/>
      <w:bCs/>
      <w:color w:val="FFFFFF"/>
      <w:sz w:val="24"/>
      <w:szCs w:val="24"/>
      <w:lang w:bidi="ar-SA"/>
    </w:rPr>
  </w:style>
  <w:style w:type="paragraph" w:customStyle="1" w:styleId="xl95">
    <w:name w:val="xl95"/>
    <w:basedOn w:val="Normal"/>
    <w:rsid w:val="00FF49F1"/>
    <w:pPr>
      <w:pBdr>
        <w:top w:val="single" w:sz="4" w:space="0" w:color="auto"/>
        <w:left w:val="single" w:sz="4" w:space="0" w:color="auto"/>
        <w:bottom w:val="single" w:sz="4" w:space="0" w:color="auto"/>
        <w:right w:val="single" w:sz="4" w:space="0" w:color="auto"/>
      </w:pBdr>
      <w:shd w:val="clear" w:color="000000" w:fill="003D57"/>
      <w:spacing w:before="100" w:beforeAutospacing="1" w:after="100" w:afterAutospacing="1"/>
      <w:ind w:left="0" w:firstLine="0"/>
      <w:jc w:val="center"/>
      <w:textAlignment w:val="center"/>
    </w:pPr>
    <w:rPr>
      <w:rFonts w:ascii="Franklin Gothic Book" w:hAnsi="Franklin Gothic Book"/>
      <w:b/>
      <w:bCs/>
      <w:color w:val="FFFFFF"/>
      <w:sz w:val="24"/>
      <w:szCs w:val="24"/>
      <w:lang w:bidi="ar-SA"/>
    </w:rPr>
  </w:style>
  <w:style w:type="paragraph" w:customStyle="1" w:styleId="xl96">
    <w:name w:val="xl96"/>
    <w:basedOn w:val="Normal"/>
    <w:rsid w:val="00FF49F1"/>
    <w:pPr>
      <w:spacing w:before="100" w:beforeAutospacing="1" w:after="100" w:afterAutospacing="1"/>
      <w:ind w:left="0" w:firstLine="0"/>
    </w:pPr>
    <w:rPr>
      <w:rFonts w:ascii="Times New Roman" w:hAnsi="Times New Roman"/>
      <w:b/>
      <w:bCs/>
      <w:sz w:val="24"/>
      <w:szCs w:val="24"/>
      <w:lang w:bidi="ar-SA"/>
    </w:rPr>
  </w:style>
  <w:style w:type="paragraph" w:customStyle="1" w:styleId="xl97">
    <w:name w:val="xl97"/>
    <w:basedOn w:val="Normal"/>
    <w:rsid w:val="00FF49F1"/>
    <w:pPr>
      <w:pBdr>
        <w:top w:val="single" w:sz="8" w:space="0" w:color="auto"/>
        <w:left w:val="single" w:sz="8" w:space="0" w:color="auto"/>
        <w:right w:val="single" w:sz="8" w:space="0" w:color="auto"/>
      </w:pBdr>
      <w:shd w:val="clear" w:color="000000" w:fill="003D57"/>
      <w:spacing w:before="100" w:beforeAutospacing="1" w:after="100" w:afterAutospacing="1"/>
      <w:ind w:left="0" w:firstLine="0"/>
      <w:jc w:val="center"/>
      <w:textAlignment w:val="center"/>
    </w:pPr>
    <w:rPr>
      <w:rFonts w:ascii="Franklin Gothic Book" w:hAnsi="Franklin Gothic Book"/>
      <w:b/>
      <w:bCs/>
      <w:color w:val="FFFFFF"/>
      <w:sz w:val="24"/>
      <w:szCs w:val="24"/>
      <w:lang w:bidi="ar-SA"/>
    </w:rPr>
  </w:style>
  <w:style w:type="paragraph" w:customStyle="1" w:styleId="xl98">
    <w:name w:val="xl98"/>
    <w:basedOn w:val="Normal"/>
    <w:rsid w:val="00FF49F1"/>
    <w:pPr>
      <w:pBdr>
        <w:top w:val="single" w:sz="4" w:space="0" w:color="auto"/>
        <w:left w:val="single" w:sz="4" w:space="0" w:color="auto"/>
        <w:right w:val="single" w:sz="4" w:space="0" w:color="auto"/>
      </w:pBdr>
      <w:shd w:val="clear" w:color="000000" w:fill="003D57"/>
      <w:spacing w:before="100" w:beforeAutospacing="1" w:after="100" w:afterAutospacing="1"/>
      <w:ind w:left="0" w:firstLine="0"/>
      <w:jc w:val="center"/>
      <w:textAlignment w:val="center"/>
    </w:pPr>
    <w:rPr>
      <w:rFonts w:ascii="Franklin Gothic Book" w:hAnsi="Franklin Gothic Book"/>
      <w:b/>
      <w:bCs/>
      <w:color w:val="FFFFFF"/>
      <w:sz w:val="24"/>
      <w:szCs w:val="24"/>
      <w:lang w:bidi="ar-SA"/>
    </w:rPr>
  </w:style>
  <w:style w:type="paragraph" w:customStyle="1" w:styleId="xl99">
    <w:name w:val="xl99"/>
    <w:basedOn w:val="Normal"/>
    <w:rsid w:val="00FF49F1"/>
    <w:pPr>
      <w:pBdr>
        <w:top w:val="single" w:sz="4" w:space="0" w:color="auto"/>
        <w:left w:val="single" w:sz="4" w:space="0" w:color="auto"/>
      </w:pBdr>
      <w:shd w:val="clear" w:color="000000" w:fill="003D57"/>
      <w:spacing w:before="100" w:beforeAutospacing="1" w:after="100" w:afterAutospacing="1"/>
      <w:ind w:left="0" w:firstLine="0"/>
      <w:jc w:val="center"/>
      <w:textAlignment w:val="center"/>
    </w:pPr>
    <w:rPr>
      <w:rFonts w:ascii="Franklin Gothic Book" w:hAnsi="Franklin Gothic Book"/>
      <w:b/>
      <w:bCs/>
      <w:color w:val="FFFFFF"/>
      <w:sz w:val="24"/>
      <w:szCs w:val="24"/>
      <w:lang w:bidi="ar-SA"/>
    </w:rPr>
  </w:style>
  <w:style w:type="paragraph" w:customStyle="1" w:styleId="xl100">
    <w:name w:val="xl100"/>
    <w:basedOn w:val="Normal"/>
    <w:rsid w:val="00FF49F1"/>
    <w:pPr>
      <w:pBdr>
        <w:left w:val="single" w:sz="8" w:space="0" w:color="auto"/>
        <w:right w:val="single" w:sz="8" w:space="0" w:color="auto"/>
      </w:pBdr>
      <w:shd w:val="clear" w:color="000000" w:fill="003D57"/>
      <w:spacing w:before="100" w:beforeAutospacing="1" w:after="100" w:afterAutospacing="1"/>
      <w:ind w:left="0" w:firstLine="0"/>
      <w:jc w:val="center"/>
      <w:textAlignment w:val="center"/>
    </w:pPr>
    <w:rPr>
      <w:rFonts w:ascii="Franklin Gothic Book" w:hAnsi="Franklin Gothic Book"/>
      <w:b/>
      <w:bCs/>
      <w:color w:val="FFFFFF"/>
      <w:sz w:val="24"/>
      <w:szCs w:val="24"/>
      <w:lang w:bidi="ar-SA"/>
    </w:rPr>
  </w:style>
  <w:style w:type="paragraph" w:customStyle="1" w:styleId="xl101">
    <w:name w:val="xl101"/>
    <w:basedOn w:val="Normal"/>
    <w:rsid w:val="00FF49F1"/>
    <w:pPr>
      <w:pBdr>
        <w:left w:val="single" w:sz="4" w:space="0" w:color="auto"/>
        <w:right w:val="single" w:sz="4" w:space="0" w:color="auto"/>
      </w:pBdr>
      <w:shd w:val="clear" w:color="000000" w:fill="003D57"/>
      <w:spacing w:before="100" w:beforeAutospacing="1" w:after="100" w:afterAutospacing="1"/>
      <w:ind w:left="0" w:firstLine="0"/>
      <w:jc w:val="center"/>
      <w:textAlignment w:val="center"/>
    </w:pPr>
    <w:rPr>
      <w:rFonts w:ascii="Franklin Gothic Book" w:hAnsi="Franklin Gothic Book"/>
      <w:b/>
      <w:bCs/>
      <w:color w:val="FFFFFF"/>
      <w:sz w:val="24"/>
      <w:szCs w:val="24"/>
      <w:lang w:bidi="ar-SA"/>
    </w:rPr>
  </w:style>
  <w:style w:type="paragraph" w:customStyle="1" w:styleId="xl102">
    <w:name w:val="xl102"/>
    <w:basedOn w:val="Normal"/>
    <w:rsid w:val="00FF49F1"/>
    <w:pPr>
      <w:pBdr>
        <w:left w:val="single" w:sz="8" w:space="0" w:color="auto"/>
        <w:bottom w:val="single" w:sz="8" w:space="0" w:color="auto"/>
        <w:right w:val="single" w:sz="8" w:space="0" w:color="auto"/>
      </w:pBdr>
      <w:shd w:val="clear" w:color="000000" w:fill="003D57"/>
      <w:spacing w:before="100" w:beforeAutospacing="1" w:after="100" w:afterAutospacing="1"/>
      <w:ind w:left="0" w:firstLine="0"/>
      <w:jc w:val="center"/>
      <w:textAlignment w:val="center"/>
    </w:pPr>
    <w:rPr>
      <w:rFonts w:ascii="Franklin Gothic Book" w:hAnsi="Franklin Gothic Book"/>
      <w:b/>
      <w:bCs/>
      <w:color w:val="FFFFFF"/>
      <w:sz w:val="24"/>
      <w:szCs w:val="24"/>
      <w:lang w:bidi="ar-SA"/>
    </w:rPr>
  </w:style>
  <w:style w:type="paragraph" w:customStyle="1" w:styleId="xl103">
    <w:name w:val="xl103"/>
    <w:basedOn w:val="Normal"/>
    <w:rsid w:val="00FF49F1"/>
    <w:pPr>
      <w:pBdr>
        <w:left w:val="single" w:sz="4" w:space="0" w:color="auto"/>
        <w:bottom w:val="single" w:sz="4" w:space="0" w:color="auto"/>
        <w:right w:val="single" w:sz="4" w:space="0" w:color="auto"/>
      </w:pBdr>
      <w:shd w:val="clear" w:color="000000" w:fill="003D57"/>
      <w:spacing w:before="100" w:beforeAutospacing="1" w:after="100" w:afterAutospacing="1"/>
      <w:ind w:left="0" w:firstLine="0"/>
      <w:jc w:val="center"/>
      <w:textAlignment w:val="center"/>
    </w:pPr>
    <w:rPr>
      <w:rFonts w:ascii="Franklin Gothic Book" w:hAnsi="Franklin Gothic Book"/>
      <w:b/>
      <w:bCs/>
      <w:color w:val="FFFFFF"/>
      <w:sz w:val="24"/>
      <w:szCs w:val="24"/>
      <w:lang w:bidi="ar-SA"/>
    </w:rPr>
  </w:style>
  <w:style w:type="numbering" w:customStyle="1" w:styleId="NoList2">
    <w:name w:val="No List2"/>
    <w:next w:val="NoList"/>
    <w:uiPriority w:val="99"/>
    <w:semiHidden/>
    <w:unhideWhenUsed/>
    <w:rsid w:val="00FF49F1"/>
  </w:style>
  <w:style w:type="table" w:customStyle="1" w:styleId="TableGrid6">
    <w:name w:val="Table Grid6"/>
    <w:basedOn w:val="TableNormal"/>
    <w:next w:val="TableGrid"/>
    <w:uiPriority w:val="59"/>
    <w:rsid w:val="00FF49F1"/>
    <w:pPr>
      <w:spacing w:after="0"/>
      <w:ind w:left="0" w:firstLine="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90262">
      <w:bodyDiv w:val="1"/>
      <w:marLeft w:val="0"/>
      <w:marRight w:val="0"/>
      <w:marTop w:val="0"/>
      <w:marBottom w:val="0"/>
      <w:divBdr>
        <w:top w:val="none" w:sz="0" w:space="0" w:color="auto"/>
        <w:left w:val="none" w:sz="0" w:space="0" w:color="auto"/>
        <w:bottom w:val="none" w:sz="0" w:space="0" w:color="auto"/>
        <w:right w:val="none" w:sz="0" w:space="0" w:color="auto"/>
      </w:divBdr>
    </w:div>
    <w:div w:id="11956952">
      <w:bodyDiv w:val="1"/>
      <w:marLeft w:val="0"/>
      <w:marRight w:val="0"/>
      <w:marTop w:val="0"/>
      <w:marBottom w:val="0"/>
      <w:divBdr>
        <w:top w:val="none" w:sz="0" w:space="0" w:color="auto"/>
        <w:left w:val="none" w:sz="0" w:space="0" w:color="auto"/>
        <w:bottom w:val="none" w:sz="0" w:space="0" w:color="auto"/>
        <w:right w:val="none" w:sz="0" w:space="0" w:color="auto"/>
      </w:divBdr>
      <w:divsChild>
        <w:div w:id="79835676">
          <w:marLeft w:val="547"/>
          <w:marRight w:val="0"/>
          <w:marTop w:val="0"/>
          <w:marBottom w:val="0"/>
          <w:divBdr>
            <w:top w:val="none" w:sz="0" w:space="0" w:color="auto"/>
            <w:left w:val="none" w:sz="0" w:space="0" w:color="auto"/>
            <w:bottom w:val="none" w:sz="0" w:space="0" w:color="auto"/>
            <w:right w:val="none" w:sz="0" w:space="0" w:color="auto"/>
          </w:divBdr>
        </w:div>
      </w:divsChild>
    </w:div>
    <w:div w:id="37248200">
      <w:bodyDiv w:val="1"/>
      <w:marLeft w:val="0"/>
      <w:marRight w:val="0"/>
      <w:marTop w:val="0"/>
      <w:marBottom w:val="0"/>
      <w:divBdr>
        <w:top w:val="none" w:sz="0" w:space="0" w:color="auto"/>
        <w:left w:val="none" w:sz="0" w:space="0" w:color="auto"/>
        <w:bottom w:val="none" w:sz="0" w:space="0" w:color="auto"/>
        <w:right w:val="none" w:sz="0" w:space="0" w:color="auto"/>
      </w:divBdr>
    </w:div>
    <w:div w:id="46951779">
      <w:bodyDiv w:val="1"/>
      <w:marLeft w:val="0"/>
      <w:marRight w:val="0"/>
      <w:marTop w:val="0"/>
      <w:marBottom w:val="0"/>
      <w:divBdr>
        <w:top w:val="none" w:sz="0" w:space="0" w:color="auto"/>
        <w:left w:val="none" w:sz="0" w:space="0" w:color="auto"/>
        <w:bottom w:val="none" w:sz="0" w:space="0" w:color="auto"/>
        <w:right w:val="none" w:sz="0" w:space="0" w:color="auto"/>
      </w:divBdr>
    </w:div>
    <w:div w:id="74589902">
      <w:bodyDiv w:val="1"/>
      <w:marLeft w:val="0"/>
      <w:marRight w:val="0"/>
      <w:marTop w:val="0"/>
      <w:marBottom w:val="0"/>
      <w:divBdr>
        <w:top w:val="none" w:sz="0" w:space="0" w:color="auto"/>
        <w:left w:val="none" w:sz="0" w:space="0" w:color="auto"/>
        <w:bottom w:val="none" w:sz="0" w:space="0" w:color="auto"/>
        <w:right w:val="none" w:sz="0" w:space="0" w:color="auto"/>
      </w:divBdr>
    </w:div>
    <w:div w:id="84881307">
      <w:bodyDiv w:val="1"/>
      <w:marLeft w:val="0"/>
      <w:marRight w:val="0"/>
      <w:marTop w:val="0"/>
      <w:marBottom w:val="0"/>
      <w:divBdr>
        <w:top w:val="none" w:sz="0" w:space="0" w:color="auto"/>
        <w:left w:val="none" w:sz="0" w:space="0" w:color="auto"/>
        <w:bottom w:val="none" w:sz="0" w:space="0" w:color="auto"/>
        <w:right w:val="none" w:sz="0" w:space="0" w:color="auto"/>
      </w:divBdr>
    </w:div>
    <w:div w:id="90904266">
      <w:bodyDiv w:val="1"/>
      <w:marLeft w:val="0"/>
      <w:marRight w:val="0"/>
      <w:marTop w:val="0"/>
      <w:marBottom w:val="0"/>
      <w:divBdr>
        <w:top w:val="none" w:sz="0" w:space="0" w:color="auto"/>
        <w:left w:val="none" w:sz="0" w:space="0" w:color="auto"/>
        <w:bottom w:val="none" w:sz="0" w:space="0" w:color="auto"/>
        <w:right w:val="none" w:sz="0" w:space="0" w:color="auto"/>
      </w:divBdr>
    </w:div>
    <w:div w:id="105851467">
      <w:bodyDiv w:val="1"/>
      <w:marLeft w:val="0"/>
      <w:marRight w:val="0"/>
      <w:marTop w:val="0"/>
      <w:marBottom w:val="0"/>
      <w:divBdr>
        <w:top w:val="none" w:sz="0" w:space="0" w:color="auto"/>
        <w:left w:val="none" w:sz="0" w:space="0" w:color="auto"/>
        <w:bottom w:val="none" w:sz="0" w:space="0" w:color="auto"/>
        <w:right w:val="none" w:sz="0" w:space="0" w:color="auto"/>
      </w:divBdr>
    </w:div>
    <w:div w:id="107161438">
      <w:bodyDiv w:val="1"/>
      <w:marLeft w:val="0"/>
      <w:marRight w:val="0"/>
      <w:marTop w:val="0"/>
      <w:marBottom w:val="0"/>
      <w:divBdr>
        <w:top w:val="none" w:sz="0" w:space="0" w:color="auto"/>
        <w:left w:val="none" w:sz="0" w:space="0" w:color="auto"/>
        <w:bottom w:val="none" w:sz="0" w:space="0" w:color="auto"/>
        <w:right w:val="none" w:sz="0" w:space="0" w:color="auto"/>
      </w:divBdr>
      <w:divsChild>
        <w:div w:id="2090882652">
          <w:marLeft w:val="547"/>
          <w:marRight w:val="0"/>
          <w:marTop w:val="96"/>
          <w:marBottom w:val="0"/>
          <w:divBdr>
            <w:top w:val="none" w:sz="0" w:space="0" w:color="auto"/>
            <w:left w:val="none" w:sz="0" w:space="0" w:color="auto"/>
            <w:bottom w:val="none" w:sz="0" w:space="0" w:color="auto"/>
            <w:right w:val="none" w:sz="0" w:space="0" w:color="auto"/>
          </w:divBdr>
        </w:div>
        <w:div w:id="112216195">
          <w:marLeft w:val="1166"/>
          <w:marRight w:val="0"/>
          <w:marTop w:val="77"/>
          <w:marBottom w:val="0"/>
          <w:divBdr>
            <w:top w:val="none" w:sz="0" w:space="0" w:color="auto"/>
            <w:left w:val="none" w:sz="0" w:space="0" w:color="auto"/>
            <w:bottom w:val="none" w:sz="0" w:space="0" w:color="auto"/>
            <w:right w:val="none" w:sz="0" w:space="0" w:color="auto"/>
          </w:divBdr>
        </w:div>
        <w:div w:id="1467162339">
          <w:marLeft w:val="1166"/>
          <w:marRight w:val="0"/>
          <w:marTop w:val="77"/>
          <w:marBottom w:val="0"/>
          <w:divBdr>
            <w:top w:val="none" w:sz="0" w:space="0" w:color="auto"/>
            <w:left w:val="none" w:sz="0" w:space="0" w:color="auto"/>
            <w:bottom w:val="none" w:sz="0" w:space="0" w:color="auto"/>
            <w:right w:val="none" w:sz="0" w:space="0" w:color="auto"/>
          </w:divBdr>
        </w:div>
      </w:divsChild>
    </w:div>
    <w:div w:id="140512756">
      <w:bodyDiv w:val="1"/>
      <w:marLeft w:val="0"/>
      <w:marRight w:val="0"/>
      <w:marTop w:val="0"/>
      <w:marBottom w:val="0"/>
      <w:divBdr>
        <w:top w:val="none" w:sz="0" w:space="0" w:color="auto"/>
        <w:left w:val="none" w:sz="0" w:space="0" w:color="auto"/>
        <w:bottom w:val="none" w:sz="0" w:space="0" w:color="auto"/>
        <w:right w:val="none" w:sz="0" w:space="0" w:color="auto"/>
      </w:divBdr>
    </w:div>
    <w:div w:id="176383105">
      <w:bodyDiv w:val="1"/>
      <w:marLeft w:val="0"/>
      <w:marRight w:val="0"/>
      <w:marTop w:val="0"/>
      <w:marBottom w:val="0"/>
      <w:divBdr>
        <w:top w:val="none" w:sz="0" w:space="0" w:color="auto"/>
        <w:left w:val="none" w:sz="0" w:space="0" w:color="auto"/>
        <w:bottom w:val="none" w:sz="0" w:space="0" w:color="auto"/>
        <w:right w:val="none" w:sz="0" w:space="0" w:color="auto"/>
      </w:divBdr>
    </w:div>
    <w:div w:id="192965573">
      <w:bodyDiv w:val="1"/>
      <w:marLeft w:val="0"/>
      <w:marRight w:val="0"/>
      <w:marTop w:val="0"/>
      <w:marBottom w:val="0"/>
      <w:divBdr>
        <w:top w:val="none" w:sz="0" w:space="0" w:color="auto"/>
        <w:left w:val="none" w:sz="0" w:space="0" w:color="auto"/>
        <w:bottom w:val="none" w:sz="0" w:space="0" w:color="auto"/>
        <w:right w:val="none" w:sz="0" w:space="0" w:color="auto"/>
      </w:divBdr>
    </w:div>
    <w:div w:id="219445613">
      <w:bodyDiv w:val="1"/>
      <w:marLeft w:val="0"/>
      <w:marRight w:val="0"/>
      <w:marTop w:val="0"/>
      <w:marBottom w:val="0"/>
      <w:divBdr>
        <w:top w:val="none" w:sz="0" w:space="0" w:color="auto"/>
        <w:left w:val="none" w:sz="0" w:space="0" w:color="auto"/>
        <w:bottom w:val="none" w:sz="0" w:space="0" w:color="auto"/>
        <w:right w:val="none" w:sz="0" w:space="0" w:color="auto"/>
      </w:divBdr>
    </w:div>
    <w:div w:id="241917168">
      <w:bodyDiv w:val="1"/>
      <w:marLeft w:val="0"/>
      <w:marRight w:val="0"/>
      <w:marTop w:val="0"/>
      <w:marBottom w:val="0"/>
      <w:divBdr>
        <w:top w:val="none" w:sz="0" w:space="0" w:color="auto"/>
        <w:left w:val="none" w:sz="0" w:space="0" w:color="auto"/>
        <w:bottom w:val="none" w:sz="0" w:space="0" w:color="auto"/>
        <w:right w:val="none" w:sz="0" w:space="0" w:color="auto"/>
      </w:divBdr>
      <w:divsChild>
        <w:div w:id="816921998">
          <w:marLeft w:val="547"/>
          <w:marRight w:val="0"/>
          <w:marTop w:val="96"/>
          <w:marBottom w:val="0"/>
          <w:divBdr>
            <w:top w:val="none" w:sz="0" w:space="0" w:color="auto"/>
            <w:left w:val="none" w:sz="0" w:space="0" w:color="auto"/>
            <w:bottom w:val="none" w:sz="0" w:space="0" w:color="auto"/>
            <w:right w:val="none" w:sz="0" w:space="0" w:color="auto"/>
          </w:divBdr>
        </w:div>
        <w:div w:id="814883021">
          <w:marLeft w:val="1166"/>
          <w:marRight w:val="0"/>
          <w:marTop w:val="77"/>
          <w:marBottom w:val="0"/>
          <w:divBdr>
            <w:top w:val="none" w:sz="0" w:space="0" w:color="auto"/>
            <w:left w:val="none" w:sz="0" w:space="0" w:color="auto"/>
            <w:bottom w:val="none" w:sz="0" w:space="0" w:color="auto"/>
            <w:right w:val="none" w:sz="0" w:space="0" w:color="auto"/>
          </w:divBdr>
        </w:div>
        <w:div w:id="733701541">
          <w:marLeft w:val="1166"/>
          <w:marRight w:val="0"/>
          <w:marTop w:val="77"/>
          <w:marBottom w:val="0"/>
          <w:divBdr>
            <w:top w:val="none" w:sz="0" w:space="0" w:color="auto"/>
            <w:left w:val="none" w:sz="0" w:space="0" w:color="auto"/>
            <w:bottom w:val="none" w:sz="0" w:space="0" w:color="auto"/>
            <w:right w:val="none" w:sz="0" w:space="0" w:color="auto"/>
          </w:divBdr>
        </w:div>
      </w:divsChild>
    </w:div>
    <w:div w:id="257562588">
      <w:bodyDiv w:val="1"/>
      <w:marLeft w:val="0"/>
      <w:marRight w:val="0"/>
      <w:marTop w:val="0"/>
      <w:marBottom w:val="0"/>
      <w:divBdr>
        <w:top w:val="none" w:sz="0" w:space="0" w:color="auto"/>
        <w:left w:val="none" w:sz="0" w:space="0" w:color="auto"/>
        <w:bottom w:val="none" w:sz="0" w:space="0" w:color="auto"/>
        <w:right w:val="none" w:sz="0" w:space="0" w:color="auto"/>
      </w:divBdr>
    </w:div>
    <w:div w:id="257755474">
      <w:bodyDiv w:val="1"/>
      <w:marLeft w:val="0"/>
      <w:marRight w:val="0"/>
      <w:marTop w:val="0"/>
      <w:marBottom w:val="0"/>
      <w:divBdr>
        <w:top w:val="none" w:sz="0" w:space="0" w:color="auto"/>
        <w:left w:val="none" w:sz="0" w:space="0" w:color="auto"/>
        <w:bottom w:val="none" w:sz="0" w:space="0" w:color="auto"/>
        <w:right w:val="none" w:sz="0" w:space="0" w:color="auto"/>
      </w:divBdr>
      <w:divsChild>
        <w:div w:id="1446537244">
          <w:marLeft w:val="0"/>
          <w:marRight w:val="0"/>
          <w:marTop w:val="0"/>
          <w:marBottom w:val="0"/>
          <w:divBdr>
            <w:top w:val="none" w:sz="0" w:space="0" w:color="auto"/>
            <w:left w:val="none" w:sz="0" w:space="0" w:color="auto"/>
            <w:bottom w:val="none" w:sz="0" w:space="0" w:color="auto"/>
            <w:right w:val="none" w:sz="0" w:space="0" w:color="auto"/>
          </w:divBdr>
        </w:div>
        <w:div w:id="531382694">
          <w:marLeft w:val="0"/>
          <w:marRight w:val="0"/>
          <w:marTop w:val="0"/>
          <w:marBottom w:val="0"/>
          <w:divBdr>
            <w:top w:val="none" w:sz="0" w:space="0" w:color="auto"/>
            <w:left w:val="none" w:sz="0" w:space="0" w:color="auto"/>
            <w:bottom w:val="none" w:sz="0" w:space="0" w:color="auto"/>
            <w:right w:val="none" w:sz="0" w:space="0" w:color="auto"/>
          </w:divBdr>
        </w:div>
      </w:divsChild>
    </w:div>
    <w:div w:id="259528750">
      <w:bodyDiv w:val="1"/>
      <w:marLeft w:val="0"/>
      <w:marRight w:val="0"/>
      <w:marTop w:val="0"/>
      <w:marBottom w:val="0"/>
      <w:divBdr>
        <w:top w:val="none" w:sz="0" w:space="0" w:color="auto"/>
        <w:left w:val="none" w:sz="0" w:space="0" w:color="auto"/>
        <w:bottom w:val="none" w:sz="0" w:space="0" w:color="auto"/>
        <w:right w:val="none" w:sz="0" w:space="0" w:color="auto"/>
      </w:divBdr>
    </w:div>
    <w:div w:id="271014974">
      <w:bodyDiv w:val="1"/>
      <w:marLeft w:val="0"/>
      <w:marRight w:val="0"/>
      <w:marTop w:val="0"/>
      <w:marBottom w:val="0"/>
      <w:divBdr>
        <w:top w:val="none" w:sz="0" w:space="0" w:color="auto"/>
        <w:left w:val="none" w:sz="0" w:space="0" w:color="auto"/>
        <w:bottom w:val="none" w:sz="0" w:space="0" w:color="auto"/>
        <w:right w:val="none" w:sz="0" w:space="0" w:color="auto"/>
      </w:divBdr>
      <w:divsChild>
        <w:div w:id="255479148">
          <w:marLeft w:val="547"/>
          <w:marRight w:val="0"/>
          <w:marTop w:val="134"/>
          <w:marBottom w:val="0"/>
          <w:divBdr>
            <w:top w:val="none" w:sz="0" w:space="0" w:color="auto"/>
            <w:left w:val="none" w:sz="0" w:space="0" w:color="auto"/>
            <w:bottom w:val="none" w:sz="0" w:space="0" w:color="auto"/>
            <w:right w:val="none" w:sz="0" w:space="0" w:color="auto"/>
          </w:divBdr>
        </w:div>
        <w:div w:id="1400598278">
          <w:marLeft w:val="1166"/>
          <w:marRight w:val="0"/>
          <w:marTop w:val="96"/>
          <w:marBottom w:val="0"/>
          <w:divBdr>
            <w:top w:val="none" w:sz="0" w:space="0" w:color="auto"/>
            <w:left w:val="none" w:sz="0" w:space="0" w:color="auto"/>
            <w:bottom w:val="none" w:sz="0" w:space="0" w:color="auto"/>
            <w:right w:val="none" w:sz="0" w:space="0" w:color="auto"/>
          </w:divBdr>
        </w:div>
        <w:div w:id="890314185">
          <w:marLeft w:val="1800"/>
          <w:marRight w:val="0"/>
          <w:marTop w:val="86"/>
          <w:marBottom w:val="0"/>
          <w:divBdr>
            <w:top w:val="none" w:sz="0" w:space="0" w:color="auto"/>
            <w:left w:val="none" w:sz="0" w:space="0" w:color="auto"/>
            <w:bottom w:val="none" w:sz="0" w:space="0" w:color="auto"/>
            <w:right w:val="none" w:sz="0" w:space="0" w:color="auto"/>
          </w:divBdr>
        </w:div>
        <w:div w:id="1469712271">
          <w:marLeft w:val="1800"/>
          <w:marRight w:val="0"/>
          <w:marTop w:val="86"/>
          <w:marBottom w:val="0"/>
          <w:divBdr>
            <w:top w:val="none" w:sz="0" w:space="0" w:color="auto"/>
            <w:left w:val="none" w:sz="0" w:space="0" w:color="auto"/>
            <w:bottom w:val="none" w:sz="0" w:space="0" w:color="auto"/>
            <w:right w:val="none" w:sz="0" w:space="0" w:color="auto"/>
          </w:divBdr>
        </w:div>
        <w:div w:id="987898581">
          <w:marLeft w:val="1800"/>
          <w:marRight w:val="0"/>
          <w:marTop w:val="86"/>
          <w:marBottom w:val="0"/>
          <w:divBdr>
            <w:top w:val="none" w:sz="0" w:space="0" w:color="auto"/>
            <w:left w:val="none" w:sz="0" w:space="0" w:color="auto"/>
            <w:bottom w:val="none" w:sz="0" w:space="0" w:color="auto"/>
            <w:right w:val="none" w:sz="0" w:space="0" w:color="auto"/>
          </w:divBdr>
        </w:div>
        <w:div w:id="102581975">
          <w:marLeft w:val="1800"/>
          <w:marRight w:val="0"/>
          <w:marTop w:val="86"/>
          <w:marBottom w:val="0"/>
          <w:divBdr>
            <w:top w:val="none" w:sz="0" w:space="0" w:color="auto"/>
            <w:left w:val="none" w:sz="0" w:space="0" w:color="auto"/>
            <w:bottom w:val="none" w:sz="0" w:space="0" w:color="auto"/>
            <w:right w:val="none" w:sz="0" w:space="0" w:color="auto"/>
          </w:divBdr>
        </w:div>
        <w:div w:id="1222325839">
          <w:marLeft w:val="1166"/>
          <w:marRight w:val="0"/>
          <w:marTop w:val="96"/>
          <w:marBottom w:val="0"/>
          <w:divBdr>
            <w:top w:val="none" w:sz="0" w:space="0" w:color="auto"/>
            <w:left w:val="none" w:sz="0" w:space="0" w:color="auto"/>
            <w:bottom w:val="none" w:sz="0" w:space="0" w:color="auto"/>
            <w:right w:val="none" w:sz="0" w:space="0" w:color="auto"/>
          </w:divBdr>
        </w:div>
        <w:div w:id="73360587">
          <w:marLeft w:val="1800"/>
          <w:marRight w:val="0"/>
          <w:marTop w:val="86"/>
          <w:marBottom w:val="0"/>
          <w:divBdr>
            <w:top w:val="none" w:sz="0" w:space="0" w:color="auto"/>
            <w:left w:val="none" w:sz="0" w:space="0" w:color="auto"/>
            <w:bottom w:val="none" w:sz="0" w:space="0" w:color="auto"/>
            <w:right w:val="none" w:sz="0" w:space="0" w:color="auto"/>
          </w:divBdr>
        </w:div>
        <w:div w:id="1895189973">
          <w:marLeft w:val="1800"/>
          <w:marRight w:val="0"/>
          <w:marTop w:val="86"/>
          <w:marBottom w:val="0"/>
          <w:divBdr>
            <w:top w:val="none" w:sz="0" w:space="0" w:color="auto"/>
            <w:left w:val="none" w:sz="0" w:space="0" w:color="auto"/>
            <w:bottom w:val="none" w:sz="0" w:space="0" w:color="auto"/>
            <w:right w:val="none" w:sz="0" w:space="0" w:color="auto"/>
          </w:divBdr>
        </w:div>
      </w:divsChild>
    </w:div>
    <w:div w:id="274480426">
      <w:bodyDiv w:val="1"/>
      <w:marLeft w:val="0"/>
      <w:marRight w:val="0"/>
      <w:marTop w:val="0"/>
      <w:marBottom w:val="0"/>
      <w:divBdr>
        <w:top w:val="none" w:sz="0" w:space="0" w:color="auto"/>
        <w:left w:val="none" w:sz="0" w:space="0" w:color="auto"/>
        <w:bottom w:val="none" w:sz="0" w:space="0" w:color="auto"/>
        <w:right w:val="none" w:sz="0" w:space="0" w:color="auto"/>
      </w:divBdr>
    </w:div>
    <w:div w:id="293829957">
      <w:bodyDiv w:val="1"/>
      <w:marLeft w:val="0"/>
      <w:marRight w:val="0"/>
      <w:marTop w:val="0"/>
      <w:marBottom w:val="0"/>
      <w:divBdr>
        <w:top w:val="none" w:sz="0" w:space="0" w:color="auto"/>
        <w:left w:val="none" w:sz="0" w:space="0" w:color="auto"/>
        <w:bottom w:val="none" w:sz="0" w:space="0" w:color="auto"/>
        <w:right w:val="none" w:sz="0" w:space="0" w:color="auto"/>
      </w:divBdr>
    </w:div>
    <w:div w:id="334577639">
      <w:bodyDiv w:val="1"/>
      <w:marLeft w:val="0"/>
      <w:marRight w:val="0"/>
      <w:marTop w:val="0"/>
      <w:marBottom w:val="0"/>
      <w:divBdr>
        <w:top w:val="none" w:sz="0" w:space="0" w:color="auto"/>
        <w:left w:val="none" w:sz="0" w:space="0" w:color="auto"/>
        <w:bottom w:val="none" w:sz="0" w:space="0" w:color="auto"/>
        <w:right w:val="none" w:sz="0" w:space="0" w:color="auto"/>
      </w:divBdr>
    </w:div>
    <w:div w:id="341862686">
      <w:bodyDiv w:val="1"/>
      <w:marLeft w:val="0"/>
      <w:marRight w:val="0"/>
      <w:marTop w:val="0"/>
      <w:marBottom w:val="0"/>
      <w:divBdr>
        <w:top w:val="none" w:sz="0" w:space="0" w:color="auto"/>
        <w:left w:val="none" w:sz="0" w:space="0" w:color="auto"/>
        <w:bottom w:val="none" w:sz="0" w:space="0" w:color="auto"/>
        <w:right w:val="none" w:sz="0" w:space="0" w:color="auto"/>
      </w:divBdr>
    </w:div>
    <w:div w:id="356320752">
      <w:bodyDiv w:val="1"/>
      <w:marLeft w:val="0"/>
      <w:marRight w:val="0"/>
      <w:marTop w:val="0"/>
      <w:marBottom w:val="0"/>
      <w:divBdr>
        <w:top w:val="none" w:sz="0" w:space="0" w:color="auto"/>
        <w:left w:val="none" w:sz="0" w:space="0" w:color="auto"/>
        <w:bottom w:val="none" w:sz="0" w:space="0" w:color="auto"/>
        <w:right w:val="none" w:sz="0" w:space="0" w:color="auto"/>
      </w:divBdr>
    </w:div>
    <w:div w:id="357506654">
      <w:bodyDiv w:val="1"/>
      <w:marLeft w:val="0"/>
      <w:marRight w:val="0"/>
      <w:marTop w:val="0"/>
      <w:marBottom w:val="0"/>
      <w:divBdr>
        <w:top w:val="none" w:sz="0" w:space="0" w:color="auto"/>
        <w:left w:val="none" w:sz="0" w:space="0" w:color="auto"/>
        <w:bottom w:val="none" w:sz="0" w:space="0" w:color="auto"/>
        <w:right w:val="none" w:sz="0" w:space="0" w:color="auto"/>
      </w:divBdr>
      <w:divsChild>
        <w:div w:id="1567452135">
          <w:marLeft w:val="547"/>
          <w:marRight w:val="0"/>
          <w:marTop w:val="86"/>
          <w:marBottom w:val="0"/>
          <w:divBdr>
            <w:top w:val="none" w:sz="0" w:space="0" w:color="auto"/>
            <w:left w:val="none" w:sz="0" w:space="0" w:color="auto"/>
            <w:bottom w:val="none" w:sz="0" w:space="0" w:color="auto"/>
            <w:right w:val="none" w:sz="0" w:space="0" w:color="auto"/>
          </w:divBdr>
        </w:div>
      </w:divsChild>
    </w:div>
    <w:div w:id="361788738">
      <w:bodyDiv w:val="1"/>
      <w:marLeft w:val="0"/>
      <w:marRight w:val="0"/>
      <w:marTop w:val="0"/>
      <w:marBottom w:val="0"/>
      <w:divBdr>
        <w:top w:val="none" w:sz="0" w:space="0" w:color="auto"/>
        <w:left w:val="none" w:sz="0" w:space="0" w:color="auto"/>
        <w:bottom w:val="none" w:sz="0" w:space="0" w:color="auto"/>
        <w:right w:val="none" w:sz="0" w:space="0" w:color="auto"/>
      </w:divBdr>
    </w:div>
    <w:div w:id="364211725">
      <w:bodyDiv w:val="1"/>
      <w:marLeft w:val="0"/>
      <w:marRight w:val="0"/>
      <w:marTop w:val="0"/>
      <w:marBottom w:val="0"/>
      <w:divBdr>
        <w:top w:val="none" w:sz="0" w:space="0" w:color="auto"/>
        <w:left w:val="none" w:sz="0" w:space="0" w:color="auto"/>
        <w:bottom w:val="none" w:sz="0" w:space="0" w:color="auto"/>
        <w:right w:val="none" w:sz="0" w:space="0" w:color="auto"/>
      </w:divBdr>
    </w:div>
    <w:div w:id="397441613">
      <w:bodyDiv w:val="1"/>
      <w:marLeft w:val="0"/>
      <w:marRight w:val="0"/>
      <w:marTop w:val="0"/>
      <w:marBottom w:val="0"/>
      <w:divBdr>
        <w:top w:val="none" w:sz="0" w:space="0" w:color="auto"/>
        <w:left w:val="none" w:sz="0" w:space="0" w:color="auto"/>
        <w:bottom w:val="none" w:sz="0" w:space="0" w:color="auto"/>
        <w:right w:val="none" w:sz="0" w:space="0" w:color="auto"/>
      </w:divBdr>
    </w:div>
    <w:div w:id="398990263">
      <w:bodyDiv w:val="1"/>
      <w:marLeft w:val="0"/>
      <w:marRight w:val="0"/>
      <w:marTop w:val="0"/>
      <w:marBottom w:val="0"/>
      <w:divBdr>
        <w:top w:val="none" w:sz="0" w:space="0" w:color="auto"/>
        <w:left w:val="none" w:sz="0" w:space="0" w:color="auto"/>
        <w:bottom w:val="none" w:sz="0" w:space="0" w:color="auto"/>
        <w:right w:val="none" w:sz="0" w:space="0" w:color="auto"/>
      </w:divBdr>
      <w:divsChild>
        <w:div w:id="2093231588">
          <w:marLeft w:val="547"/>
          <w:marRight w:val="0"/>
          <w:marTop w:val="134"/>
          <w:marBottom w:val="0"/>
          <w:divBdr>
            <w:top w:val="none" w:sz="0" w:space="0" w:color="auto"/>
            <w:left w:val="none" w:sz="0" w:space="0" w:color="auto"/>
            <w:bottom w:val="none" w:sz="0" w:space="0" w:color="auto"/>
            <w:right w:val="none" w:sz="0" w:space="0" w:color="auto"/>
          </w:divBdr>
        </w:div>
        <w:div w:id="473257492">
          <w:marLeft w:val="1166"/>
          <w:marRight w:val="0"/>
          <w:marTop w:val="96"/>
          <w:marBottom w:val="0"/>
          <w:divBdr>
            <w:top w:val="none" w:sz="0" w:space="0" w:color="auto"/>
            <w:left w:val="none" w:sz="0" w:space="0" w:color="auto"/>
            <w:bottom w:val="none" w:sz="0" w:space="0" w:color="auto"/>
            <w:right w:val="none" w:sz="0" w:space="0" w:color="auto"/>
          </w:divBdr>
        </w:div>
        <w:div w:id="644240737">
          <w:marLeft w:val="1800"/>
          <w:marRight w:val="0"/>
          <w:marTop w:val="86"/>
          <w:marBottom w:val="0"/>
          <w:divBdr>
            <w:top w:val="none" w:sz="0" w:space="0" w:color="auto"/>
            <w:left w:val="none" w:sz="0" w:space="0" w:color="auto"/>
            <w:bottom w:val="none" w:sz="0" w:space="0" w:color="auto"/>
            <w:right w:val="none" w:sz="0" w:space="0" w:color="auto"/>
          </w:divBdr>
        </w:div>
        <w:div w:id="2043629308">
          <w:marLeft w:val="1800"/>
          <w:marRight w:val="0"/>
          <w:marTop w:val="86"/>
          <w:marBottom w:val="0"/>
          <w:divBdr>
            <w:top w:val="none" w:sz="0" w:space="0" w:color="auto"/>
            <w:left w:val="none" w:sz="0" w:space="0" w:color="auto"/>
            <w:bottom w:val="none" w:sz="0" w:space="0" w:color="auto"/>
            <w:right w:val="none" w:sz="0" w:space="0" w:color="auto"/>
          </w:divBdr>
        </w:div>
        <w:div w:id="1016738381">
          <w:marLeft w:val="1800"/>
          <w:marRight w:val="0"/>
          <w:marTop w:val="86"/>
          <w:marBottom w:val="0"/>
          <w:divBdr>
            <w:top w:val="none" w:sz="0" w:space="0" w:color="auto"/>
            <w:left w:val="none" w:sz="0" w:space="0" w:color="auto"/>
            <w:bottom w:val="none" w:sz="0" w:space="0" w:color="auto"/>
            <w:right w:val="none" w:sz="0" w:space="0" w:color="auto"/>
          </w:divBdr>
        </w:div>
        <w:div w:id="1704207671">
          <w:marLeft w:val="1800"/>
          <w:marRight w:val="0"/>
          <w:marTop w:val="86"/>
          <w:marBottom w:val="0"/>
          <w:divBdr>
            <w:top w:val="none" w:sz="0" w:space="0" w:color="auto"/>
            <w:left w:val="none" w:sz="0" w:space="0" w:color="auto"/>
            <w:bottom w:val="none" w:sz="0" w:space="0" w:color="auto"/>
            <w:right w:val="none" w:sz="0" w:space="0" w:color="auto"/>
          </w:divBdr>
        </w:div>
        <w:div w:id="18358443">
          <w:marLeft w:val="1800"/>
          <w:marRight w:val="0"/>
          <w:marTop w:val="86"/>
          <w:marBottom w:val="0"/>
          <w:divBdr>
            <w:top w:val="none" w:sz="0" w:space="0" w:color="auto"/>
            <w:left w:val="none" w:sz="0" w:space="0" w:color="auto"/>
            <w:bottom w:val="none" w:sz="0" w:space="0" w:color="auto"/>
            <w:right w:val="none" w:sz="0" w:space="0" w:color="auto"/>
          </w:divBdr>
        </w:div>
        <w:div w:id="1459840556">
          <w:marLeft w:val="1166"/>
          <w:marRight w:val="0"/>
          <w:marTop w:val="96"/>
          <w:marBottom w:val="0"/>
          <w:divBdr>
            <w:top w:val="none" w:sz="0" w:space="0" w:color="auto"/>
            <w:left w:val="none" w:sz="0" w:space="0" w:color="auto"/>
            <w:bottom w:val="none" w:sz="0" w:space="0" w:color="auto"/>
            <w:right w:val="none" w:sz="0" w:space="0" w:color="auto"/>
          </w:divBdr>
        </w:div>
        <w:div w:id="1744834011">
          <w:marLeft w:val="1800"/>
          <w:marRight w:val="0"/>
          <w:marTop w:val="86"/>
          <w:marBottom w:val="0"/>
          <w:divBdr>
            <w:top w:val="none" w:sz="0" w:space="0" w:color="auto"/>
            <w:left w:val="none" w:sz="0" w:space="0" w:color="auto"/>
            <w:bottom w:val="none" w:sz="0" w:space="0" w:color="auto"/>
            <w:right w:val="none" w:sz="0" w:space="0" w:color="auto"/>
          </w:divBdr>
        </w:div>
        <w:div w:id="1768848987">
          <w:marLeft w:val="1800"/>
          <w:marRight w:val="0"/>
          <w:marTop w:val="86"/>
          <w:marBottom w:val="0"/>
          <w:divBdr>
            <w:top w:val="none" w:sz="0" w:space="0" w:color="auto"/>
            <w:left w:val="none" w:sz="0" w:space="0" w:color="auto"/>
            <w:bottom w:val="none" w:sz="0" w:space="0" w:color="auto"/>
            <w:right w:val="none" w:sz="0" w:space="0" w:color="auto"/>
          </w:divBdr>
        </w:div>
      </w:divsChild>
    </w:div>
    <w:div w:id="405762153">
      <w:bodyDiv w:val="1"/>
      <w:marLeft w:val="0"/>
      <w:marRight w:val="0"/>
      <w:marTop w:val="0"/>
      <w:marBottom w:val="0"/>
      <w:divBdr>
        <w:top w:val="none" w:sz="0" w:space="0" w:color="auto"/>
        <w:left w:val="none" w:sz="0" w:space="0" w:color="auto"/>
        <w:bottom w:val="none" w:sz="0" w:space="0" w:color="auto"/>
        <w:right w:val="none" w:sz="0" w:space="0" w:color="auto"/>
      </w:divBdr>
    </w:div>
    <w:div w:id="414668828">
      <w:bodyDiv w:val="1"/>
      <w:marLeft w:val="0"/>
      <w:marRight w:val="0"/>
      <w:marTop w:val="0"/>
      <w:marBottom w:val="0"/>
      <w:divBdr>
        <w:top w:val="none" w:sz="0" w:space="0" w:color="auto"/>
        <w:left w:val="none" w:sz="0" w:space="0" w:color="auto"/>
        <w:bottom w:val="none" w:sz="0" w:space="0" w:color="auto"/>
        <w:right w:val="none" w:sz="0" w:space="0" w:color="auto"/>
      </w:divBdr>
      <w:divsChild>
        <w:div w:id="2048286687">
          <w:marLeft w:val="547"/>
          <w:marRight w:val="0"/>
          <w:marTop w:val="86"/>
          <w:marBottom w:val="0"/>
          <w:divBdr>
            <w:top w:val="none" w:sz="0" w:space="0" w:color="auto"/>
            <w:left w:val="none" w:sz="0" w:space="0" w:color="auto"/>
            <w:bottom w:val="none" w:sz="0" w:space="0" w:color="auto"/>
            <w:right w:val="none" w:sz="0" w:space="0" w:color="auto"/>
          </w:divBdr>
        </w:div>
      </w:divsChild>
    </w:div>
    <w:div w:id="426389228">
      <w:bodyDiv w:val="1"/>
      <w:marLeft w:val="0"/>
      <w:marRight w:val="0"/>
      <w:marTop w:val="0"/>
      <w:marBottom w:val="0"/>
      <w:divBdr>
        <w:top w:val="none" w:sz="0" w:space="0" w:color="auto"/>
        <w:left w:val="none" w:sz="0" w:space="0" w:color="auto"/>
        <w:bottom w:val="none" w:sz="0" w:space="0" w:color="auto"/>
        <w:right w:val="none" w:sz="0" w:space="0" w:color="auto"/>
      </w:divBdr>
    </w:div>
    <w:div w:id="427313968">
      <w:bodyDiv w:val="1"/>
      <w:marLeft w:val="0"/>
      <w:marRight w:val="0"/>
      <w:marTop w:val="0"/>
      <w:marBottom w:val="0"/>
      <w:divBdr>
        <w:top w:val="none" w:sz="0" w:space="0" w:color="auto"/>
        <w:left w:val="none" w:sz="0" w:space="0" w:color="auto"/>
        <w:bottom w:val="none" w:sz="0" w:space="0" w:color="auto"/>
        <w:right w:val="none" w:sz="0" w:space="0" w:color="auto"/>
      </w:divBdr>
    </w:div>
    <w:div w:id="431633975">
      <w:bodyDiv w:val="1"/>
      <w:marLeft w:val="0"/>
      <w:marRight w:val="0"/>
      <w:marTop w:val="0"/>
      <w:marBottom w:val="0"/>
      <w:divBdr>
        <w:top w:val="none" w:sz="0" w:space="0" w:color="auto"/>
        <w:left w:val="none" w:sz="0" w:space="0" w:color="auto"/>
        <w:bottom w:val="none" w:sz="0" w:space="0" w:color="auto"/>
        <w:right w:val="none" w:sz="0" w:space="0" w:color="auto"/>
      </w:divBdr>
    </w:div>
    <w:div w:id="437677206">
      <w:bodyDiv w:val="1"/>
      <w:marLeft w:val="0"/>
      <w:marRight w:val="0"/>
      <w:marTop w:val="0"/>
      <w:marBottom w:val="0"/>
      <w:divBdr>
        <w:top w:val="none" w:sz="0" w:space="0" w:color="auto"/>
        <w:left w:val="none" w:sz="0" w:space="0" w:color="auto"/>
        <w:bottom w:val="none" w:sz="0" w:space="0" w:color="auto"/>
        <w:right w:val="none" w:sz="0" w:space="0" w:color="auto"/>
      </w:divBdr>
    </w:div>
    <w:div w:id="478040589">
      <w:bodyDiv w:val="1"/>
      <w:marLeft w:val="0"/>
      <w:marRight w:val="0"/>
      <w:marTop w:val="0"/>
      <w:marBottom w:val="0"/>
      <w:divBdr>
        <w:top w:val="none" w:sz="0" w:space="0" w:color="auto"/>
        <w:left w:val="none" w:sz="0" w:space="0" w:color="auto"/>
        <w:bottom w:val="none" w:sz="0" w:space="0" w:color="auto"/>
        <w:right w:val="none" w:sz="0" w:space="0" w:color="auto"/>
      </w:divBdr>
      <w:divsChild>
        <w:div w:id="823010914">
          <w:marLeft w:val="1800"/>
          <w:marRight w:val="0"/>
          <w:marTop w:val="53"/>
          <w:marBottom w:val="0"/>
          <w:divBdr>
            <w:top w:val="none" w:sz="0" w:space="0" w:color="auto"/>
            <w:left w:val="none" w:sz="0" w:space="0" w:color="auto"/>
            <w:bottom w:val="none" w:sz="0" w:space="0" w:color="auto"/>
            <w:right w:val="none" w:sz="0" w:space="0" w:color="auto"/>
          </w:divBdr>
        </w:div>
      </w:divsChild>
    </w:div>
    <w:div w:id="486283875">
      <w:bodyDiv w:val="1"/>
      <w:marLeft w:val="0"/>
      <w:marRight w:val="0"/>
      <w:marTop w:val="0"/>
      <w:marBottom w:val="0"/>
      <w:divBdr>
        <w:top w:val="none" w:sz="0" w:space="0" w:color="auto"/>
        <w:left w:val="none" w:sz="0" w:space="0" w:color="auto"/>
        <w:bottom w:val="none" w:sz="0" w:space="0" w:color="auto"/>
        <w:right w:val="none" w:sz="0" w:space="0" w:color="auto"/>
      </w:divBdr>
      <w:divsChild>
        <w:div w:id="1626885208">
          <w:marLeft w:val="547"/>
          <w:marRight w:val="0"/>
          <w:marTop w:val="125"/>
          <w:marBottom w:val="0"/>
          <w:divBdr>
            <w:top w:val="none" w:sz="0" w:space="0" w:color="auto"/>
            <w:left w:val="none" w:sz="0" w:space="0" w:color="auto"/>
            <w:bottom w:val="none" w:sz="0" w:space="0" w:color="auto"/>
            <w:right w:val="none" w:sz="0" w:space="0" w:color="auto"/>
          </w:divBdr>
        </w:div>
        <w:div w:id="1359547917">
          <w:marLeft w:val="1166"/>
          <w:marRight w:val="0"/>
          <w:marTop w:val="91"/>
          <w:marBottom w:val="0"/>
          <w:divBdr>
            <w:top w:val="none" w:sz="0" w:space="0" w:color="auto"/>
            <w:left w:val="none" w:sz="0" w:space="0" w:color="auto"/>
            <w:bottom w:val="none" w:sz="0" w:space="0" w:color="auto"/>
            <w:right w:val="none" w:sz="0" w:space="0" w:color="auto"/>
          </w:divBdr>
        </w:div>
        <w:div w:id="1323002574">
          <w:marLeft w:val="1800"/>
          <w:marRight w:val="0"/>
          <w:marTop w:val="82"/>
          <w:marBottom w:val="0"/>
          <w:divBdr>
            <w:top w:val="none" w:sz="0" w:space="0" w:color="auto"/>
            <w:left w:val="none" w:sz="0" w:space="0" w:color="auto"/>
            <w:bottom w:val="none" w:sz="0" w:space="0" w:color="auto"/>
            <w:right w:val="none" w:sz="0" w:space="0" w:color="auto"/>
          </w:divBdr>
        </w:div>
        <w:div w:id="585386591">
          <w:marLeft w:val="1800"/>
          <w:marRight w:val="0"/>
          <w:marTop w:val="82"/>
          <w:marBottom w:val="0"/>
          <w:divBdr>
            <w:top w:val="none" w:sz="0" w:space="0" w:color="auto"/>
            <w:left w:val="none" w:sz="0" w:space="0" w:color="auto"/>
            <w:bottom w:val="none" w:sz="0" w:space="0" w:color="auto"/>
            <w:right w:val="none" w:sz="0" w:space="0" w:color="auto"/>
          </w:divBdr>
        </w:div>
        <w:div w:id="868568113">
          <w:marLeft w:val="1800"/>
          <w:marRight w:val="0"/>
          <w:marTop w:val="82"/>
          <w:marBottom w:val="0"/>
          <w:divBdr>
            <w:top w:val="none" w:sz="0" w:space="0" w:color="auto"/>
            <w:left w:val="none" w:sz="0" w:space="0" w:color="auto"/>
            <w:bottom w:val="none" w:sz="0" w:space="0" w:color="auto"/>
            <w:right w:val="none" w:sz="0" w:space="0" w:color="auto"/>
          </w:divBdr>
        </w:div>
        <w:div w:id="1682314501">
          <w:marLeft w:val="1166"/>
          <w:marRight w:val="0"/>
          <w:marTop w:val="91"/>
          <w:marBottom w:val="0"/>
          <w:divBdr>
            <w:top w:val="none" w:sz="0" w:space="0" w:color="auto"/>
            <w:left w:val="none" w:sz="0" w:space="0" w:color="auto"/>
            <w:bottom w:val="none" w:sz="0" w:space="0" w:color="auto"/>
            <w:right w:val="none" w:sz="0" w:space="0" w:color="auto"/>
          </w:divBdr>
        </w:div>
        <w:div w:id="893544304">
          <w:marLeft w:val="1800"/>
          <w:marRight w:val="0"/>
          <w:marTop w:val="82"/>
          <w:marBottom w:val="0"/>
          <w:divBdr>
            <w:top w:val="none" w:sz="0" w:space="0" w:color="auto"/>
            <w:left w:val="none" w:sz="0" w:space="0" w:color="auto"/>
            <w:bottom w:val="none" w:sz="0" w:space="0" w:color="auto"/>
            <w:right w:val="none" w:sz="0" w:space="0" w:color="auto"/>
          </w:divBdr>
        </w:div>
        <w:div w:id="1647513287">
          <w:marLeft w:val="1166"/>
          <w:marRight w:val="0"/>
          <w:marTop w:val="91"/>
          <w:marBottom w:val="0"/>
          <w:divBdr>
            <w:top w:val="none" w:sz="0" w:space="0" w:color="auto"/>
            <w:left w:val="none" w:sz="0" w:space="0" w:color="auto"/>
            <w:bottom w:val="none" w:sz="0" w:space="0" w:color="auto"/>
            <w:right w:val="none" w:sz="0" w:space="0" w:color="auto"/>
          </w:divBdr>
        </w:div>
        <w:div w:id="256445100">
          <w:marLeft w:val="1800"/>
          <w:marRight w:val="0"/>
          <w:marTop w:val="82"/>
          <w:marBottom w:val="0"/>
          <w:divBdr>
            <w:top w:val="none" w:sz="0" w:space="0" w:color="auto"/>
            <w:left w:val="none" w:sz="0" w:space="0" w:color="auto"/>
            <w:bottom w:val="none" w:sz="0" w:space="0" w:color="auto"/>
            <w:right w:val="none" w:sz="0" w:space="0" w:color="auto"/>
          </w:divBdr>
        </w:div>
        <w:div w:id="41443887">
          <w:marLeft w:val="1800"/>
          <w:marRight w:val="0"/>
          <w:marTop w:val="82"/>
          <w:marBottom w:val="0"/>
          <w:divBdr>
            <w:top w:val="none" w:sz="0" w:space="0" w:color="auto"/>
            <w:left w:val="none" w:sz="0" w:space="0" w:color="auto"/>
            <w:bottom w:val="none" w:sz="0" w:space="0" w:color="auto"/>
            <w:right w:val="none" w:sz="0" w:space="0" w:color="auto"/>
          </w:divBdr>
        </w:div>
        <w:div w:id="1914974263">
          <w:marLeft w:val="1166"/>
          <w:marRight w:val="0"/>
          <w:marTop w:val="91"/>
          <w:marBottom w:val="0"/>
          <w:divBdr>
            <w:top w:val="none" w:sz="0" w:space="0" w:color="auto"/>
            <w:left w:val="none" w:sz="0" w:space="0" w:color="auto"/>
            <w:bottom w:val="none" w:sz="0" w:space="0" w:color="auto"/>
            <w:right w:val="none" w:sz="0" w:space="0" w:color="auto"/>
          </w:divBdr>
        </w:div>
        <w:div w:id="1384406400">
          <w:marLeft w:val="1800"/>
          <w:marRight w:val="0"/>
          <w:marTop w:val="82"/>
          <w:marBottom w:val="0"/>
          <w:divBdr>
            <w:top w:val="none" w:sz="0" w:space="0" w:color="auto"/>
            <w:left w:val="none" w:sz="0" w:space="0" w:color="auto"/>
            <w:bottom w:val="none" w:sz="0" w:space="0" w:color="auto"/>
            <w:right w:val="none" w:sz="0" w:space="0" w:color="auto"/>
          </w:divBdr>
        </w:div>
      </w:divsChild>
    </w:div>
    <w:div w:id="505485966">
      <w:bodyDiv w:val="1"/>
      <w:marLeft w:val="0"/>
      <w:marRight w:val="0"/>
      <w:marTop w:val="0"/>
      <w:marBottom w:val="0"/>
      <w:divBdr>
        <w:top w:val="none" w:sz="0" w:space="0" w:color="auto"/>
        <w:left w:val="none" w:sz="0" w:space="0" w:color="auto"/>
        <w:bottom w:val="none" w:sz="0" w:space="0" w:color="auto"/>
        <w:right w:val="none" w:sz="0" w:space="0" w:color="auto"/>
      </w:divBdr>
    </w:div>
    <w:div w:id="512765742">
      <w:bodyDiv w:val="1"/>
      <w:marLeft w:val="0"/>
      <w:marRight w:val="0"/>
      <w:marTop w:val="0"/>
      <w:marBottom w:val="0"/>
      <w:divBdr>
        <w:top w:val="none" w:sz="0" w:space="0" w:color="auto"/>
        <w:left w:val="none" w:sz="0" w:space="0" w:color="auto"/>
        <w:bottom w:val="none" w:sz="0" w:space="0" w:color="auto"/>
        <w:right w:val="none" w:sz="0" w:space="0" w:color="auto"/>
      </w:divBdr>
    </w:div>
    <w:div w:id="524560090">
      <w:bodyDiv w:val="1"/>
      <w:marLeft w:val="0"/>
      <w:marRight w:val="0"/>
      <w:marTop w:val="0"/>
      <w:marBottom w:val="0"/>
      <w:divBdr>
        <w:top w:val="none" w:sz="0" w:space="0" w:color="auto"/>
        <w:left w:val="none" w:sz="0" w:space="0" w:color="auto"/>
        <w:bottom w:val="none" w:sz="0" w:space="0" w:color="auto"/>
        <w:right w:val="none" w:sz="0" w:space="0" w:color="auto"/>
      </w:divBdr>
    </w:div>
    <w:div w:id="550070869">
      <w:bodyDiv w:val="1"/>
      <w:marLeft w:val="0"/>
      <w:marRight w:val="0"/>
      <w:marTop w:val="0"/>
      <w:marBottom w:val="0"/>
      <w:divBdr>
        <w:top w:val="none" w:sz="0" w:space="0" w:color="auto"/>
        <w:left w:val="none" w:sz="0" w:space="0" w:color="auto"/>
        <w:bottom w:val="none" w:sz="0" w:space="0" w:color="auto"/>
        <w:right w:val="none" w:sz="0" w:space="0" w:color="auto"/>
      </w:divBdr>
      <w:divsChild>
        <w:div w:id="1201019268">
          <w:marLeft w:val="547"/>
          <w:marRight w:val="0"/>
          <w:marTop w:val="134"/>
          <w:marBottom w:val="0"/>
          <w:divBdr>
            <w:top w:val="none" w:sz="0" w:space="0" w:color="auto"/>
            <w:left w:val="none" w:sz="0" w:space="0" w:color="auto"/>
            <w:bottom w:val="none" w:sz="0" w:space="0" w:color="auto"/>
            <w:right w:val="none" w:sz="0" w:space="0" w:color="auto"/>
          </w:divBdr>
        </w:div>
        <w:div w:id="1059405474">
          <w:marLeft w:val="547"/>
          <w:marRight w:val="0"/>
          <w:marTop w:val="134"/>
          <w:marBottom w:val="0"/>
          <w:divBdr>
            <w:top w:val="none" w:sz="0" w:space="0" w:color="auto"/>
            <w:left w:val="none" w:sz="0" w:space="0" w:color="auto"/>
            <w:bottom w:val="none" w:sz="0" w:space="0" w:color="auto"/>
            <w:right w:val="none" w:sz="0" w:space="0" w:color="auto"/>
          </w:divBdr>
        </w:div>
        <w:div w:id="1609465068">
          <w:marLeft w:val="547"/>
          <w:marRight w:val="0"/>
          <w:marTop w:val="134"/>
          <w:marBottom w:val="0"/>
          <w:divBdr>
            <w:top w:val="none" w:sz="0" w:space="0" w:color="auto"/>
            <w:left w:val="none" w:sz="0" w:space="0" w:color="auto"/>
            <w:bottom w:val="none" w:sz="0" w:space="0" w:color="auto"/>
            <w:right w:val="none" w:sz="0" w:space="0" w:color="auto"/>
          </w:divBdr>
        </w:div>
      </w:divsChild>
    </w:div>
    <w:div w:id="575751556">
      <w:bodyDiv w:val="1"/>
      <w:marLeft w:val="0"/>
      <w:marRight w:val="0"/>
      <w:marTop w:val="0"/>
      <w:marBottom w:val="0"/>
      <w:divBdr>
        <w:top w:val="none" w:sz="0" w:space="0" w:color="auto"/>
        <w:left w:val="none" w:sz="0" w:space="0" w:color="auto"/>
        <w:bottom w:val="none" w:sz="0" w:space="0" w:color="auto"/>
        <w:right w:val="none" w:sz="0" w:space="0" w:color="auto"/>
      </w:divBdr>
      <w:divsChild>
        <w:div w:id="838735884">
          <w:marLeft w:val="1166"/>
          <w:marRight w:val="0"/>
          <w:marTop w:val="67"/>
          <w:marBottom w:val="0"/>
          <w:divBdr>
            <w:top w:val="none" w:sz="0" w:space="0" w:color="auto"/>
            <w:left w:val="none" w:sz="0" w:space="0" w:color="auto"/>
            <w:bottom w:val="none" w:sz="0" w:space="0" w:color="auto"/>
            <w:right w:val="none" w:sz="0" w:space="0" w:color="auto"/>
          </w:divBdr>
        </w:div>
      </w:divsChild>
    </w:div>
    <w:div w:id="595018833">
      <w:bodyDiv w:val="1"/>
      <w:marLeft w:val="0"/>
      <w:marRight w:val="0"/>
      <w:marTop w:val="0"/>
      <w:marBottom w:val="0"/>
      <w:divBdr>
        <w:top w:val="none" w:sz="0" w:space="0" w:color="auto"/>
        <w:left w:val="none" w:sz="0" w:space="0" w:color="auto"/>
        <w:bottom w:val="none" w:sz="0" w:space="0" w:color="auto"/>
        <w:right w:val="none" w:sz="0" w:space="0" w:color="auto"/>
      </w:divBdr>
    </w:div>
    <w:div w:id="622466314">
      <w:bodyDiv w:val="1"/>
      <w:marLeft w:val="0"/>
      <w:marRight w:val="0"/>
      <w:marTop w:val="0"/>
      <w:marBottom w:val="0"/>
      <w:divBdr>
        <w:top w:val="none" w:sz="0" w:space="0" w:color="auto"/>
        <w:left w:val="none" w:sz="0" w:space="0" w:color="auto"/>
        <w:bottom w:val="none" w:sz="0" w:space="0" w:color="auto"/>
        <w:right w:val="none" w:sz="0" w:space="0" w:color="auto"/>
      </w:divBdr>
    </w:div>
    <w:div w:id="632906422">
      <w:bodyDiv w:val="1"/>
      <w:marLeft w:val="0"/>
      <w:marRight w:val="0"/>
      <w:marTop w:val="0"/>
      <w:marBottom w:val="0"/>
      <w:divBdr>
        <w:top w:val="none" w:sz="0" w:space="0" w:color="auto"/>
        <w:left w:val="none" w:sz="0" w:space="0" w:color="auto"/>
        <w:bottom w:val="none" w:sz="0" w:space="0" w:color="auto"/>
        <w:right w:val="none" w:sz="0" w:space="0" w:color="auto"/>
      </w:divBdr>
      <w:divsChild>
        <w:div w:id="1682925612">
          <w:marLeft w:val="547"/>
          <w:marRight w:val="0"/>
          <w:marTop w:val="125"/>
          <w:marBottom w:val="0"/>
          <w:divBdr>
            <w:top w:val="none" w:sz="0" w:space="0" w:color="auto"/>
            <w:left w:val="none" w:sz="0" w:space="0" w:color="auto"/>
            <w:bottom w:val="none" w:sz="0" w:space="0" w:color="auto"/>
            <w:right w:val="none" w:sz="0" w:space="0" w:color="auto"/>
          </w:divBdr>
        </w:div>
        <w:div w:id="1437285230">
          <w:marLeft w:val="1166"/>
          <w:marRight w:val="0"/>
          <w:marTop w:val="91"/>
          <w:marBottom w:val="0"/>
          <w:divBdr>
            <w:top w:val="none" w:sz="0" w:space="0" w:color="auto"/>
            <w:left w:val="none" w:sz="0" w:space="0" w:color="auto"/>
            <w:bottom w:val="none" w:sz="0" w:space="0" w:color="auto"/>
            <w:right w:val="none" w:sz="0" w:space="0" w:color="auto"/>
          </w:divBdr>
        </w:div>
        <w:div w:id="415709199">
          <w:marLeft w:val="1800"/>
          <w:marRight w:val="0"/>
          <w:marTop w:val="82"/>
          <w:marBottom w:val="0"/>
          <w:divBdr>
            <w:top w:val="none" w:sz="0" w:space="0" w:color="auto"/>
            <w:left w:val="none" w:sz="0" w:space="0" w:color="auto"/>
            <w:bottom w:val="none" w:sz="0" w:space="0" w:color="auto"/>
            <w:right w:val="none" w:sz="0" w:space="0" w:color="auto"/>
          </w:divBdr>
        </w:div>
        <w:div w:id="1712339569">
          <w:marLeft w:val="1800"/>
          <w:marRight w:val="0"/>
          <w:marTop w:val="82"/>
          <w:marBottom w:val="0"/>
          <w:divBdr>
            <w:top w:val="none" w:sz="0" w:space="0" w:color="auto"/>
            <w:left w:val="none" w:sz="0" w:space="0" w:color="auto"/>
            <w:bottom w:val="none" w:sz="0" w:space="0" w:color="auto"/>
            <w:right w:val="none" w:sz="0" w:space="0" w:color="auto"/>
          </w:divBdr>
        </w:div>
        <w:div w:id="1084642213">
          <w:marLeft w:val="1800"/>
          <w:marRight w:val="0"/>
          <w:marTop w:val="82"/>
          <w:marBottom w:val="0"/>
          <w:divBdr>
            <w:top w:val="none" w:sz="0" w:space="0" w:color="auto"/>
            <w:left w:val="none" w:sz="0" w:space="0" w:color="auto"/>
            <w:bottom w:val="none" w:sz="0" w:space="0" w:color="auto"/>
            <w:right w:val="none" w:sz="0" w:space="0" w:color="auto"/>
          </w:divBdr>
        </w:div>
        <w:div w:id="1237321500">
          <w:marLeft w:val="1166"/>
          <w:marRight w:val="0"/>
          <w:marTop w:val="91"/>
          <w:marBottom w:val="0"/>
          <w:divBdr>
            <w:top w:val="none" w:sz="0" w:space="0" w:color="auto"/>
            <w:left w:val="none" w:sz="0" w:space="0" w:color="auto"/>
            <w:bottom w:val="none" w:sz="0" w:space="0" w:color="auto"/>
            <w:right w:val="none" w:sz="0" w:space="0" w:color="auto"/>
          </w:divBdr>
        </w:div>
        <w:div w:id="1508057757">
          <w:marLeft w:val="1800"/>
          <w:marRight w:val="0"/>
          <w:marTop w:val="82"/>
          <w:marBottom w:val="0"/>
          <w:divBdr>
            <w:top w:val="none" w:sz="0" w:space="0" w:color="auto"/>
            <w:left w:val="none" w:sz="0" w:space="0" w:color="auto"/>
            <w:bottom w:val="none" w:sz="0" w:space="0" w:color="auto"/>
            <w:right w:val="none" w:sz="0" w:space="0" w:color="auto"/>
          </w:divBdr>
        </w:div>
        <w:div w:id="90705093">
          <w:marLeft w:val="1166"/>
          <w:marRight w:val="0"/>
          <w:marTop w:val="91"/>
          <w:marBottom w:val="0"/>
          <w:divBdr>
            <w:top w:val="none" w:sz="0" w:space="0" w:color="auto"/>
            <w:left w:val="none" w:sz="0" w:space="0" w:color="auto"/>
            <w:bottom w:val="none" w:sz="0" w:space="0" w:color="auto"/>
            <w:right w:val="none" w:sz="0" w:space="0" w:color="auto"/>
          </w:divBdr>
        </w:div>
        <w:div w:id="1972512161">
          <w:marLeft w:val="1800"/>
          <w:marRight w:val="0"/>
          <w:marTop w:val="82"/>
          <w:marBottom w:val="0"/>
          <w:divBdr>
            <w:top w:val="none" w:sz="0" w:space="0" w:color="auto"/>
            <w:left w:val="none" w:sz="0" w:space="0" w:color="auto"/>
            <w:bottom w:val="none" w:sz="0" w:space="0" w:color="auto"/>
            <w:right w:val="none" w:sz="0" w:space="0" w:color="auto"/>
          </w:divBdr>
        </w:div>
        <w:div w:id="99448021">
          <w:marLeft w:val="1800"/>
          <w:marRight w:val="0"/>
          <w:marTop w:val="82"/>
          <w:marBottom w:val="0"/>
          <w:divBdr>
            <w:top w:val="none" w:sz="0" w:space="0" w:color="auto"/>
            <w:left w:val="none" w:sz="0" w:space="0" w:color="auto"/>
            <w:bottom w:val="none" w:sz="0" w:space="0" w:color="auto"/>
            <w:right w:val="none" w:sz="0" w:space="0" w:color="auto"/>
          </w:divBdr>
        </w:div>
        <w:div w:id="35545434">
          <w:marLeft w:val="1166"/>
          <w:marRight w:val="0"/>
          <w:marTop w:val="91"/>
          <w:marBottom w:val="0"/>
          <w:divBdr>
            <w:top w:val="none" w:sz="0" w:space="0" w:color="auto"/>
            <w:left w:val="none" w:sz="0" w:space="0" w:color="auto"/>
            <w:bottom w:val="none" w:sz="0" w:space="0" w:color="auto"/>
            <w:right w:val="none" w:sz="0" w:space="0" w:color="auto"/>
          </w:divBdr>
        </w:div>
        <w:div w:id="50277897">
          <w:marLeft w:val="1800"/>
          <w:marRight w:val="0"/>
          <w:marTop w:val="82"/>
          <w:marBottom w:val="0"/>
          <w:divBdr>
            <w:top w:val="none" w:sz="0" w:space="0" w:color="auto"/>
            <w:left w:val="none" w:sz="0" w:space="0" w:color="auto"/>
            <w:bottom w:val="none" w:sz="0" w:space="0" w:color="auto"/>
            <w:right w:val="none" w:sz="0" w:space="0" w:color="auto"/>
          </w:divBdr>
        </w:div>
      </w:divsChild>
    </w:div>
    <w:div w:id="669719309">
      <w:bodyDiv w:val="1"/>
      <w:marLeft w:val="0"/>
      <w:marRight w:val="0"/>
      <w:marTop w:val="0"/>
      <w:marBottom w:val="0"/>
      <w:divBdr>
        <w:top w:val="none" w:sz="0" w:space="0" w:color="auto"/>
        <w:left w:val="none" w:sz="0" w:space="0" w:color="auto"/>
        <w:bottom w:val="none" w:sz="0" w:space="0" w:color="auto"/>
        <w:right w:val="none" w:sz="0" w:space="0" w:color="auto"/>
      </w:divBdr>
    </w:div>
    <w:div w:id="708649934">
      <w:bodyDiv w:val="1"/>
      <w:marLeft w:val="0"/>
      <w:marRight w:val="0"/>
      <w:marTop w:val="0"/>
      <w:marBottom w:val="0"/>
      <w:divBdr>
        <w:top w:val="none" w:sz="0" w:space="0" w:color="auto"/>
        <w:left w:val="none" w:sz="0" w:space="0" w:color="auto"/>
        <w:bottom w:val="none" w:sz="0" w:space="0" w:color="auto"/>
        <w:right w:val="none" w:sz="0" w:space="0" w:color="auto"/>
      </w:divBdr>
    </w:div>
    <w:div w:id="721833241">
      <w:bodyDiv w:val="1"/>
      <w:marLeft w:val="0"/>
      <w:marRight w:val="0"/>
      <w:marTop w:val="0"/>
      <w:marBottom w:val="0"/>
      <w:divBdr>
        <w:top w:val="none" w:sz="0" w:space="0" w:color="auto"/>
        <w:left w:val="none" w:sz="0" w:space="0" w:color="auto"/>
        <w:bottom w:val="none" w:sz="0" w:space="0" w:color="auto"/>
        <w:right w:val="none" w:sz="0" w:space="0" w:color="auto"/>
      </w:divBdr>
    </w:div>
    <w:div w:id="723715863">
      <w:bodyDiv w:val="1"/>
      <w:marLeft w:val="0"/>
      <w:marRight w:val="0"/>
      <w:marTop w:val="0"/>
      <w:marBottom w:val="0"/>
      <w:divBdr>
        <w:top w:val="none" w:sz="0" w:space="0" w:color="auto"/>
        <w:left w:val="none" w:sz="0" w:space="0" w:color="auto"/>
        <w:bottom w:val="none" w:sz="0" w:space="0" w:color="auto"/>
        <w:right w:val="none" w:sz="0" w:space="0" w:color="auto"/>
      </w:divBdr>
      <w:divsChild>
        <w:div w:id="1691687061">
          <w:marLeft w:val="547"/>
          <w:marRight w:val="0"/>
          <w:marTop w:val="96"/>
          <w:marBottom w:val="0"/>
          <w:divBdr>
            <w:top w:val="none" w:sz="0" w:space="0" w:color="auto"/>
            <w:left w:val="none" w:sz="0" w:space="0" w:color="auto"/>
            <w:bottom w:val="none" w:sz="0" w:space="0" w:color="auto"/>
            <w:right w:val="none" w:sz="0" w:space="0" w:color="auto"/>
          </w:divBdr>
        </w:div>
      </w:divsChild>
    </w:div>
    <w:div w:id="772284246">
      <w:bodyDiv w:val="1"/>
      <w:marLeft w:val="0"/>
      <w:marRight w:val="0"/>
      <w:marTop w:val="0"/>
      <w:marBottom w:val="0"/>
      <w:divBdr>
        <w:top w:val="none" w:sz="0" w:space="0" w:color="auto"/>
        <w:left w:val="none" w:sz="0" w:space="0" w:color="auto"/>
        <w:bottom w:val="none" w:sz="0" w:space="0" w:color="auto"/>
        <w:right w:val="none" w:sz="0" w:space="0" w:color="auto"/>
      </w:divBdr>
    </w:div>
    <w:div w:id="780996220">
      <w:bodyDiv w:val="1"/>
      <w:marLeft w:val="0"/>
      <w:marRight w:val="0"/>
      <w:marTop w:val="0"/>
      <w:marBottom w:val="0"/>
      <w:divBdr>
        <w:top w:val="none" w:sz="0" w:space="0" w:color="auto"/>
        <w:left w:val="none" w:sz="0" w:space="0" w:color="auto"/>
        <w:bottom w:val="none" w:sz="0" w:space="0" w:color="auto"/>
        <w:right w:val="none" w:sz="0" w:space="0" w:color="auto"/>
      </w:divBdr>
    </w:div>
    <w:div w:id="800853247">
      <w:bodyDiv w:val="1"/>
      <w:marLeft w:val="0"/>
      <w:marRight w:val="0"/>
      <w:marTop w:val="0"/>
      <w:marBottom w:val="0"/>
      <w:divBdr>
        <w:top w:val="none" w:sz="0" w:space="0" w:color="auto"/>
        <w:left w:val="none" w:sz="0" w:space="0" w:color="auto"/>
        <w:bottom w:val="none" w:sz="0" w:space="0" w:color="auto"/>
        <w:right w:val="none" w:sz="0" w:space="0" w:color="auto"/>
      </w:divBdr>
    </w:div>
    <w:div w:id="826870414">
      <w:bodyDiv w:val="1"/>
      <w:marLeft w:val="0"/>
      <w:marRight w:val="0"/>
      <w:marTop w:val="0"/>
      <w:marBottom w:val="0"/>
      <w:divBdr>
        <w:top w:val="none" w:sz="0" w:space="0" w:color="auto"/>
        <w:left w:val="none" w:sz="0" w:space="0" w:color="auto"/>
        <w:bottom w:val="none" w:sz="0" w:space="0" w:color="auto"/>
        <w:right w:val="none" w:sz="0" w:space="0" w:color="auto"/>
      </w:divBdr>
    </w:div>
    <w:div w:id="831599985">
      <w:bodyDiv w:val="1"/>
      <w:marLeft w:val="0"/>
      <w:marRight w:val="0"/>
      <w:marTop w:val="0"/>
      <w:marBottom w:val="0"/>
      <w:divBdr>
        <w:top w:val="none" w:sz="0" w:space="0" w:color="auto"/>
        <w:left w:val="none" w:sz="0" w:space="0" w:color="auto"/>
        <w:bottom w:val="none" w:sz="0" w:space="0" w:color="auto"/>
        <w:right w:val="none" w:sz="0" w:space="0" w:color="auto"/>
      </w:divBdr>
    </w:div>
    <w:div w:id="847408704">
      <w:bodyDiv w:val="1"/>
      <w:marLeft w:val="0"/>
      <w:marRight w:val="0"/>
      <w:marTop w:val="0"/>
      <w:marBottom w:val="0"/>
      <w:divBdr>
        <w:top w:val="none" w:sz="0" w:space="0" w:color="auto"/>
        <w:left w:val="none" w:sz="0" w:space="0" w:color="auto"/>
        <w:bottom w:val="none" w:sz="0" w:space="0" w:color="auto"/>
        <w:right w:val="none" w:sz="0" w:space="0" w:color="auto"/>
      </w:divBdr>
    </w:div>
    <w:div w:id="867333270">
      <w:bodyDiv w:val="1"/>
      <w:marLeft w:val="0"/>
      <w:marRight w:val="0"/>
      <w:marTop w:val="0"/>
      <w:marBottom w:val="0"/>
      <w:divBdr>
        <w:top w:val="none" w:sz="0" w:space="0" w:color="auto"/>
        <w:left w:val="none" w:sz="0" w:space="0" w:color="auto"/>
        <w:bottom w:val="none" w:sz="0" w:space="0" w:color="auto"/>
        <w:right w:val="none" w:sz="0" w:space="0" w:color="auto"/>
      </w:divBdr>
    </w:div>
    <w:div w:id="878325975">
      <w:bodyDiv w:val="1"/>
      <w:marLeft w:val="0"/>
      <w:marRight w:val="0"/>
      <w:marTop w:val="0"/>
      <w:marBottom w:val="0"/>
      <w:divBdr>
        <w:top w:val="none" w:sz="0" w:space="0" w:color="auto"/>
        <w:left w:val="none" w:sz="0" w:space="0" w:color="auto"/>
        <w:bottom w:val="none" w:sz="0" w:space="0" w:color="auto"/>
        <w:right w:val="none" w:sz="0" w:space="0" w:color="auto"/>
      </w:divBdr>
      <w:divsChild>
        <w:div w:id="1105230014">
          <w:marLeft w:val="0"/>
          <w:marRight w:val="0"/>
          <w:marTop w:val="0"/>
          <w:marBottom w:val="0"/>
          <w:divBdr>
            <w:top w:val="none" w:sz="0" w:space="0" w:color="auto"/>
            <w:left w:val="none" w:sz="0" w:space="0" w:color="auto"/>
            <w:bottom w:val="none" w:sz="0" w:space="0" w:color="auto"/>
            <w:right w:val="none" w:sz="0" w:space="0" w:color="auto"/>
          </w:divBdr>
          <w:divsChild>
            <w:div w:id="627321187">
              <w:marLeft w:val="0"/>
              <w:marRight w:val="0"/>
              <w:marTop w:val="0"/>
              <w:marBottom w:val="0"/>
              <w:divBdr>
                <w:top w:val="none" w:sz="0" w:space="0" w:color="auto"/>
                <w:left w:val="none" w:sz="0" w:space="0" w:color="auto"/>
                <w:bottom w:val="none" w:sz="0" w:space="0" w:color="auto"/>
                <w:right w:val="none" w:sz="0" w:space="0" w:color="auto"/>
              </w:divBdr>
              <w:divsChild>
                <w:div w:id="1687246815">
                  <w:marLeft w:val="1776"/>
                  <w:marRight w:val="1716"/>
                  <w:marTop w:val="0"/>
                  <w:marBottom w:val="0"/>
                  <w:divBdr>
                    <w:top w:val="single" w:sz="2" w:space="0" w:color="FFFFFF"/>
                    <w:left w:val="single" w:sz="2" w:space="0" w:color="FFFFFF"/>
                    <w:bottom w:val="single" w:sz="2" w:space="0" w:color="FFFFFF"/>
                    <w:right w:val="single" w:sz="2" w:space="0" w:color="FFFFFF"/>
                  </w:divBdr>
                  <w:divsChild>
                    <w:div w:id="1320771320">
                      <w:marLeft w:val="0"/>
                      <w:marRight w:val="0"/>
                      <w:marTop w:val="0"/>
                      <w:marBottom w:val="0"/>
                      <w:divBdr>
                        <w:top w:val="none" w:sz="0" w:space="0" w:color="auto"/>
                        <w:left w:val="none" w:sz="0" w:space="0" w:color="auto"/>
                        <w:bottom w:val="none" w:sz="0" w:space="0" w:color="auto"/>
                        <w:right w:val="none" w:sz="0" w:space="0" w:color="auto"/>
                      </w:divBdr>
                      <w:divsChild>
                        <w:div w:id="233052012">
                          <w:marLeft w:val="0"/>
                          <w:marRight w:val="0"/>
                          <w:marTop w:val="120"/>
                          <w:marBottom w:val="120"/>
                          <w:divBdr>
                            <w:top w:val="none" w:sz="0" w:space="0" w:color="auto"/>
                            <w:left w:val="none" w:sz="0" w:space="0" w:color="auto"/>
                            <w:bottom w:val="none" w:sz="0" w:space="0" w:color="auto"/>
                            <w:right w:val="none" w:sz="0" w:space="0" w:color="auto"/>
                          </w:divBdr>
                          <w:divsChild>
                            <w:div w:id="734277444">
                              <w:marLeft w:val="0"/>
                              <w:marRight w:val="0"/>
                              <w:marTop w:val="0"/>
                              <w:marBottom w:val="0"/>
                              <w:divBdr>
                                <w:top w:val="none" w:sz="0" w:space="0" w:color="auto"/>
                                <w:left w:val="none" w:sz="0" w:space="0" w:color="auto"/>
                                <w:bottom w:val="none" w:sz="0" w:space="0" w:color="auto"/>
                                <w:right w:val="none" w:sz="0" w:space="0" w:color="auto"/>
                              </w:divBdr>
                            </w:div>
                            <w:div w:id="1261255257">
                              <w:marLeft w:val="0"/>
                              <w:marRight w:val="0"/>
                              <w:marTop w:val="0"/>
                              <w:marBottom w:val="0"/>
                              <w:divBdr>
                                <w:top w:val="none" w:sz="0" w:space="0" w:color="auto"/>
                                <w:left w:val="none" w:sz="0" w:space="0" w:color="auto"/>
                                <w:bottom w:val="none" w:sz="0" w:space="0" w:color="auto"/>
                                <w:right w:val="none" w:sz="0" w:space="0" w:color="auto"/>
                              </w:divBdr>
                            </w:div>
                          </w:divsChild>
                        </w:div>
                        <w:div w:id="1808816907">
                          <w:marLeft w:val="0"/>
                          <w:marRight w:val="0"/>
                          <w:marTop w:val="120"/>
                          <w:marBottom w:val="120"/>
                          <w:divBdr>
                            <w:top w:val="none" w:sz="0" w:space="0" w:color="auto"/>
                            <w:left w:val="none" w:sz="0" w:space="0" w:color="auto"/>
                            <w:bottom w:val="none" w:sz="0" w:space="0" w:color="auto"/>
                            <w:right w:val="none" w:sz="0" w:space="0" w:color="auto"/>
                          </w:divBdr>
                          <w:divsChild>
                            <w:div w:id="516962831">
                              <w:marLeft w:val="288"/>
                              <w:marRight w:val="0"/>
                              <w:marTop w:val="0"/>
                              <w:marBottom w:val="0"/>
                              <w:divBdr>
                                <w:top w:val="none" w:sz="0" w:space="0" w:color="auto"/>
                                <w:left w:val="none" w:sz="0" w:space="0" w:color="auto"/>
                                <w:bottom w:val="none" w:sz="0" w:space="0" w:color="auto"/>
                                <w:right w:val="none" w:sz="0" w:space="0" w:color="auto"/>
                              </w:divBdr>
                            </w:div>
                          </w:divsChild>
                        </w:div>
                        <w:div w:id="429935453">
                          <w:marLeft w:val="0"/>
                          <w:marRight w:val="0"/>
                          <w:marTop w:val="120"/>
                          <w:marBottom w:val="120"/>
                          <w:divBdr>
                            <w:top w:val="none" w:sz="0" w:space="0" w:color="auto"/>
                            <w:left w:val="none" w:sz="0" w:space="0" w:color="auto"/>
                            <w:bottom w:val="none" w:sz="0" w:space="0" w:color="auto"/>
                            <w:right w:val="none" w:sz="0" w:space="0" w:color="auto"/>
                          </w:divBdr>
                          <w:divsChild>
                            <w:div w:id="1171874326">
                              <w:marLeft w:val="0"/>
                              <w:marRight w:val="0"/>
                              <w:marTop w:val="0"/>
                              <w:marBottom w:val="0"/>
                              <w:divBdr>
                                <w:top w:val="none" w:sz="0" w:space="0" w:color="auto"/>
                                <w:left w:val="none" w:sz="0" w:space="0" w:color="auto"/>
                                <w:bottom w:val="none" w:sz="0" w:space="0" w:color="auto"/>
                                <w:right w:val="none" w:sz="0" w:space="0" w:color="auto"/>
                              </w:divBdr>
                            </w:div>
                            <w:div w:id="321853452">
                              <w:marLeft w:val="0"/>
                              <w:marRight w:val="0"/>
                              <w:marTop w:val="0"/>
                              <w:marBottom w:val="0"/>
                              <w:divBdr>
                                <w:top w:val="none" w:sz="0" w:space="0" w:color="auto"/>
                                <w:left w:val="none" w:sz="0" w:space="0" w:color="auto"/>
                                <w:bottom w:val="none" w:sz="0" w:space="0" w:color="auto"/>
                                <w:right w:val="none" w:sz="0" w:space="0" w:color="auto"/>
                              </w:divBdr>
                            </w:div>
                          </w:divsChild>
                        </w:div>
                        <w:div w:id="618412823">
                          <w:marLeft w:val="0"/>
                          <w:marRight w:val="0"/>
                          <w:marTop w:val="120"/>
                          <w:marBottom w:val="120"/>
                          <w:divBdr>
                            <w:top w:val="none" w:sz="0" w:space="0" w:color="auto"/>
                            <w:left w:val="none" w:sz="0" w:space="0" w:color="auto"/>
                            <w:bottom w:val="none" w:sz="0" w:space="0" w:color="auto"/>
                            <w:right w:val="none" w:sz="0" w:space="0" w:color="auto"/>
                          </w:divBdr>
                          <w:divsChild>
                            <w:div w:id="1443845911">
                              <w:marLeft w:val="288"/>
                              <w:marRight w:val="0"/>
                              <w:marTop w:val="0"/>
                              <w:marBottom w:val="0"/>
                              <w:divBdr>
                                <w:top w:val="none" w:sz="0" w:space="0" w:color="auto"/>
                                <w:left w:val="none" w:sz="0" w:space="0" w:color="auto"/>
                                <w:bottom w:val="none" w:sz="0" w:space="0" w:color="auto"/>
                                <w:right w:val="none" w:sz="0" w:space="0" w:color="auto"/>
                              </w:divBdr>
                            </w:div>
                          </w:divsChild>
                        </w:div>
                        <w:div w:id="1226255007">
                          <w:marLeft w:val="0"/>
                          <w:marRight w:val="0"/>
                          <w:marTop w:val="120"/>
                          <w:marBottom w:val="120"/>
                          <w:divBdr>
                            <w:top w:val="none" w:sz="0" w:space="0" w:color="auto"/>
                            <w:left w:val="none" w:sz="0" w:space="0" w:color="auto"/>
                            <w:bottom w:val="none" w:sz="0" w:space="0" w:color="auto"/>
                            <w:right w:val="none" w:sz="0" w:space="0" w:color="auto"/>
                          </w:divBdr>
                          <w:divsChild>
                            <w:div w:id="204559533">
                              <w:marLeft w:val="0"/>
                              <w:marRight w:val="0"/>
                              <w:marTop w:val="0"/>
                              <w:marBottom w:val="0"/>
                              <w:divBdr>
                                <w:top w:val="none" w:sz="0" w:space="0" w:color="auto"/>
                                <w:left w:val="none" w:sz="0" w:space="0" w:color="auto"/>
                                <w:bottom w:val="none" w:sz="0" w:space="0" w:color="auto"/>
                                <w:right w:val="none" w:sz="0" w:space="0" w:color="auto"/>
                              </w:divBdr>
                            </w:div>
                            <w:div w:id="105540280">
                              <w:marLeft w:val="0"/>
                              <w:marRight w:val="0"/>
                              <w:marTop w:val="0"/>
                              <w:marBottom w:val="0"/>
                              <w:divBdr>
                                <w:top w:val="none" w:sz="0" w:space="0" w:color="auto"/>
                                <w:left w:val="none" w:sz="0" w:space="0" w:color="auto"/>
                                <w:bottom w:val="none" w:sz="0" w:space="0" w:color="auto"/>
                                <w:right w:val="none" w:sz="0" w:space="0" w:color="auto"/>
                              </w:divBdr>
                            </w:div>
                          </w:divsChild>
                        </w:div>
                        <w:div w:id="350448138">
                          <w:marLeft w:val="0"/>
                          <w:marRight w:val="0"/>
                          <w:marTop w:val="120"/>
                          <w:marBottom w:val="120"/>
                          <w:divBdr>
                            <w:top w:val="none" w:sz="0" w:space="0" w:color="auto"/>
                            <w:left w:val="none" w:sz="0" w:space="0" w:color="auto"/>
                            <w:bottom w:val="none" w:sz="0" w:space="0" w:color="auto"/>
                            <w:right w:val="none" w:sz="0" w:space="0" w:color="auto"/>
                          </w:divBdr>
                          <w:divsChild>
                            <w:div w:id="563806574">
                              <w:marLeft w:val="0"/>
                              <w:marRight w:val="0"/>
                              <w:marTop w:val="0"/>
                              <w:marBottom w:val="0"/>
                              <w:divBdr>
                                <w:top w:val="none" w:sz="0" w:space="0" w:color="auto"/>
                                <w:left w:val="none" w:sz="0" w:space="0" w:color="auto"/>
                                <w:bottom w:val="none" w:sz="0" w:space="0" w:color="auto"/>
                                <w:right w:val="none" w:sz="0" w:space="0" w:color="auto"/>
                              </w:divBdr>
                            </w:div>
                            <w:div w:id="1492595216">
                              <w:marLeft w:val="0"/>
                              <w:marRight w:val="0"/>
                              <w:marTop w:val="0"/>
                              <w:marBottom w:val="0"/>
                              <w:divBdr>
                                <w:top w:val="none" w:sz="0" w:space="0" w:color="auto"/>
                                <w:left w:val="none" w:sz="0" w:space="0" w:color="auto"/>
                                <w:bottom w:val="none" w:sz="0" w:space="0" w:color="auto"/>
                                <w:right w:val="none" w:sz="0" w:space="0" w:color="auto"/>
                              </w:divBdr>
                            </w:div>
                          </w:divsChild>
                        </w:div>
                        <w:div w:id="1188789105">
                          <w:marLeft w:val="0"/>
                          <w:marRight w:val="0"/>
                          <w:marTop w:val="120"/>
                          <w:marBottom w:val="120"/>
                          <w:divBdr>
                            <w:top w:val="none" w:sz="0" w:space="0" w:color="auto"/>
                            <w:left w:val="none" w:sz="0" w:space="0" w:color="auto"/>
                            <w:bottom w:val="none" w:sz="0" w:space="0" w:color="auto"/>
                            <w:right w:val="none" w:sz="0" w:space="0" w:color="auto"/>
                          </w:divBdr>
                          <w:divsChild>
                            <w:div w:id="895628657">
                              <w:marLeft w:val="288"/>
                              <w:marRight w:val="0"/>
                              <w:marTop w:val="0"/>
                              <w:marBottom w:val="0"/>
                              <w:divBdr>
                                <w:top w:val="none" w:sz="0" w:space="0" w:color="auto"/>
                                <w:left w:val="none" w:sz="0" w:space="0" w:color="auto"/>
                                <w:bottom w:val="none" w:sz="0" w:space="0" w:color="auto"/>
                                <w:right w:val="none" w:sz="0" w:space="0" w:color="auto"/>
                              </w:divBdr>
                            </w:div>
                          </w:divsChild>
                        </w:div>
                        <w:div w:id="766537437">
                          <w:marLeft w:val="0"/>
                          <w:marRight w:val="0"/>
                          <w:marTop w:val="120"/>
                          <w:marBottom w:val="120"/>
                          <w:divBdr>
                            <w:top w:val="none" w:sz="0" w:space="0" w:color="auto"/>
                            <w:left w:val="none" w:sz="0" w:space="0" w:color="auto"/>
                            <w:bottom w:val="none" w:sz="0" w:space="0" w:color="auto"/>
                            <w:right w:val="none" w:sz="0" w:space="0" w:color="auto"/>
                          </w:divBdr>
                          <w:divsChild>
                            <w:div w:id="1387604485">
                              <w:marLeft w:val="0"/>
                              <w:marRight w:val="0"/>
                              <w:marTop w:val="0"/>
                              <w:marBottom w:val="0"/>
                              <w:divBdr>
                                <w:top w:val="none" w:sz="0" w:space="0" w:color="auto"/>
                                <w:left w:val="none" w:sz="0" w:space="0" w:color="auto"/>
                                <w:bottom w:val="none" w:sz="0" w:space="0" w:color="auto"/>
                                <w:right w:val="none" w:sz="0" w:space="0" w:color="auto"/>
                              </w:divBdr>
                            </w:div>
                            <w:div w:id="590356753">
                              <w:marLeft w:val="0"/>
                              <w:marRight w:val="0"/>
                              <w:marTop w:val="0"/>
                              <w:marBottom w:val="0"/>
                              <w:divBdr>
                                <w:top w:val="none" w:sz="0" w:space="0" w:color="auto"/>
                                <w:left w:val="none" w:sz="0" w:space="0" w:color="auto"/>
                                <w:bottom w:val="none" w:sz="0" w:space="0" w:color="auto"/>
                                <w:right w:val="none" w:sz="0" w:space="0" w:color="auto"/>
                              </w:divBdr>
                            </w:div>
                          </w:divsChild>
                        </w:div>
                        <w:div w:id="1194002164">
                          <w:marLeft w:val="0"/>
                          <w:marRight w:val="0"/>
                          <w:marTop w:val="120"/>
                          <w:marBottom w:val="120"/>
                          <w:divBdr>
                            <w:top w:val="none" w:sz="0" w:space="0" w:color="auto"/>
                            <w:left w:val="none" w:sz="0" w:space="0" w:color="auto"/>
                            <w:bottom w:val="none" w:sz="0" w:space="0" w:color="auto"/>
                            <w:right w:val="none" w:sz="0" w:space="0" w:color="auto"/>
                          </w:divBdr>
                          <w:divsChild>
                            <w:div w:id="1063210858">
                              <w:marLeft w:val="288"/>
                              <w:marRight w:val="0"/>
                              <w:marTop w:val="0"/>
                              <w:marBottom w:val="0"/>
                              <w:divBdr>
                                <w:top w:val="none" w:sz="0" w:space="0" w:color="auto"/>
                                <w:left w:val="none" w:sz="0" w:space="0" w:color="auto"/>
                                <w:bottom w:val="none" w:sz="0" w:space="0" w:color="auto"/>
                                <w:right w:val="none" w:sz="0" w:space="0" w:color="auto"/>
                              </w:divBdr>
                            </w:div>
                          </w:divsChild>
                        </w:div>
                        <w:div w:id="957099620">
                          <w:marLeft w:val="0"/>
                          <w:marRight w:val="0"/>
                          <w:marTop w:val="120"/>
                          <w:marBottom w:val="120"/>
                          <w:divBdr>
                            <w:top w:val="none" w:sz="0" w:space="0" w:color="auto"/>
                            <w:left w:val="none" w:sz="0" w:space="0" w:color="auto"/>
                            <w:bottom w:val="none" w:sz="0" w:space="0" w:color="auto"/>
                            <w:right w:val="none" w:sz="0" w:space="0" w:color="auto"/>
                          </w:divBdr>
                          <w:divsChild>
                            <w:div w:id="1536767862">
                              <w:marLeft w:val="0"/>
                              <w:marRight w:val="0"/>
                              <w:marTop w:val="0"/>
                              <w:marBottom w:val="0"/>
                              <w:divBdr>
                                <w:top w:val="none" w:sz="0" w:space="0" w:color="auto"/>
                                <w:left w:val="none" w:sz="0" w:space="0" w:color="auto"/>
                                <w:bottom w:val="none" w:sz="0" w:space="0" w:color="auto"/>
                                <w:right w:val="none" w:sz="0" w:space="0" w:color="auto"/>
                              </w:divBdr>
                            </w:div>
                            <w:div w:id="1330061643">
                              <w:marLeft w:val="0"/>
                              <w:marRight w:val="0"/>
                              <w:marTop w:val="0"/>
                              <w:marBottom w:val="0"/>
                              <w:divBdr>
                                <w:top w:val="none" w:sz="0" w:space="0" w:color="auto"/>
                                <w:left w:val="none" w:sz="0" w:space="0" w:color="auto"/>
                                <w:bottom w:val="none" w:sz="0" w:space="0" w:color="auto"/>
                                <w:right w:val="none" w:sz="0" w:space="0" w:color="auto"/>
                              </w:divBdr>
                            </w:div>
                          </w:divsChild>
                        </w:div>
                        <w:div w:id="1893610338">
                          <w:marLeft w:val="0"/>
                          <w:marRight w:val="0"/>
                          <w:marTop w:val="120"/>
                          <w:marBottom w:val="120"/>
                          <w:divBdr>
                            <w:top w:val="none" w:sz="0" w:space="0" w:color="auto"/>
                            <w:left w:val="none" w:sz="0" w:space="0" w:color="auto"/>
                            <w:bottom w:val="none" w:sz="0" w:space="0" w:color="auto"/>
                            <w:right w:val="none" w:sz="0" w:space="0" w:color="auto"/>
                          </w:divBdr>
                          <w:divsChild>
                            <w:div w:id="1347748784">
                              <w:marLeft w:val="288"/>
                              <w:marRight w:val="0"/>
                              <w:marTop w:val="0"/>
                              <w:marBottom w:val="0"/>
                              <w:divBdr>
                                <w:top w:val="none" w:sz="0" w:space="0" w:color="auto"/>
                                <w:left w:val="none" w:sz="0" w:space="0" w:color="auto"/>
                                <w:bottom w:val="none" w:sz="0" w:space="0" w:color="auto"/>
                                <w:right w:val="none" w:sz="0" w:space="0" w:color="auto"/>
                              </w:divBdr>
                            </w:div>
                          </w:divsChild>
                        </w:div>
                        <w:div w:id="897476429">
                          <w:marLeft w:val="0"/>
                          <w:marRight w:val="0"/>
                          <w:marTop w:val="120"/>
                          <w:marBottom w:val="120"/>
                          <w:divBdr>
                            <w:top w:val="none" w:sz="0" w:space="0" w:color="auto"/>
                            <w:left w:val="none" w:sz="0" w:space="0" w:color="auto"/>
                            <w:bottom w:val="none" w:sz="0" w:space="0" w:color="auto"/>
                            <w:right w:val="none" w:sz="0" w:space="0" w:color="auto"/>
                          </w:divBdr>
                          <w:divsChild>
                            <w:div w:id="1432120072">
                              <w:marLeft w:val="0"/>
                              <w:marRight w:val="0"/>
                              <w:marTop w:val="0"/>
                              <w:marBottom w:val="0"/>
                              <w:divBdr>
                                <w:top w:val="none" w:sz="0" w:space="0" w:color="auto"/>
                                <w:left w:val="none" w:sz="0" w:space="0" w:color="auto"/>
                                <w:bottom w:val="none" w:sz="0" w:space="0" w:color="auto"/>
                                <w:right w:val="none" w:sz="0" w:space="0" w:color="auto"/>
                              </w:divBdr>
                            </w:div>
                            <w:div w:id="724333447">
                              <w:marLeft w:val="0"/>
                              <w:marRight w:val="0"/>
                              <w:marTop w:val="0"/>
                              <w:marBottom w:val="0"/>
                              <w:divBdr>
                                <w:top w:val="none" w:sz="0" w:space="0" w:color="auto"/>
                                <w:left w:val="none" w:sz="0" w:space="0" w:color="auto"/>
                                <w:bottom w:val="none" w:sz="0" w:space="0" w:color="auto"/>
                                <w:right w:val="none" w:sz="0" w:space="0" w:color="auto"/>
                              </w:divBdr>
                            </w:div>
                          </w:divsChild>
                        </w:div>
                        <w:div w:id="562760531">
                          <w:marLeft w:val="0"/>
                          <w:marRight w:val="0"/>
                          <w:marTop w:val="120"/>
                          <w:marBottom w:val="120"/>
                          <w:divBdr>
                            <w:top w:val="none" w:sz="0" w:space="0" w:color="auto"/>
                            <w:left w:val="none" w:sz="0" w:space="0" w:color="auto"/>
                            <w:bottom w:val="none" w:sz="0" w:space="0" w:color="auto"/>
                            <w:right w:val="none" w:sz="0" w:space="0" w:color="auto"/>
                          </w:divBdr>
                          <w:divsChild>
                            <w:div w:id="304242665">
                              <w:marLeft w:val="288"/>
                              <w:marRight w:val="0"/>
                              <w:marTop w:val="0"/>
                              <w:marBottom w:val="0"/>
                              <w:divBdr>
                                <w:top w:val="none" w:sz="0" w:space="0" w:color="auto"/>
                                <w:left w:val="none" w:sz="0" w:space="0" w:color="auto"/>
                                <w:bottom w:val="none" w:sz="0" w:space="0" w:color="auto"/>
                                <w:right w:val="none" w:sz="0" w:space="0" w:color="auto"/>
                              </w:divBdr>
                            </w:div>
                          </w:divsChild>
                        </w:div>
                        <w:div w:id="1072846624">
                          <w:marLeft w:val="0"/>
                          <w:marRight w:val="0"/>
                          <w:marTop w:val="120"/>
                          <w:marBottom w:val="120"/>
                          <w:divBdr>
                            <w:top w:val="none" w:sz="0" w:space="0" w:color="auto"/>
                            <w:left w:val="none" w:sz="0" w:space="0" w:color="auto"/>
                            <w:bottom w:val="none" w:sz="0" w:space="0" w:color="auto"/>
                            <w:right w:val="none" w:sz="0" w:space="0" w:color="auto"/>
                          </w:divBdr>
                          <w:divsChild>
                            <w:div w:id="2027057032">
                              <w:marLeft w:val="0"/>
                              <w:marRight w:val="0"/>
                              <w:marTop w:val="0"/>
                              <w:marBottom w:val="0"/>
                              <w:divBdr>
                                <w:top w:val="none" w:sz="0" w:space="0" w:color="auto"/>
                                <w:left w:val="none" w:sz="0" w:space="0" w:color="auto"/>
                                <w:bottom w:val="none" w:sz="0" w:space="0" w:color="auto"/>
                                <w:right w:val="none" w:sz="0" w:space="0" w:color="auto"/>
                              </w:divBdr>
                            </w:div>
                            <w:div w:id="1557625606">
                              <w:marLeft w:val="0"/>
                              <w:marRight w:val="0"/>
                              <w:marTop w:val="0"/>
                              <w:marBottom w:val="0"/>
                              <w:divBdr>
                                <w:top w:val="none" w:sz="0" w:space="0" w:color="auto"/>
                                <w:left w:val="none" w:sz="0" w:space="0" w:color="auto"/>
                                <w:bottom w:val="none" w:sz="0" w:space="0" w:color="auto"/>
                                <w:right w:val="none" w:sz="0" w:space="0" w:color="auto"/>
                              </w:divBdr>
                            </w:div>
                          </w:divsChild>
                        </w:div>
                        <w:div w:id="178084950">
                          <w:marLeft w:val="0"/>
                          <w:marRight w:val="0"/>
                          <w:marTop w:val="120"/>
                          <w:marBottom w:val="120"/>
                          <w:divBdr>
                            <w:top w:val="none" w:sz="0" w:space="0" w:color="auto"/>
                            <w:left w:val="none" w:sz="0" w:space="0" w:color="auto"/>
                            <w:bottom w:val="none" w:sz="0" w:space="0" w:color="auto"/>
                            <w:right w:val="none" w:sz="0" w:space="0" w:color="auto"/>
                          </w:divBdr>
                          <w:divsChild>
                            <w:div w:id="2083328325">
                              <w:marLeft w:val="288"/>
                              <w:marRight w:val="0"/>
                              <w:marTop w:val="0"/>
                              <w:marBottom w:val="0"/>
                              <w:divBdr>
                                <w:top w:val="none" w:sz="0" w:space="0" w:color="auto"/>
                                <w:left w:val="none" w:sz="0" w:space="0" w:color="auto"/>
                                <w:bottom w:val="none" w:sz="0" w:space="0" w:color="auto"/>
                                <w:right w:val="none" w:sz="0" w:space="0" w:color="auto"/>
                              </w:divBdr>
                            </w:div>
                          </w:divsChild>
                        </w:div>
                        <w:div w:id="289826602">
                          <w:marLeft w:val="0"/>
                          <w:marRight w:val="0"/>
                          <w:marTop w:val="120"/>
                          <w:marBottom w:val="120"/>
                          <w:divBdr>
                            <w:top w:val="none" w:sz="0" w:space="0" w:color="auto"/>
                            <w:left w:val="none" w:sz="0" w:space="0" w:color="auto"/>
                            <w:bottom w:val="none" w:sz="0" w:space="0" w:color="auto"/>
                            <w:right w:val="none" w:sz="0" w:space="0" w:color="auto"/>
                          </w:divBdr>
                          <w:divsChild>
                            <w:div w:id="2118674675">
                              <w:marLeft w:val="0"/>
                              <w:marRight w:val="0"/>
                              <w:marTop w:val="0"/>
                              <w:marBottom w:val="0"/>
                              <w:divBdr>
                                <w:top w:val="none" w:sz="0" w:space="0" w:color="auto"/>
                                <w:left w:val="none" w:sz="0" w:space="0" w:color="auto"/>
                                <w:bottom w:val="none" w:sz="0" w:space="0" w:color="auto"/>
                                <w:right w:val="none" w:sz="0" w:space="0" w:color="auto"/>
                              </w:divBdr>
                            </w:div>
                            <w:div w:id="1243878398">
                              <w:marLeft w:val="0"/>
                              <w:marRight w:val="0"/>
                              <w:marTop w:val="0"/>
                              <w:marBottom w:val="0"/>
                              <w:divBdr>
                                <w:top w:val="none" w:sz="0" w:space="0" w:color="auto"/>
                                <w:left w:val="none" w:sz="0" w:space="0" w:color="auto"/>
                                <w:bottom w:val="none" w:sz="0" w:space="0" w:color="auto"/>
                                <w:right w:val="none" w:sz="0" w:space="0" w:color="auto"/>
                              </w:divBdr>
                            </w:div>
                            <w:div w:id="1992562547">
                              <w:marLeft w:val="0"/>
                              <w:marRight w:val="0"/>
                              <w:marTop w:val="0"/>
                              <w:marBottom w:val="0"/>
                              <w:divBdr>
                                <w:top w:val="none" w:sz="0" w:space="0" w:color="auto"/>
                                <w:left w:val="none" w:sz="0" w:space="0" w:color="auto"/>
                                <w:bottom w:val="none" w:sz="0" w:space="0" w:color="auto"/>
                                <w:right w:val="none" w:sz="0" w:space="0" w:color="auto"/>
                              </w:divBdr>
                            </w:div>
                            <w:div w:id="782304240">
                              <w:marLeft w:val="0"/>
                              <w:marRight w:val="0"/>
                              <w:marTop w:val="0"/>
                              <w:marBottom w:val="0"/>
                              <w:divBdr>
                                <w:top w:val="none" w:sz="0" w:space="0" w:color="auto"/>
                                <w:left w:val="none" w:sz="0" w:space="0" w:color="auto"/>
                                <w:bottom w:val="none" w:sz="0" w:space="0" w:color="auto"/>
                                <w:right w:val="none" w:sz="0" w:space="0" w:color="auto"/>
                              </w:divBdr>
                            </w:div>
                          </w:divsChild>
                        </w:div>
                        <w:div w:id="1592273127">
                          <w:marLeft w:val="0"/>
                          <w:marRight w:val="0"/>
                          <w:marTop w:val="120"/>
                          <w:marBottom w:val="120"/>
                          <w:divBdr>
                            <w:top w:val="none" w:sz="0" w:space="0" w:color="auto"/>
                            <w:left w:val="none" w:sz="0" w:space="0" w:color="auto"/>
                            <w:bottom w:val="none" w:sz="0" w:space="0" w:color="auto"/>
                            <w:right w:val="none" w:sz="0" w:space="0" w:color="auto"/>
                          </w:divBdr>
                          <w:divsChild>
                            <w:div w:id="1253855412">
                              <w:marLeft w:val="288"/>
                              <w:marRight w:val="0"/>
                              <w:marTop w:val="0"/>
                              <w:marBottom w:val="0"/>
                              <w:divBdr>
                                <w:top w:val="none" w:sz="0" w:space="0" w:color="auto"/>
                                <w:left w:val="none" w:sz="0" w:space="0" w:color="auto"/>
                                <w:bottom w:val="none" w:sz="0" w:space="0" w:color="auto"/>
                                <w:right w:val="none" w:sz="0" w:space="0" w:color="auto"/>
                              </w:divBdr>
                            </w:div>
                            <w:div w:id="735130230">
                              <w:marLeft w:val="288"/>
                              <w:marRight w:val="0"/>
                              <w:marTop w:val="0"/>
                              <w:marBottom w:val="0"/>
                              <w:divBdr>
                                <w:top w:val="none" w:sz="0" w:space="0" w:color="auto"/>
                                <w:left w:val="none" w:sz="0" w:space="0" w:color="auto"/>
                                <w:bottom w:val="none" w:sz="0" w:space="0" w:color="auto"/>
                                <w:right w:val="none" w:sz="0" w:space="0" w:color="auto"/>
                              </w:divBdr>
                            </w:div>
                          </w:divsChild>
                        </w:div>
                        <w:div w:id="1741631374">
                          <w:marLeft w:val="0"/>
                          <w:marRight w:val="0"/>
                          <w:marTop w:val="120"/>
                          <w:marBottom w:val="120"/>
                          <w:divBdr>
                            <w:top w:val="none" w:sz="0" w:space="0" w:color="auto"/>
                            <w:left w:val="none" w:sz="0" w:space="0" w:color="auto"/>
                            <w:bottom w:val="none" w:sz="0" w:space="0" w:color="auto"/>
                            <w:right w:val="none" w:sz="0" w:space="0" w:color="auto"/>
                          </w:divBdr>
                          <w:divsChild>
                            <w:div w:id="1180895353">
                              <w:marLeft w:val="0"/>
                              <w:marRight w:val="0"/>
                              <w:marTop w:val="0"/>
                              <w:marBottom w:val="0"/>
                              <w:divBdr>
                                <w:top w:val="none" w:sz="0" w:space="0" w:color="auto"/>
                                <w:left w:val="none" w:sz="0" w:space="0" w:color="auto"/>
                                <w:bottom w:val="none" w:sz="0" w:space="0" w:color="auto"/>
                                <w:right w:val="none" w:sz="0" w:space="0" w:color="auto"/>
                              </w:divBdr>
                            </w:div>
                            <w:div w:id="326251970">
                              <w:marLeft w:val="0"/>
                              <w:marRight w:val="0"/>
                              <w:marTop w:val="0"/>
                              <w:marBottom w:val="0"/>
                              <w:divBdr>
                                <w:top w:val="none" w:sz="0" w:space="0" w:color="auto"/>
                                <w:left w:val="none" w:sz="0" w:space="0" w:color="auto"/>
                                <w:bottom w:val="none" w:sz="0" w:space="0" w:color="auto"/>
                                <w:right w:val="none" w:sz="0" w:space="0" w:color="auto"/>
                              </w:divBdr>
                            </w:div>
                          </w:divsChild>
                        </w:div>
                        <w:div w:id="579680251">
                          <w:marLeft w:val="0"/>
                          <w:marRight w:val="0"/>
                          <w:marTop w:val="120"/>
                          <w:marBottom w:val="120"/>
                          <w:divBdr>
                            <w:top w:val="none" w:sz="0" w:space="0" w:color="auto"/>
                            <w:left w:val="none" w:sz="0" w:space="0" w:color="auto"/>
                            <w:bottom w:val="none" w:sz="0" w:space="0" w:color="auto"/>
                            <w:right w:val="none" w:sz="0" w:space="0" w:color="auto"/>
                          </w:divBdr>
                          <w:divsChild>
                            <w:div w:id="1935893915">
                              <w:marLeft w:val="288"/>
                              <w:marRight w:val="0"/>
                              <w:marTop w:val="0"/>
                              <w:marBottom w:val="0"/>
                              <w:divBdr>
                                <w:top w:val="none" w:sz="0" w:space="0" w:color="auto"/>
                                <w:left w:val="none" w:sz="0" w:space="0" w:color="auto"/>
                                <w:bottom w:val="none" w:sz="0" w:space="0" w:color="auto"/>
                                <w:right w:val="none" w:sz="0" w:space="0" w:color="auto"/>
                              </w:divBdr>
                            </w:div>
                          </w:divsChild>
                        </w:div>
                        <w:div w:id="1839730743">
                          <w:marLeft w:val="0"/>
                          <w:marRight w:val="0"/>
                          <w:marTop w:val="120"/>
                          <w:marBottom w:val="120"/>
                          <w:divBdr>
                            <w:top w:val="none" w:sz="0" w:space="0" w:color="auto"/>
                            <w:left w:val="none" w:sz="0" w:space="0" w:color="auto"/>
                            <w:bottom w:val="none" w:sz="0" w:space="0" w:color="auto"/>
                            <w:right w:val="none" w:sz="0" w:space="0" w:color="auto"/>
                          </w:divBdr>
                          <w:divsChild>
                            <w:div w:id="916284769">
                              <w:marLeft w:val="0"/>
                              <w:marRight w:val="0"/>
                              <w:marTop w:val="0"/>
                              <w:marBottom w:val="0"/>
                              <w:divBdr>
                                <w:top w:val="none" w:sz="0" w:space="0" w:color="auto"/>
                                <w:left w:val="none" w:sz="0" w:space="0" w:color="auto"/>
                                <w:bottom w:val="none" w:sz="0" w:space="0" w:color="auto"/>
                                <w:right w:val="none" w:sz="0" w:space="0" w:color="auto"/>
                              </w:divBdr>
                            </w:div>
                            <w:div w:id="1558973881">
                              <w:marLeft w:val="0"/>
                              <w:marRight w:val="0"/>
                              <w:marTop w:val="0"/>
                              <w:marBottom w:val="0"/>
                              <w:divBdr>
                                <w:top w:val="none" w:sz="0" w:space="0" w:color="auto"/>
                                <w:left w:val="none" w:sz="0" w:space="0" w:color="auto"/>
                                <w:bottom w:val="none" w:sz="0" w:space="0" w:color="auto"/>
                                <w:right w:val="none" w:sz="0" w:space="0" w:color="auto"/>
                              </w:divBdr>
                            </w:div>
                          </w:divsChild>
                        </w:div>
                        <w:div w:id="643387790">
                          <w:marLeft w:val="0"/>
                          <w:marRight w:val="0"/>
                          <w:marTop w:val="120"/>
                          <w:marBottom w:val="120"/>
                          <w:divBdr>
                            <w:top w:val="none" w:sz="0" w:space="0" w:color="auto"/>
                            <w:left w:val="none" w:sz="0" w:space="0" w:color="auto"/>
                            <w:bottom w:val="none" w:sz="0" w:space="0" w:color="auto"/>
                            <w:right w:val="none" w:sz="0" w:space="0" w:color="auto"/>
                          </w:divBdr>
                          <w:divsChild>
                            <w:div w:id="395206840">
                              <w:marLeft w:val="288"/>
                              <w:marRight w:val="0"/>
                              <w:marTop w:val="0"/>
                              <w:marBottom w:val="0"/>
                              <w:divBdr>
                                <w:top w:val="none" w:sz="0" w:space="0" w:color="auto"/>
                                <w:left w:val="none" w:sz="0" w:space="0" w:color="auto"/>
                                <w:bottom w:val="none" w:sz="0" w:space="0" w:color="auto"/>
                                <w:right w:val="none" w:sz="0" w:space="0" w:color="auto"/>
                              </w:divBdr>
                            </w:div>
                          </w:divsChild>
                        </w:div>
                        <w:div w:id="1367947469">
                          <w:marLeft w:val="0"/>
                          <w:marRight w:val="0"/>
                          <w:marTop w:val="120"/>
                          <w:marBottom w:val="120"/>
                          <w:divBdr>
                            <w:top w:val="none" w:sz="0" w:space="0" w:color="auto"/>
                            <w:left w:val="none" w:sz="0" w:space="0" w:color="auto"/>
                            <w:bottom w:val="none" w:sz="0" w:space="0" w:color="auto"/>
                            <w:right w:val="none" w:sz="0" w:space="0" w:color="auto"/>
                          </w:divBdr>
                          <w:divsChild>
                            <w:div w:id="1538472710">
                              <w:marLeft w:val="0"/>
                              <w:marRight w:val="0"/>
                              <w:marTop w:val="0"/>
                              <w:marBottom w:val="0"/>
                              <w:divBdr>
                                <w:top w:val="none" w:sz="0" w:space="0" w:color="auto"/>
                                <w:left w:val="none" w:sz="0" w:space="0" w:color="auto"/>
                                <w:bottom w:val="none" w:sz="0" w:space="0" w:color="auto"/>
                                <w:right w:val="none" w:sz="0" w:space="0" w:color="auto"/>
                              </w:divBdr>
                            </w:div>
                            <w:div w:id="1852183329">
                              <w:marLeft w:val="0"/>
                              <w:marRight w:val="0"/>
                              <w:marTop w:val="0"/>
                              <w:marBottom w:val="0"/>
                              <w:divBdr>
                                <w:top w:val="none" w:sz="0" w:space="0" w:color="auto"/>
                                <w:left w:val="none" w:sz="0" w:space="0" w:color="auto"/>
                                <w:bottom w:val="none" w:sz="0" w:space="0" w:color="auto"/>
                                <w:right w:val="none" w:sz="0" w:space="0" w:color="auto"/>
                              </w:divBdr>
                            </w:div>
                            <w:div w:id="1489323048">
                              <w:marLeft w:val="0"/>
                              <w:marRight w:val="0"/>
                              <w:marTop w:val="0"/>
                              <w:marBottom w:val="0"/>
                              <w:divBdr>
                                <w:top w:val="none" w:sz="0" w:space="0" w:color="auto"/>
                                <w:left w:val="none" w:sz="0" w:space="0" w:color="auto"/>
                                <w:bottom w:val="none" w:sz="0" w:space="0" w:color="auto"/>
                                <w:right w:val="none" w:sz="0" w:space="0" w:color="auto"/>
                              </w:divBdr>
                            </w:div>
                            <w:div w:id="1512182927">
                              <w:marLeft w:val="0"/>
                              <w:marRight w:val="0"/>
                              <w:marTop w:val="0"/>
                              <w:marBottom w:val="0"/>
                              <w:divBdr>
                                <w:top w:val="none" w:sz="0" w:space="0" w:color="auto"/>
                                <w:left w:val="none" w:sz="0" w:space="0" w:color="auto"/>
                                <w:bottom w:val="none" w:sz="0" w:space="0" w:color="auto"/>
                                <w:right w:val="none" w:sz="0" w:space="0" w:color="auto"/>
                              </w:divBdr>
                            </w:div>
                          </w:divsChild>
                        </w:div>
                        <w:div w:id="174616841">
                          <w:marLeft w:val="0"/>
                          <w:marRight w:val="0"/>
                          <w:marTop w:val="120"/>
                          <w:marBottom w:val="120"/>
                          <w:divBdr>
                            <w:top w:val="none" w:sz="0" w:space="0" w:color="auto"/>
                            <w:left w:val="none" w:sz="0" w:space="0" w:color="auto"/>
                            <w:bottom w:val="none" w:sz="0" w:space="0" w:color="auto"/>
                            <w:right w:val="none" w:sz="0" w:space="0" w:color="auto"/>
                          </w:divBdr>
                          <w:divsChild>
                            <w:div w:id="658464207">
                              <w:marLeft w:val="288"/>
                              <w:marRight w:val="0"/>
                              <w:marTop w:val="0"/>
                              <w:marBottom w:val="0"/>
                              <w:divBdr>
                                <w:top w:val="none" w:sz="0" w:space="0" w:color="auto"/>
                                <w:left w:val="none" w:sz="0" w:space="0" w:color="auto"/>
                                <w:bottom w:val="none" w:sz="0" w:space="0" w:color="auto"/>
                                <w:right w:val="none" w:sz="0" w:space="0" w:color="auto"/>
                              </w:divBdr>
                            </w:div>
                            <w:div w:id="2138257299">
                              <w:marLeft w:val="288"/>
                              <w:marRight w:val="0"/>
                              <w:marTop w:val="0"/>
                              <w:marBottom w:val="0"/>
                              <w:divBdr>
                                <w:top w:val="none" w:sz="0" w:space="0" w:color="auto"/>
                                <w:left w:val="none" w:sz="0" w:space="0" w:color="auto"/>
                                <w:bottom w:val="none" w:sz="0" w:space="0" w:color="auto"/>
                                <w:right w:val="none" w:sz="0" w:space="0" w:color="auto"/>
                              </w:divBdr>
                            </w:div>
                          </w:divsChild>
                        </w:div>
                        <w:div w:id="793984771">
                          <w:marLeft w:val="0"/>
                          <w:marRight w:val="0"/>
                          <w:marTop w:val="120"/>
                          <w:marBottom w:val="120"/>
                          <w:divBdr>
                            <w:top w:val="none" w:sz="0" w:space="0" w:color="auto"/>
                            <w:left w:val="none" w:sz="0" w:space="0" w:color="auto"/>
                            <w:bottom w:val="none" w:sz="0" w:space="0" w:color="auto"/>
                            <w:right w:val="none" w:sz="0" w:space="0" w:color="auto"/>
                          </w:divBdr>
                          <w:divsChild>
                            <w:div w:id="155460440">
                              <w:marLeft w:val="0"/>
                              <w:marRight w:val="0"/>
                              <w:marTop w:val="0"/>
                              <w:marBottom w:val="0"/>
                              <w:divBdr>
                                <w:top w:val="none" w:sz="0" w:space="0" w:color="auto"/>
                                <w:left w:val="none" w:sz="0" w:space="0" w:color="auto"/>
                                <w:bottom w:val="none" w:sz="0" w:space="0" w:color="auto"/>
                                <w:right w:val="none" w:sz="0" w:space="0" w:color="auto"/>
                              </w:divBdr>
                            </w:div>
                            <w:div w:id="2086293037">
                              <w:marLeft w:val="0"/>
                              <w:marRight w:val="0"/>
                              <w:marTop w:val="0"/>
                              <w:marBottom w:val="0"/>
                              <w:divBdr>
                                <w:top w:val="none" w:sz="0" w:space="0" w:color="auto"/>
                                <w:left w:val="none" w:sz="0" w:space="0" w:color="auto"/>
                                <w:bottom w:val="none" w:sz="0" w:space="0" w:color="auto"/>
                                <w:right w:val="none" w:sz="0" w:space="0" w:color="auto"/>
                              </w:divBdr>
                            </w:div>
                          </w:divsChild>
                        </w:div>
                        <w:div w:id="770859381">
                          <w:marLeft w:val="0"/>
                          <w:marRight w:val="0"/>
                          <w:marTop w:val="120"/>
                          <w:marBottom w:val="120"/>
                          <w:divBdr>
                            <w:top w:val="none" w:sz="0" w:space="0" w:color="auto"/>
                            <w:left w:val="none" w:sz="0" w:space="0" w:color="auto"/>
                            <w:bottom w:val="none" w:sz="0" w:space="0" w:color="auto"/>
                            <w:right w:val="none" w:sz="0" w:space="0" w:color="auto"/>
                          </w:divBdr>
                          <w:divsChild>
                            <w:div w:id="27875649">
                              <w:marLeft w:val="288"/>
                              <w:marRight w:val="0"/>
                              <w:marTop w:val="0"/>
                              <w:marBottom w:val="0"/>
                              <w:divBdr>
                                <w:top w:val="none" w:sz="0" w:space="0" w:color="auto"/>
                                <w:left w:val="none" w:sz="0" w:space="0" w:color="auto"/>
                                <w:bottom w:val="none" w:sz="0" w:space="0" w:color="auto"/>
                                <w:right w:val="none" w:sz="0" w:space="0" w:color="auto"/>
                              </w:divBdr>
                            </w:div>
                          </w:divsChild>
                        </w:div>
                        <w:div w:id="1459032225">
                          <w:marLeft w:val="0"/>
                          <w:marRight w:val="0"/>
                          <w:marTop w:val="120"/>
                          <w:marBottom w:val="120"/>
                          <w:divBdr>
                            <w:top w:val="none" w:sz="0" w:space="0" w:color="auto"/>
                            <w:left w:val="none" w:sz="0" w:space="0" w:color="auto"/>
                            <w:bottom w:val="none" w:sz="0" w:space="0" w:color="auto"/>
                            <w:right w:val="none" w:sz="0" w:space="0" w:color="auto"/>
                          </w:divBdr>
                          <w:divsChild>
                            <w:div w:id="1953977674">
                              <w:marLeft w:val="0"/>
                              <w:marRight w:val="0"/>
                              <w:marTop w:val="0"/>
                              <w:marBottom w:val="0"/>
                              <w:divBdr>
                                <w:top w:val="none" w:sz="0" w:space="0" w:color="auto"/>
                                <w:left w:val="none" w:sz="0" w:space="0" w:color="auto"/>
                                <w:bottom w:val="none" w:sz="0" w:space="0" w:color="auto"/>
                                <w:right w:val="none" w:sz="0" w:space="0" w:color="auto"/>
                              </w:divBdr>
                            </w:div>
                            <w:div w:id="584656217">
                              <w:marLeft w:val="0"/>
                              <w:marRight w:val="0"/>
                              <w:marTop w:val="0"/>
                              <w:marBottom w:val="0"/>
                              <w:divBdr>
                                <w:top w:val="none" w:sz="0" w:space="0" w:color="auto"/>
                                <w:left w:val="none" w:sz="0" w:space="0" w:color="auto"/>
                                <w:bottom w:val="none" w:sz="0" w:space="0" w:color="auto"/>
                                <w:right w:val="none" w:sz="0" w:space="0" w:color="auto"/>
                              </w:divBdr>
                            </w:div>
                          </w:divsChild>
                        </w:div>
                        <w:div w:id="864253075">
                          <w:marLeft w:val="0"/>
                          <w:marRight w:val="0"/>
                          <w:marTop w:val="120"/>
                          <w:marBottom w:val="120"/>
                          <w:divBdr>
                            <w:top w:val="none" w:sz="0" w:space="0" w:color="auto"/>
                            <w:left w:val="none" w:sz="0" w:space="0" w:color="auto"/>
                            <w:bottom w:val="none" w:sz="0" w:space="0" w:color="auto"/>
                            <w:right w:val="none" w:sz="0" w:space="0" w:color="auto"/>
                          </w:divBdr>
                          <w:divsChild>
                            <w:div w:id="106394296">
                              <w:marLeft w:val="288"/>
                              <w:marRight w:val="0"/>
                              <w:marTop w:val="0"/>
                              <w:marBottom w:val="0"/>
                              <w:divBdr>
                                <w:top w:val="none" w:sz="0" w:space="0" w:color="auto"/>
                                <w:left w:val="none" w:sz="0" w:space="0" w:color="auto"/>
                                <w:bottom w:val="none" w:sz="0" w:space="0" w:color="auto"/>
                                <w:right w:val="none" w:sz="0" w:space="0" w:color="auto"/>
                              </w:divBdr>
                            </w:div>
                          </w:divsChild>
                        </w:div>
                        <w:div w:id="249243005">
                          <w:marLeft w:val="0"/>
                          <w:marRight w:val="0"/>
                          <w:marTop w:val="120"/>
                          <w:marBottom w:val="120"/>
                          <w:divBdr>
                            <w:top w:val="none" w:sz="0" w:space="0" w:color="auto"/>
                            <w:left w:val="none" w:sz="0" w:space="0" w:color="auto"/>
                            <w:bottom w:val="none" w:sz="0" w:space="0" w:color="auto"/>
                            <w:right w:val="none" w:sz="0" w:space="0" w:color="auto"/>
                          </w:divBdr>
                          <w:divsChild>
                            <w:div w:id="1583953514">
                              <w:marLeft w:val="0"/>
                              <w:marRight w:val="0"/>
                              <w:marTop w:val="0"/>
                              <w:marBottom w:val="0"/>
                              <w:divBdr>
                                <w:top w:val="none" w:sz="0" w:space="0" w:color="auto"/>
                                <w:left w:val="none" w:sz="0" w:space="0" w:color="auto"/>
                                <w:bottom w:val="none" w:sz="0" w:space="0" w:color="auto"/>
                                <w:right w:val="none" w:sz="0" w:space="0" w:color="auto"/>
                              </w:divBdr>
                            </w:div>
                            <w:div w:id="227350119">
                              <w:marLeft w:val="0"/>
                              <w:marRight w:val="0"/>
                              <w:marTop w:val="0"/>
                              <w:marBottom w:val="0"/>
                              <w:divBdr>
                                <w:top w:val="none" w:sz="0" w:space="0" w:color="auto"/>
                                <w:left w:val="none" w:sz="0" w:space="0" w:color="auto"/>
                                <w:bottom w:val="none" w:sz="0" w:space="0" w:color="auto"/>
                                <w:right w:val="none" w:sz="0" w:space="0" w:color="auto"/>
                              </w:divBdr>
                            </w:div>
                          </w:divsChild>
                        </w:div>
                        <w:div w:id="516240096">
                          <w:marLeft w:val="0"/>
                          <w:marRight w:val="0"/>
                          <w:marTop w:val="120"/>
                          <w:marBottom w:val="120"/>
                          <w:divBdr>
                            <w:top w:val="none" w:sz="0" w:space="0" w:color="auto"/>
                            <w:left w:val="none" w:sz="0" w:space="0" w:color="auto"/>
                            <w:bottom w:val="none" w:sz="0" w:space="0" w:color="auto"/>
                            <w:right w:val="none" w:sz="0" w:space="0" w:color="auto"/>
                          </w:divBdr>
                          <w:divsChild>
                            <w:div w:id="823276992">
                              <w:marLeft w:val="288"/>
                              <w:marRight w:val="0"/>
                              <w:marTop w:val="0"/>
                              <w:marBottom w:val="0"/>
                              <w:divBdr>
                                <w:top w:val="none" w:sz="0" w:space="0" w:color="auto"/>
                                <w:left w:val="none" w:sz="0" w:space="0" w:color="auto"/>
                                <w:bottom w:val="none" w:sz="0" w:space="0" w:color="auto"/>
                                <w:right w:val="none" w:sz="0" w:space="0" w:color="auto"/>
                              </w:divBdr>
                            </w:div>
                          </w:divsChild>
                        </w:div>
                        <w:div w:id="1167525590">
                          <w:marLeft w:val="0"/>
                          <w:marRight w:val="0"/>
                          <w:marTop w:val="120"/>
                          <w:marBottom w:val="120"/>
                          <w:divBdr>
                            <w:top w:val="none" w:sz="0" w:space="0" w:color="auto"/>
                            <w:left w:val="none" w:sz="0" w:space="0" w:color="auto"/>
                            <w:bottom w:val="none" w:sz="0" w:space="0" w:color="auto"/>
                            <w:right w:val="none" w:sz="0" w:space="0" w:color="auto"/>
                          </w:divBdr>
                          <w:divsChild>
                            <w:div w:id="1365640048">
                              <w:marLeft w:val="0"/>
                              <w:marRight w:val="0"/>
                              <w:marTop w:val="0"/>
                              <w:marBottom w:val="0"/>
                              <w:divBdr>
                                <w:top w:val="none" w:sz="0" w:space="0" w:color="auto"/>
                                <w:left w:val="none" w:sz="0" w:space="0" w:color="auto"/>
                                <w:bottom w:val="none" w:sz="0" w:space="0" w:color="auto"/>
                                <w:right w:val="none" w:sz="0" w:space="0" w:color="auto"/>
                              </w:divBdr>
                            </w:div>
                            <w:div w:id="1627616309">
                              <w:marLeft w:val="0"/>
                              <w:marRight w:val="0"/>
                              <w:marTop w:val="0"/>
                              <w:marBottom w:val="0"/>
                              <w:divBdr>
                                <w:top w:val="none" w:sz="0" w:space="0" w:color="auto"/>
                                <w:left w:val="none" w:sz="0" w:space="0" w:color="auto"/>
                                <w:bottom w:val="none" w:sz="0" w:space="0" w:color="auto"/>
                                <w:right w:val="none" w:sz="0" w:space="0" w:color="auto"/>
                              </w:divBdr>
                            </w:div>
                            <w:div w:id="1161385163">
                              <w:marLeft w:val="0"/>
                              <w:marRight w:val="0"/>
                              <w:marTop w:val="0"/>
                              <w:marBottom w:val="0"/>
                              <w:divBdr>
                                <w:top w:val="none" w:sz="0" w:space="0" w:color="auto"/>
                                <w:left w:val="none" w:sz="0" w:space="0" w:color="auto"/>
                                <w:bottom w:val="none" w:sz="0" w:space="0" w:color="auto"/>
                                <w:right w:val="none" w:sz="0" w:space="0" w:color="auto"/>
                              </w:divBdr>
                            </w:div>
                            <w:div w:id="2124038420">
                              <w:marLeft w:val="0"/>
                              <w:marRight w:val="0"/>
                              <w:marTop w:val="0"/>
                              <w:marBottom w:val="0"/>
                              <w:divBdr>
                                <w:top w:val="none" w:sz="0" w:space="0" w:color="auto"/>
                                <w:left w:val="none" w:sz="0" w:space="0" w:color="auto"/>
                                <w:bottom w:val="none" w:sz="0" w:space="0" w:color="auto"/>
                                <w:right w:val="none" w:sz="0" w:space="0" w:color="auto"/>
                              </w:divBdr>
                            </w:div>
                          </w:divsChild>
                        </w:div>
                        <w:div w:id="317073096">
                          <w:marLeft w:val="0"/>
                          <w:marRight w:val="0"/>
                          <w:marTop w:val="120"/>
                          <w:marBottom w:val="120"/>
                          <w:divBdr>
                            <w:top w:val="none" w:sz="0" w:space="0" w:color="auto"/>
                            <w:left w:val="none" w:sz="0" w:space="0" w:color="auto"/>
                            <w:bottom w:val="none" w:sz="0" w:space="0" w:color="auto"/>
                            <w:right w:val="none" w:sz="0" w:space="0" w:color="auto"/>
                          </w:divBdr>
                          <w:divsChild>
                            <w:div w:id="1181968145">
                              <w:marLeft w:val="288"/>
                              <w:marRight w:val="0"/>
                              <w:marTop w:val="0"/>
                              <w:marBottom w:val="0"/>
                              <w:divBdr>
                                <w:top w:val="none" w:sz="0" w:space="0" w:color="auto"/>
                                <w:left w:val="none" w:sz="0" w:space="0" w:color="auto"/>
                                <w:bottom w:val="none" w:sz="0" w:space="0" w:color="auto"/>
                                <w:right w:val="none" w:sz="0" w:space="0" w:color="auto"/>
                              </w:divBdr>
                            </w:div>
                            <w:div w:id="341860432">
                              <w:marLeft w:val="288"/>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0748478">
      <w:bodyDiv w:val="1"/>
      <w:marLeft w:val="0"/>
      <w:marRight w:val="0"/>
      <w:marTop w:val="0"/>
      <w:marBottom w:val="0"/>
      <w:divBdr>
        <w:top w:val="none" w:sz="0" w:space="0" w:color="auto"/>
        <w:left w:val="none" w:sz="0" w:space="0" w:color="auto"/>
        <w:bottom w:val="none" w:sz="0" w:space="0" w:color="auto"/>
        <w:right w:val="none" w:sz="0" w:space="0" w:color="auto"/>
      </w:divBdr>
    </w:div>
    <w:div w:id="914777750">
      <w:bodyDiv w:val="1"/>
      <w:marLeft w:val="0"/>
      <w:marRight w:val="0"/>
      <w:marTop w:val="0"/>
      <w:marBottom w:val="0"/>
      <w:divBdr>
        <w:top w:val="none" w:sz="0" w:space="0" w:color="auto"/>
        <w:left w:val="none" w:sz="0" w:space="0" w:color="auto"/>
        <w:bottom w:val="none" w:sz="0" w:space="0" w:color="auto"/>
        <w:right w:val="none" w:sz="0" w:space="0" w:color="auto"/>
      </w:divBdr>
    </w:div>
    <w:div w:id="945693396">
      <w:bodyDiv w:val="1"/>
      <w:marLeft w:val="0"/>
      <w:marRight w:val="0"/>
      <w:marTop w:val="0"/>
      <w:marBottom w:val="0"/>
      <w:divBdr>
        <w:top w:val="none" w:sz="0" w:space="0" w:color="auto"/>
        <w:left w:val="none" w:sz="0" w:space="0" w:color="auto"/>
        <w:bottom w:val="none" w:sz="0" w:space="0" w:color="auto"/>
        <w:right w:val="none" w:sz="0" w:space="0" w:color="auto"/>
      </w:divBdr>
    </w:div>
    <w:div w:id="966855607">
      <w:bodyDiv w:val="1"/>
      <w:marLeft w:val="0"/>
      <w:marRight w:val="0"/>
      <w:marTop w:val="0"/>
      <w:marBottom w:val="0"/>
      <w:divBdr>
        <w:top w:val="none" w:sz="0" w:space="0" w:color="auto"/>
        <w:left w:val="none" w:sz="0" w:space="0" w:color="auto"/>
        <w:bottom w:val="none" w:sz="0" w:space="0" w:color="auto"/>
        <w:right w:val="none" w:sz="0" w:space="0" w:color="auto"/>
      </w:divBdr>
    </w:div>
    <w:div w:id="989672147">
      <w:bodyDiv w:val="1"/>
      <w:marLeft w:val="0"/>
      <w:marRight w:val="0"/>
      <w:marTop w:val="0"/>
      <w:marBottom w:val="0"/>
      <w:divBdr>
        <w:top w:val="none" w:sz="0" w:space="0" w:color="auto"/>
        <w:left w:val="none" w:sz="0" w:space="0" w:color="auto"/>
        <w:bottom w:val="none" w:sz="0" w:space="0" w:color="auto"/>
        <w:right w:val="none" w:sz="0" w:space="0" w:color="auto"/>
      </w:divBdr>
    </w:div>
    <w:div w:id="991329974">
      <w:bodyDiv w:val="1"/>
      <w:marLeft w:val="0"/>
      <w:marRight w:val="0"/>
      <w:marTop w:val="0"/>
      <w:marBottom w:val="0"/>
      <w:divBdr>
        <w:top w:val="none" w:sz="0" w:space="0" w:color="auto"/>
        <w:left w:val="none" w:sz="0" w:space="0" w:color="auto"/>
        <w:bottom w:val="none" w:sz="0" w:space="0" w:color="auto"/>
        <w:right w:val="none" w:sz="0" w:space="0" w:color="auto"/>
      </w:divBdr>
    </w:div>
    <w:div w:id="1001005559">
      <w:bodyDiv w:val="1"/>
      <w:marLeft w:val="0"/>
      <w:marRight w:val="0"/>
      <w:marTop w:val="0"/>
      <w:marBottom w:val="0"/>
      <w:divBdr>
        <w:top w:val="none" w:sz="0" w:space="0" w:color="auto"/>
        <w:left w:val="none" w:sz="0" w:space="0" w:color="auto"/>
        <w:bottom w:val="none" w:sz="0" w:space="0" w:color="auto"/>
        <w:right w:val="none" w:sz="0" w:space="0" w:color="auto"/>
      </w:divBdr>
    </w:div>
    <w:div w:id="1001392306">
      <w:bodyDiv w:val="1"/>
      <w:marLeft w:val="0"/>
      <w:marRight w:val="0"/>
      <w:marTop w:val="0"/>
      <w:marBottom w:val="0"/>
      <w:divBdr>
        <w:top w:val="none" w:sz="0" w:space="0" w:color="auto"/>
        <w:left w:val="none" w:sz="0" w:space="0" w:color="auto"/>
        <w:bottom w:val="none" w:sz="0" w:space="0" w:color="auto"/>
        <w:right w:val="none" w:sz="0" w:space="0" w:color="auto"/>
      </w:divBdr>
    </w:div>
    <w:div w:id="1005591227">
      <w:bodyDiv w:val="1"/>
      <w:marLeft w:val="0"/>
      <w:marRight w:val="0"/>
      <w:marTop w:val="0"/>
      <w:marBottom w:val="0"/>
      <w:divBdr>
        <w:top w:val="none" w:sz="0" w:space="0" w:color="auto"/>
        <w:left w:val="none" w:sz="0" w:space="0" w:color="auto"/>
        <w:bottom w:val="none" w:sz="0" w:space="0" w:color="auto"/>
        <w:right w:val="none" w:sz="0" w:space="0" w:color="auto"/>
      </w:divBdr>
    </w:div>
    <w:div w:id="1012681524">
      <w:bodyDiv w:val="1"/>
      <w:marLeft w:val="0"/>
      <w:marRight w:val="0"/>
      <w:marTop w:val="0"/>
      <w:marBottom w:val="0"/>
      <w:divBdr>
        <w:top w:val="none" w:sz="0" w:space="0" w:color="auto"/>
        <w:left w:val="none" w:sz="0" w:space="0" w:color="auto"/>
        <w:bottom w:val="none" w:sz="0" w:space="0" w:color="auto"/>
        <w:right w:val="none" w:sz="0" w:space="0" w:color="auto"/>
      </w:divBdr>
    </w:div>
    <w:div w:id="1020281071">
      <w:bodyDiv w:val="1"/>
      <w:marLeft w:val="0"/>
      <w:marRight w:val="0"/>
      <w:marTop w:val="0"/>
      <w:marBottom w:val="0"/>
      <w:divBdr>
        <w:top w:val="none" w:sz="0" w:space="0" w:color="auto"/>
        <w:left w:val="none" w:sz="0" w:space="0" w:color="auto"/>
        <w:bottom w:val="none" w:sz="0" w:space="0" w:color="auto"/>
        <w:right w:val="none" w:sz="0" w:space="0" w:color="auto"/>
      </w:divBdr>
    </w:div>
    <w:div w:id="1035501242">
      <w:bodyDiv w:val="1"/>
      <w:marLeft w:val="0"/>
      <w:marRight w:val="0"/>
      <w:marTop w:val="0"/>
      <w:marBottom w:val="0"/>
      <w:divBdr>
        <w:top w:val="none" w:sz="0" w:space="0" w:color="auto"/>
        <w:left w:val="none" w:sz="0" w:space="0" w:color="auto"/>
        <w:bottom w:val="none" w:sz="0" w:space="0" w:color="auto"/>
        <w:right w:val="none" w:sz="0" w:space="0" w:color="auto"/>
      </w:divBdr>
    </w:div>
    <w:div w:id="1061633184">
      <w:bodyDiv w:val="1"/>
      <w:marLeft w:val="0"/>
      <w:marRight w:val="0"/>
      <w:marTop w:val="0"/>
      <w:marBottom w:val="0"/>
      <w:divBdr>
        <w:top w:val="none" w:sz="0" w:space="0" w:color="auto"/>
        <w:left w:val="none" w:sz="0" w:space="0" w:color="auto"/>
        <w:bottom w:val="none" w:sz="0" w:space="0" w:color="auto"/>
        <w:right w:val="none" w:sz="0" w:space="0" w:color="auto"/>
      </w:divBdr>
      <w:divsChild>
        <w:div w:id="967006891">
          <w:marLeft w:val="0"/>
          <w:marRight w:val="0"/>
          <w:marTop w:val="0"/>
          <w:marBottom w:val="0"/>
          <w:divBdr>
            <w:top w:val="none" w:sz="0" w:space="0" w:color="auto"/>
            <w:left w:val="none" w:sz="0" w:space="0" w:color="auto"/>
            <w:bottom w:val="none" w:sz="0" w:space="0" w:color="auto"/>
            <w:right w:val="none" w:sz="0" w:space="0" w:color="auto"/>
          </w:divBdr>
        </w:div>
        <w:div w:id="79104362">
          <w:marLeft w:val="0"/>
          <w:marRight w:val="0"/>
          <w:marTop w:val="0"/>
          <w:marBottom w:val="0"/>
          <w:divBdr>
            <w:top w:val="none" w:sz="0" w:space="0" w:color="auto"/>
            <w:left w:val="none" w:sz="0" w:space="0" w:color="auto"/>
            <w:bottom w:val="none" w:sz="0" w:space="0" w:color="auto"/>
            <w:right w:val="none" w:sz="0" w:space="0" w:color="auto"/>
          </w:divBdr>
        </w:div>
      </w:divsChild>
    </w:div>
    <w:div w:id="1063213606">
      <w:bodyDiv w:val="1"/>
      <w:marLeft w:val="0"/>
      <w:marRight w:val="0"/>
      <w:marTop w:val="0"/>
      <w:marBottom w:val="0"/>
      <w:divBdr>
        <w:top w:val="none" w:sz="0" w:space="0" w:color="auto"/>
        <w:left w:val="none" w:sz="0" w:space="0" w:color="auto"/>
        <w:bottom w:val="none" w:sz="0" w:space="0" w:color="auto"/>
        <w:right w:val="none" w:sz="0" w:space="0" w:color="auto"/>
      </w:divBdr>
    </w:div>
    <w:div w:id="1066488998">
      <w:bodyDiv w:val="1"/>
      <w:marLeft w:val="0"/>
      <w:marRight w:val="0"/>
      <w:marTop w:val="0"/>
      <w:marBottom w:val="0"/>
      <w:divBdr>
        <w:top w:val="none" w:sz="0" w:space="0" w:color="auto"/>
        <w:left w:val="none" w:sz="0" w:space="0" w:color="auto"/>
        <w:bottom w:val="none" w:sz="0" w:space="0" w:color="auto"/>
        <w:right w:val="none" w:sz="0" w:space="0" w:color="auto"/>
      </w:divBdr>
    </w:div>
    <w:div w:id="1086147212">
      <w:bodyDiv w:val="1"/>
      <w:marLeft w:val="0"/>
      <w:marRight w:val="0"/>
      <w:marTop w:val="0"/>
      <w:marBottom w:val="0"/>
      <w:divBdr>
        <w:top w:val="none" w:sz="0" w:space="0" w:color="auto"/>
        <w:left w:val="none" w:sz="0" w:space="0" w:color="auto"/>
        <w:bottom w:val="none" w:sz="0" w:space="0" w:color="auto"/>
        <w:right w:val="none" w:sz="0" w:space="0" w:color="auto"/>
      </w:divBdr>
    </w:div>
    <w:div w:id="1095446247">
      <w:bodyDiv w:val="1"/>
      <w:marLeft w:val="0"/>
      <w:marRight w:val="0"/>
      <w:marTop w:val="0"/>
      <w:marBottom w:val="0"/>
      <w:divBdr>
        <w:top w:val="none" w:sz="0" w:space="0" w:color="auto"/>
        <w:left w:val="none" w:sz="0" w:space="0" w:color="auto"/>
        <w:bottom w:val="none" w:sz="0" w:space="0" w:color="auto"/>
        <w:right w:val="none" w:sz="0" w:space="0" w:color="auto"/>
      </w:divBdr>
    </w:div>
    <w:div w:id="1102840780">
      <w:bodyDiv w:val="1"/>
      <w:marLeft w:val="0"/>
      <w:marRight w:val="0"/>
      <w:marTop w:val="0"/>
      <w:marBottom w:val="0"/>
      <w:divBdr>
        <w:top w:val="none" w:sz="0" w:space="0" w:color="auto"/>
        <w:left w:val="none" w:sz="0" w:space="0" w:color="auto"/>
        <w:bottom w:val="none" w:sz="0" w:space="0" w:color="auto"/>
        <w:right w:val="none" w:sz="0" w:space="0" w:color="auto"/>
      </w:divBdr>
    </w:div>
    <w:div w:id="1103839819">
      <w:bodyDiv w:val="1"/>
      <w:marLeft w:val="0"/>
      <w:marRight w:val="0"/>
      <w:marTop w:val="0"/>
      <w:marBottom w:val="0"/>
      <w:divBdr>
        <w:top w:val="none" w:sz="0" w:space="0" w:color="auto"/>
        <w:left w:val="none" w:sz="0" w:space="0" w:color="auto"/>
        <w:bottom w:val="none" w:sz="0" w:space="0" w:color="auto"/>
        <w:right w:val="none" w:sz="0" w:space="0" w:color="auto"/>
      </w:divBdr>
    </w:div>
    <w:div w:id="1126316196">
      <w:bodyDiv w:val="1"/>
      <w:marLeft w:val="0"/>
      <w:marRight w:val="0"/>
      <w:marTop w:val="0"/>
      <w:marBottom w:val="0"/>
      <w:divBdr>
        <w:top w:val="none" w:sz="0" w:space="0" w:color="auto"/>
        <w:left w:val="none" w:sz="0" w:space="0" w:color="auto"/>
        <w:bottom w:val="none" w:sz="0" w:space="0" w:color="auto"/>
        <w:right w:val="none" w:sz="0" w:space="0" w:color="auto"/>
      </w:divBdr>
      <w:divsChild>
        <w:div w:id="901522373">
          <w:marLeft w:val="547"/>
          <w:marRight w:val="0"/>
          <w:marTop w:val="134"/>
          <w:marBottom w:val="0"/>
          <w:divBdr>
            <w:top w:val="none" w:sz="0" w:space="0" w:color="auto"/>
            <w:left w:val="none" w:sz="0" w:space="0" w:color="auto"/>
            <w:bottom w:val="none" w:sz="0" w:space="0" w:color="auto"/>
            <w:right w:val="none" w:sz="0" w:space="0" w:color="auto"/>
          </w:divBdr>
        </w:div>
        <w:div w:id="1396389263">
          <w:marLeft w:val="547"/>
          <w:marRight w:val="0"/>
          <w:marTop w:val="134"/>
          <w:marBottom w:val="0"/>
          <w:divBdr>
            <w:top w:val="none" w:sz="0" w:space="0" w:color="auto"/>
            <w:left w:val="none" w:sz="0" w:space="0" w:color="auto"/>
            <w:bottom w:val="none" w:sz="0" w:space="0" w:color="auto"/>
            <w:right w:val="none" w:sz="0" w:space="0" w:color="auto"/>
          </w:divBdr>
        </w:div>
        <w:div w:id="517045245">
          <w:marLeft w:val="547"/>
          <w:marRight w:val="0"/>
          <w:marTop w:val="134"/>
          <w:marBottom w:val="0"/>
          <w:divBdr>
            <w:top w:val="none" w:sz="0" w:space="0" w:color="auto"/>
            <w:left w:val="none" w:sz="0" w:space="0" w:color="auto"/>
            <w:bottom w:val="none" w:sz="0" w:space="0" w:color="auto"/>
            <w:right w:val="none" w:sz="0" w:space="0" w:color="auto"/>
          </w:divBdr>
        </w:div>
      </w:divsChild>
    </w:div>
    <w:div w:id="1135414380">
      <w:bodyDiv w:val="1"/>
      <w:marLeft w:val="0"/>
      <w:marRight w:val="0"/>
      <w:marTop w:val="0"/>
      <w:marBottom w:val="0"/>
      <w:divBdr>
        <w:top w:val="none" w:sz="0" w:space="0" w:color="auto"/>
        <w:left w:val="none" w:sz="0" w:space="0" w:color="auto"/>
        <w:bottom w:val="none" w:sz="0" w:space="0" w:color="auto"/>
        <w:right w:val="none" w:sz="0" w:space="0" w:color="auto"/>
      </w:divBdr>
    </w:div>
    <w:div w:id="1230921409">
      <w:bodyDiv w:val="1"/>
      <w:marLeft w:val="0"/>
      <w:marRight w:val="0"/>
      <w:marTop w:val="0"/>
      <w:marBottom w:val="0"/>
      <w:divBdr>
        <w:top w:val="none" w:sz="0" w:space="0" w:color="auto"/>
        <w:left w:val="none" w:sz="0" w:space="0" w:color="auto"/>
        <w:bottom w:val="none" w:sz="0" w:space="0" w:color="auto"/>
        <w:right w:val="none" w:sz="0" w:space="0" w:color="auto"/>
      </w:divBdr>
    </w:div>
    <w:div w:id="1246455026">
      <w:bodyDiv w:val="1"/>
      <w:marLeft w:val="0"/>
      <w:marRight w:val="0"/>
      <w:marTop w:val="0"/>
      <w:marBottom w:val="0"/>
      <w:divBdr>
        <w:top w:val="none" w:sz="0" w:space="0" w:color="auto"/>
        <w:left w:val="none" w:sz="0" w:space="0" w:color="auto"/>
        <w:bottom w:val="none" w:sz="0" w:space="0" w:color="auto"/>
        <w:right w:val="none" w:sz="0" w:space="0" w:color="auto"/>
      </w:divBdr>
      <w:divsChild>
        <w:div w:id="130755148">
          <w:marLeft w:val="547"/>
          <w:marRight w:val="0"/>
          <w:marTop w:val="0"/>
          <w:marBottom w:val="0"/>
          <w:divBdr>
            <w:top w:val="none" w:sz="0" w:space="0" w:color="auto"/>
            <w:left w:val="none" w:sz="0" w:space="0" w:color="auto"/>
            <w:bottom w:val="none" w:sz="0" w:space="0" w:color="auto"/>
            <w:right w:val="none" w:sz="0" w:space="0" w:color="auto"/>
          </w:divBdr>
        </w:div>
      </w:divsChild>
    </w:div>
    <w:div w:id="1248729183">
      <w:bodyDiv w:val="1"/>
      <w:marLeft w:val="0"/>
      <w:marRight w:val="0"/>
      <w:marTop w:val="0"/>
      <w:marBottom w:val="0"/>
      <w:divBdr>
        <w:top w:val="none" w:sz="0" w:space="0" w:color="auto"/>
        <w:left w:val="none" w:sz="0" w:space="0" w:color="auto"/>
        <w:bottom w:val="none" w:sz="0" w:space="0" w:color="auto"/>
        <w:right w:val="none" w:sz="0" w:space="0" w:color="auto"/>
      </w:divBdr>
    </w:div>
    <w:div w:id="1271357180">
      <w:bodyDiv w:val="1"/>
      <w:marLeft w:val="0"/>
      <w:marRight w:val="0"/>
      <w:marTop w:val="0"/>
      <w:marBottom w:val="0"/>
      <w:divBdr>
        <w:top w:val="none" w:sz="0" w:space="0" w:color="auto"/>
        <w:left w:val="none" w:sz="0" w:space="0" w:color="auto"/>
        <w:bottom w:val="none" w:sz="0" w:space="0" w:color="auto"/>
        <w:right w:val="none" w:sz="0" w:space="0" w:color="auto"/>
      </w:divBdr>
    </w:div>
    <w:div w:id="1290163804">
      <w:bodyDiv w:val="1"/>
      <w:marLeft w:val="0"/>
      <w:marRight w:val="0"/>
      <w:marTop w:val="0"/>
      <w:marBottom w:val="0"/>
      <w:divBdr>
        <w:top w:val="none" w:sz="0" w:space="0" w:color="auto"/>
        <w:left w:val="none" w:sz="0" w:space="0" w:color="auto"/>
        <w:bottom w:val="none" w:sz="0" w:space="0" w:color="auto"/>
        <w:right w:val="none" w:sz="0" w:space="0" w:color="auto"/>
      </w:divBdr>
    </w:div>
    <w:div w:id="1291786964">
      <w:bodyDiv w:val="1"/>
      <w:marLeft w:val="0"/>
      <w:marRight w:val="0"/>
      <w:marTop w:val="0"/>
      <w:marBottom w:val="0"/>
      <w:divBdr>
        <w:top w:val="none" w:sz="0" w:space="0" w:color="auto"/>
        <w:left w:val="none" w:sz="0" w:space="0" w:color="auto"/>
        <w:bottom w:val="none" w:sz="0" w:space="0" w:color="auto"/>
        <w:right w:val="none" w:sz="0" w:space="0" w:color="auto"/>
      </w:divBdr>
    </w:div>
    <w:div w:id="1292590355">
      <w:bodyDiv w:val="1"/>
      <w:marLeft w:val="0"/>
      <w:marRight w:val="0"/>
      <w:marTop w:val="0"/>
      <w:marBottom w:val="0"/>
      <w:divBdr>
        <w:top w:val="none" w:sz="0" w:space="0" w:color="auto"/>
        <w:left w:val="none" w:sz="0" w:space="0" w:color="auto"/>
        <w:bottom w:val="none" w:sz="0" w:space="0" w:color="auto"/>
        <w:right w:val="none" w:sz="0" w:space="0" w:color="auto"/>
      </w:divBdr>
    </w:div>
    <w:div w:id="1304896335">
      <w:bodyDiv w:val="1"/>
      <w:marLeft w:val="0"/>
      <w:marRight w:val="0"/>
      <w:marTop w:val="0"/>
      <w:marBottom w:val="0"/>
      <w:divBdr>
        <w:top w:val="none" w:sz="0" w:space="0" w:color="auto"/>
        <w:left w:val="none" w:sz="0" w:space="0" w:color="auto"/>
        <w:bottom w:val="none" w:sz="0" w:space="0" w:color="auto"/>
        <w:right w:val="none" w:sz="0" w:space="0" w:color="auto"/>
      </w:divBdr>
    </w:div>
    <w:div w:id="1318219732">
      <w:bodyDiv w:val="1"/>
      <w:marLeft w:val="0"/>
      <w:marRight w:val="0"/>
      <w:marTop w:val="0"/>
      <w:marBottom w:val="0"/>
      <w:divBdr>
        <w:top w:val="none" w:sz="0" w:space="0" w:color="auto"/>
        <w:left w:val="none" w:sz="0" w:space="0" w:color="auto"/>
        <w:bottom w:val="none" w:sz="0" w:space="0" w:color="auto"/>
        <w:right w:val="none" w:sz="0" w:space="0" w:color="auto"/>
      </w:divBdr>
    </w:div>
    <w:div w:id="1336419133">
      <w:bodyDiv w:val="1"/>
      <w:marLeft w:val="0"/>
      <w:marRight w:val="0"/>
      <w:marTop w:val="0"/>
      <w:marBottom w:val="0"/>
      <w:divBdr>
        <w:top w:val="none" w:sz="0" w:space="0" w:color="auto"/>
        <w:left w:val="none" w:sz="0" w:space="0" w:color="auto"/>
        <w:bottom w:val="none" w:sz="0" w:space="0" w:color="auto"/>
        <w:right w:val="none" w:sz="0" w:space="0" w:color="auto"/>
      </w:divBdr>
    </w:div>
    <w:div w:id="1365642265">
      <w:bodyDiv w:val="1"/>
      <w:marLeft w:val="0"/>
      <w:marRight w:val="0"/>
      <w:marTop w:val="0"/>
      <w:marBottom w:val="0"/>
      <w:divBdr>
        <w:top w:val="none" w:sz="0" w:space="0" w:color="auto"/>
        <w:left w:val="none" w:sz="0" w:space="0" w:color="auto"/>
        <w:bottom w:val="none" w:sz="0" w:space="0" w:color="auto"/>
        <w:right w:val="none" w:sz="0" w:space="0" w:color="auto"/>
      </w:divBdr>
    </w:div>
    <w:div w:id="1382363752">
      <w:bodyDiv w:val="1"/>
      <w:marLeft w:val="0"/>
      <w:marRight w:val="0"/>
      <w:marTop w:val="0"/>
      <w:marBottom w:val="0"/>
      <w:divBdr>
        <w:top w:val="none" w:sz="0" w:space="0" w:color="auto"/>
        <w:left w:val="none" w:sz="0" w:space="0" w:color="auto"/>
        <w:bottom w:val="none" w:sz="0" w:space="0" w:color="auto"/>
        <w:right w:val="none" w:sz="0" w:space="0" w:color="auto"/>
      </w:divBdr>
      <w:divsChild>
        <w:div w:id="916940759">
          <w:marLeft w:val="1166"/>
          <w:marRight w:val="0"/>
          <w:marTop w:val="125"/>
          <w:marBottom w:val="0"/>
          <w:divBdr>
            <w:top w:val="none" w:sz="0" w:space="0" w:color="auto"/>
            <w:left w:val="none" w:sz="0" w:space="0" w:color="auto"/>
            <w:bottom w:val="none" w:sz="0" w:space="0" w:color="auto"/>
            <w:right w:val="none" w:sz="0" w:space="0" w:color="auto"/>
          </w:divBdr>
        </w:div>
        <w:div w:id="1360668319">
          <w:marLeft w:val="1800"/>
          <w:marRight w:val="0"/>
          <w:marTop w:val="106"/>
          <w:marBottom w:val="0"/>
          <w:divBdr>
            <w:top w:val="none" w:sz="0" w:space="0" w:color="auto"/>
            <w:left w:val="none" w:sz="0" w:space="0" w:color="auto"/>
            <w:bottom w:val="none" w:sz="0" w:space="0" w:color="auto"/>
            <w:right w:val="none" w:sz="0" w:space="0" w:color="auto"/>
          </w:divBdr>
        </w:div>
        <w:div w:id="2068064223">
          <w:marLeft w:val="1800"/>
          <w:marRight w:val="0"/>
          <w:marTop w:val="106"/>
          <w:marBottom w:val="0"/>
          <w:divBdr>
            <w:top w:val="none" w:sz="0" w:space="0" w:color="auto"/>
            <w:left w:val="none" w:sz="0" w:space="0" w:color="auto"/>
            <w:bottom w:val="none" w:sz="0" w:space="0" w:color="auto"/>
            <w:right w:val="none" w:sz="0" w:space="0" w:color="auto"/>
          </w:divBdr>
        </w:div>
        <w:div w:id="548423518">
          <w:marLeft w:val="2520"/>
          <w:marRight w:val="0"/>
          <w:marTop w:val="91"/>
          <w:marBottom w:val="0"/>
          <w:divBdr>
            <w:top w:val="none" w:sz="0" w:space="0" w:color="auto"/>
            <w:left w:val="none" w:sz="0" w:space="0" w:color="auto"/>
            <w:bottom w:val="none" w:sz="0" w:space="0" w:color="auto"/>
            <w:right w:val="none" w:sz="0" w:space="0" w:color="auto"/>
          </w:divBdr>
        </w:div>
        <w:div w:id="550577377">
          <w:marLeft w:val="1166"/>
          <w:marRight w:val="0"/>
          <w:marTop w:val="125"/>
          <w:marBottom w:val="0"/>
          <w:divBdr>
            <w:top w:val="none" w:sz="0" w:space="0" w:color="auto"/>
            <w:left w:val="none" w:sz="0" w:space="0" w:color="auto"/>
            <w:bottom w:val="none" w:sz="0" w:space="0" w:color="auto"/>
            <w:right w:val="none" w:sz="0" w:space="0" w:color="auto"/>
          </w:divBdr>
        </w:div>
        <w:div w:id="1483473409">
          <w:marLeft w:val="1800"/>
          <w:marRight w:val="0"/>
          <w:marTop w:val="106"/>
          <w:marBottom w:val="0"/>
          <w:divBdr>
            <w:top w:val="none" w:sz="0" w:space="0" w:color="auto"/>
            <w:left w:val="none" w:sz="0" w:space="0" w:color="auto"/>
            <w:bottom w:val="none" w:sz="0" w:space="0" w:color="auto"/>
            <w:right w:val="none" w:sz="0" w:space="0" w:color="auto"/>
          </w:divBdr>
        </w:div>
        <w:div w:id="575017390">
          <w:marLeft w:val="2520"/>
          <w:marRight w:val="0"/>
          <w:marTop w:val="91"/>
          <w:marBottom w:val="0"/>
          <w:divBdr>
            <w:top w:val="none" w:sz="0" w:space="0" w:color="auto"/>
            <w:left w:val="none" w:sz="0" w:space="0" w:color="auto"/>
            <w:bottom w:val="none" w:sz="0" w:space="0" w:color="auto"/>
            <w:right w:val="none" w:sz="0" w:space="0" w:color="auto"/>
          </w:divBdr>
        </w:div>
      </w:divsChild>
    </w:div>
    <w:div w:id="1426610735">
      <w:bodyDiv w:val="1"/>
      <w:marLeft w:val="0"/>
      <w:marRight w:val="0"/>
      <w:marTop w:val="0"/>
      <w:marBottom w:val="0"/>
      <w:divBdr>
        <w:top w:val="none" w:sz="0" w:space="0" w:color="auto"/>
        <w:left w:val="none" w:sz="0" w:space="0" w:color="auto"/>
        <w:bottom w:val="none" w:sz="0" w:space="0" w:color="auto"/>
        <w:right w:val="none" w:sz="0" w:space="0" w:color="auto"/>
      </w:divBdr>
    </w:div>
    <w:div w:id="1435438204">
      <w:bodyDiv w:val="1"/>
      <w:marLeft w:val="0"/>
      <w:marRight w:val="0"/>
      <w:marTop w:val="0"/>
      <w:marBottom w:val="0"/>
      <w:divBdr>
        <w:top w:val="none" w:sz="0" w:space="0" w:color="auto"/>
        <w:left w:val="none" w:sz="0" w:space="0" w:color="auto"/>
        <w:bottom w:val="none" w:sz="0" w:space="0" w:color="auto"/>
        <w:right w:val="none" w:sz="0" w:space="0" w:color="auto"/>
      </w:divBdr>
    </w:div>
    <w:div w:id="1493177890">
      <w:bodyDiv w:val="1"/>
      <w:marLeft w:val="0"/>
      <w:marRight w:val="0"/>
      <w:marTop w:val="0"/>
      <w:marBottom w:val="0"/>
      <w:divBdr>
        <w:top w:val="none" w:sz="0" w:space="0" w:color="auto"/>
        <w:left w:val="none" w:sz="0" w:space="0" w:color="auto"/>
        <w:bottom w:val="none" w:sz="0" w:space="0" w:color="auto"/>
        <w:right w:val="none" w:sz="0" w:space="0" w:color="auto"/>
      </w:divBdr>
    </w:div>
    <w:div w:id="1503203032">
      <w:bodyDiv w:val="1"/>
      <w:marLeft w:val="0"/>
      <w:marRight w:val="0"/>
      <w:marTop w:val="0"/>
      <w:marBottom w:val="0"/>
      <w:divBdr>
        <w:top w:val="none" w:sz="0" w:space="0" w:color="auto"/>
        <w:left w:val="none" w:sz="0" w:space="0" w:color="auto"/>
        <w:bottom w:val="none" w:sz="0" w:space="0" w:color="auto"/>
        <w:right w:val="none" w:sz="0" w:space="0" w:color="auto"/>
      </w:divBdr>
    </w:div>
    <w:div w:id="1515801699">
      <w:bodyDiv w:val="1"/>
      <w:marLeft w:val="0"/>
      <w:marRight w:val="0"/>
      <w:marTop w:val="0"/>
      <w:marBottom w:val="0"/>
      <w:divBdr>
        <w:top w:val="none" w:sz="0" w:space="0" w:color="auto"/>
        <w:left w:val="none" w:sz="0" w:space="0" w:color="auto"/>
        <w:bottom w:val="none" w:sz="0" w:space="0" w:color="auto"/>
        <w:right w:val="none" w:sz="0" w:space="0" w:color="auto"/>
      </w:divBdr>
    </w:div>
    <w:div w:id="1524788287">
      <w:bodyDiv w:val="1"/>
      <w:marLeft w:val="0"/>
      <w:marRight w:val="0"/>
      <w:marTop w:val="0"/>
      <w:marBottom w:val="0"/>
      <w:divBdr>
        <w:top w:val="none" w:sz="0" w:space="0" w:color="auto"/>
        <w:left w:val="none" w:sz="0" w:space="0" w:color="auto"/>
        <w:bottom w:val="none" w:sz="0" w:space="0" w:color="auto"/>
        <w:right w:val="none" w:sz="0" w:space="0" w:color="auto"/>
      </w:divBdr>
      <w:divsChild>
        <w:div w:id="1712732546">
          <w:marLeft w:val="547"/>
          <w:marRight w:val="0"/>
          <w:marTop w:val="86"/>
          <w:marBottom w:val="0"/>
          <w:divBdr>
            <w:top w:val="none" w:sz="0" w:space="0" w:color="auto"/>
            <w:left w:val="none" w:sz="0" w:space="0" w:color="auto"/>
            <w:bottom w:val="none" w:sz="0" w:space="0" w:color="auto"/>
            <w:right w:val="none" w:sz="0" w:space="0" w:color="auto"/>
          </w:divBdr>
        </w:div>
      </w:divsChild>
    </w:div>
    <w:div w:id="1524972827">
      <w:bodyDiv w:val="1"/>
      <w:marLeft w:val="0"/>
      <w:marRight w:val="0"/>
      <w:marTop w:val="0"/>
      <w:marBottom w:val="0"/>
      <w:divBdr>
        <w:top w:val="none" w:sz="0" w:space="0" w:color="auto"/>
        <w:left w:val="none" w:sz="0" w:space="0" w:color="auto"/>
        <w:bottom w:val="none" w:sz="0" w:space="0" w:color="auto"/>
        <w:right w:val="none" w:sz="0" w:space="0" w:color="auto"/>
      </w:divBdr>
    </w:div>
    <w:div w:id="1534735143">
      <w:bodyDiv w:val="1"/>
      <w:marLeft w:val="0"/>
      <w:marRight w:val="0"/>
      <w:marTop w:val="0"/>
      <w:marBottom w:val="0"/>
      <w:divBdr>
        <w:top w:val="none" w:sz="0" w:space="0" w:color="auto"/>
        <w:left w:val="none" w:sz="0" w:space="0" w:color="auto"/>
        <w:bottom w:val="none" w:sz="0" w:space="0" w:color="auto"/>
        <w:right w:val="none" w:sz="0" w:space="0" w:color="auto"/>
      </w:divBdr>
    </w:div>
    <w:div w:id="1546257497">
      <w:bodyDiv w:val="1"/>
      <w:marLeft w:val="0"/>
      <w:marRight w:val="0"/>
      <w:marTop w:val="0"/>
      <w:marBottom w:val="0"/>
      <w:divBdr>
        <w:top w:val="none" w:sz="0" w:space="0" w:color="auto"/>
        <w:left w:val="none" w:sz="0" w:space="0" w:color="auto"/>
        <w:bottom w:val="none" w:sz="0" w:space="0" w:color="auto"/>
        <w:right w:val="none" w:sz="0" w:space="0" w:color="auto"/>
      </w:divBdr>
    </w:div>
    <w:div w:id="1577665929">
      <w:bodyDiv w:val="1"/>
      <w:marLeft w:val="0"/>
      <w:marRight w:val="0"/>
      <w:marTop w:val="0"/>
      <w:marBottom w:val="0"/>
      <w:divBdr>
        <w:top w:val="none" w:sz="0" w:space="0" w:color="auto"/>
        <w:left w:val="none" w:sz="0" w:space="0" w:color="auto"/>
        <w:bottom w:val="none" w:sz="0" w:space="0" w:color="auto"/>
        <w:right w:val="none" w:sz="0" w:space="0" w:color="auto"/>
      </w:divBdr>
    </w:div>
    <w:div w:id="1586257276">
      <w:bodyDiv w:val="1"/>
      <w:marLeft w:val="0"/>
      <w:marRight w:val="0"/>
      <w:marTop w:val="0"/>
      <w:marBottom w:val="0"/>
      <w:divBdr>
        <w:top w:val="none" w:sz="0" w:space="0" w:color="auto"/>
        <w:left w:val="none" w:sz="0" w:space="0" w:color="auto"/>
        <w:bottom w:val="none" w:sz="0" w:space="0" w:color="auto"/>
        <w:right w:val="none" w:sz="0" w:space="0" w:color="auto"/>
      </w:divBdr>
    </w:div>
    <w:div w:id="1602181597">
      <w:bodyDiv w:val="1"/>
      <w:marLeft w:val="0"/>
      <w:marRight w:val="0"/>
      <w:marTop w:val="0"/>
      <w:marBottom w:val="0"/>
      <w:divBdr>
        <w:top w:val="none" w:sz="0" w:space="0" w:color="auto"/>
        <w:left w:val="none" w:sz="0" w:space="0" w:color="auto"/>
        <w:bottom w:val="none" w:sz="0" w:space="0" w:color="auto"/>
        <w:right w:val="none" w:sz="0" w:space="0" w:color="auto"/>
      </w:divBdr>
    </w:div>
    <w:div w:id="1624311121">
      <w:bodyDiv w:val="1"/>
      <w:marLeft w:val="0"/>
      <w:marRight w:val="0"/>
      <w:marTop w:val="0"/>
      <w:marBottom w:val="0"/>
      <w:divBdr>
        <w:top w:val="none" w:sz="0" w:space="0" w:color="auto"/>
        <w:left w:val="none" w:sz="0" w:space="0" w:color="auto"/>
        <w:bottom w:val="none" w:sz="0" w:space="0" w:color="auto"/>
        <w:right w:val="none" w:sz="0" w:space="0" w:color="auto"/>
      </w:divBdr>
    </w:div>
    <w:div w:id="1643264463">
      <w:bodyDiv w:val="1"/>
      <w:marLeft w:val="0"/>
      <w:marRight w:val="0"/>
      <w:marTop w:val="0"/>
      <w:marBottom w:val="0"/>
      <w:divBdr>
        <w:top w:val="none" w:sz="0" w:space="0" w:color="auto"/>
        <w:left w:val="none" w:sz="0" w:space="0" w:color="auto"/>
        <w:bottom w:val="none" w:sz="0" w:space="0" w:color="auto"/>
        <w:right w:val="none" w:sz="0" w:space="0" w:color="auto"/>
      </w:divBdr>
    </w:div>
    <w:div w:id="1677614454">
      <w:bodyDiv w:val="1"/>
      <w:marLeft w:val="0"/>
      <w:marRight w:val="0"/>
      <w:marTop w:val="0"/>
      <w:marBottom w:val="0"/>
      <w:divBdr>
        <w:top w:val="none" w:sz="0" w:space="0" w:color="auto"/>
        <w:left w:val="none" w:sz="0" w:space="0" w:color="auto"/>
        <w:bottom w:val="none" w:sz="0" w:space="0" w:color="auto"/>
        <w:right w:val="none" w:sz="0" w:space="0" w:color="auto"/>
      </w:divBdr>
    </w:div>
    <w:div w:id="1696804217">
      <w:bodyDiv w:val="1"/>
      <w:marLeft w:val="0"/>
      <w:marRight w:val="0"/>
      <w:marTop w:val="0"/>
      <w:marBottom w:val="0"/>
      <w:divBdr>
        <w:top w:val="none" w:sz="0" w:space="0" w:color="auto"/>
        <w:left w:val="none" w:sz="0" w:space="0" w:color="auto"/>
        <w:bottom w:val="none" w:sz="0" w:space="0" w:color="auto"/>
        <w:right w:val="none" w:sz="0" w:space="0" w:color="auto"/>
      </w:divBdr>
    </w:div>
    <w:div w:id="1707022224">
      <w:bodyDiv w:val="1"/>
      <w:marLeft w:val="0"/>
      <w:marRight w:val="0"/>
      <w:marTop w:val="0"/>
      <w:marBottom w:val="0"/>
      <w:divBdr>
        <w:top w:val="none" w:sz="0" w:space="0" w:color="auto"/>
        <w:left w:val="none" w:sz="0" w:space="0" w:color="auto"/>
        <w:bottom w:val="none" w:sz="0" w:space="0" w:color="auto"/>
        <w:right w:val="none" w:sz="0" w:space="0" w:color="auto"/>
      </w:divBdr>
      <w:divsChild>
        <w:div w:id="514736038">
          <w:marLeft w:val="1166"/>
          <w:marRight w:val="0"/>
          <w:marTop w:val="72"/>
          <w:marBottom w:val="0"/>
          <w:divBdr>
            <w:top w:val="none" w:sz="0" w:space="0" w:color="auto"/>
            <w:left w:val="none" w:sz="0" w:space="0" w:color="auto"/>
            <w:bottom w:val="none" w:sz="0" w:space="0" w:color="auto"/>
            <w:right w:val="none" w:sz="0" w:space="0" w:color="auto"/>
          </w:divBdr>
        </w:div>
      </w:divsChild>
    </w:div>
    <w:div w:id="1708406077">
      <w:bodyDiv w:val="1"/>
      <w:marLeft w:val="0"/>
      <w:marRight w:val="0"/>
      <w:marTop w:val="0"/>
      <w:marBottom w:val="0"/>
      <w:divBdr>
        <w:top w:val="none" w:sz="0" w:space="0" w:color="auto"/>
        <w:left w:val="none" w:sz="0" w:space="0" w:color="auto"/>
        <w:bottom w:val="none" w:sz="0" w:space="0" w:color="auto"/>
        <w:right w:val="none" w:sz="0" w:space="0" w:color="auto"/>
      </w:divBdr>
    </w:div>
    <w:div w:id="1713070781">
      <w:bodyDiv w:val="1"/>
      <w:marLeft w:val="0"/>
      <w:marRight w:val="0"/>
      <w:marTop w:val="0"/>
      <w:marBottom w:val="0"/>
      <w:divBdr>
        <w:top w:val="none" w:sz="0" w:space="0" w:color="auto"/>
        <w:left w:val="none" w:sz="0" w:space="0" w:color="auto"/>
        <w:bottom w:val="none" w:sz="0" w:space="0" w:color="auto"/>
        <w:right w:val="none" w:sz="0" w:space="0" w:color="auto"/>
      </w:divBdr>
    </w:div>
    <w:div w:id="1741440734">
      <w:bodyDiv w:val="1"/>
      <w:marLeft w:val="0"/>
      <w:marRight w:val="0"/>
      <w:marTop w:val="0"/>
      <w:marBottom w:val="0"/>
      <w:divBdr>
        <w:top w:val="none" w:sz="0" w:space="0" w:color="auto"/>
        <w:left w:val="none" w:sz="0" w:space="0" w:color="auto"/>
        <w:bottom w:val="none" w:sz="0" w:space="0" w:color="auto"/>
        <w:right w:val="none" w:sz="0" w:space="0" w:color="auto"/>
      </w:divBdr>
      <w:divsChild>
        <w:div w:id="957874721">
          <w:marLeft w:val="547"/>
          <w:marRight w:val="0"/>
          <w:marTop w:val="130"/>
          <w:marBottom w:val="0"/>
          <w:divBdr>
            <w:top w:val="none" w:sz="0" w:space="0" w:color="auto"/>
            <w:left w:val="none" w:sz="0" w:space="0" w:color="auto"/>
            <w:bottom w:val="none" w:sz="0" w:space="0" w:color="auto"/>
            <w:right w:val="none" w:sz="0" w:space="0" w:color="auto"/>
          </w:divBdr>
        </w:div>
        <w:div w:id="782458434">
          <w:marLeft w:val="1166"/>
          <w:marRight w:val="0"/>
          <w:marTop w:val="115"/>
          <w:marBottom w:val="0"/>
          <w:divBdr>
            <w:top w:val="none" w:sz="0" w:space="0" w:color="auto"/>
            <w:left w:val="none" w:sz="0" w:space="0" w:color="auto"/>
            <w:bottom w:val="none" w:sz="0" w:space="0" w:color="auto"/>
            <w:right w:val="none" w:sz="0" w:space="0" w:color="auto"/>
          </w:divBdr>
        </w:div>
        <w:div w:id="689913266">
          <w:marLeft w:val="1800"/>
          <w:marRight w:val="0"/>
          <w:marTop w:val="96"/>
          <w:marBottom w:val="0"/>
          <w:divBdr>
            <w:top w:val="none" w:sz="0" w:space="0" w:color="auto"/>
            <w:left w:val="none" w:sz="0" w:space="0" w:color="auto"/>
            <w:bottom w:val="none" w:sz="0" w:space="0" w:color="auto"/>
            <w:right w:val="none" w:sz="0" w:space="0" w:color="auto"/>
          </w:divBdr>
        </w:div>
        <w:div w:id="134378458">
          <w:marLeft w:val="2520"/>
          <w:marRight w:val="0"/>
          <w:marTop w:val="82"/>
          <w:marBottom w:val="0"/>
          <w:divBdr>
            <w:top w:val="none" w:sz="0" w:space="0" w:color="auto"/>
            <w:left w:val="none" w:sz="0" w:space="0" w:color="auto"/>
            <w:bottom w:val="none" w:sz="0" w:space="0" w:color="auto"/>
            <w:right w:val="none" w:sz="0" w:space="0" w:color="auto"/>
          </w:divBdr>
        </w:div>
        <w:div w:id="40593275">
          <w:marLeft w:val="2520"/>
          <w:marRight w:val="0"/>
          <w:marTop w:val="82"/>
          <w:marBottom w:val="0"/>
          <w:divBdr>
            <w:top w:val="none" w:sz="0" w:space="0" w:color="auto"/>
            <w:left w:val="none" w:sz="0" w:space="0" w:color="auto"/>
            <w:bottom w:val="none" w:sz="0" w:space="0" w:color="auto"/>
            <w:right w:val="none" w:sz="0" w:space="0" w:color="auto"/>
          </w:divBdr>
        </w:div>
        <w:div w:id="412551714">
          <w:marLeft w:val="2520"/>
          <w:marRight w:val="0"/>
          <w:marTop w:val="82"/>
          <w:marBottom w:val="0"/>
          <w:divBdr>
            <w:top w:val="none" w:sz="0" w:space="0" w:color="auto"/>
            <w:left w:val="none" w:sz="0" w:space="0" w:color="auto"/>
            <w:bottom w:val="none" w:sz="0" w:space="0" w:color="auto"/>
            <w:right w:val="none" w:sz="0" w:space="0" w:color="auto"/>
          </w:divBdr>
        </w:div>
        <w:div w:id="1446921517">
          <w:marLeft w:val="1800"/>
          <w:marRight w:val="0"/>
          <w:marTop w:val="96"/>
          <w:marBottom w:val="0"/>
          <w:divBdr>
            <w:top w:val="none" w:sz="0" w:space="0" w:color="auto"/>
            <w:left w:val="none" w:sz="0" w:space="0" w:color="auto"/>
            <w:bottom w:val="none" w:sz="0" w:space="0" w:color="auto"/>
            <w:right w:val="none" w:sz="0" w:space="0" w:color="auto"/>
          </w:divBdr>
        </w:div>
        <w:div w:id="515576732">
          <w:marLeft w:val="1800"/>
          <w:marRight w:val="0"/>
          <w:marTop w:val="96"/>
          <w:marBottom w:val="0"/>
          <w:divBdr>
            <w:top w:val="none" w:sz="0" w:space="0" w:color="auto"/>
            <w:left w:val="none" w:sz="0" w:space="0" w:color="auto"/>
            <w:bottom w:val="none" w:sz="0" w:space="0" w:color="auto"/>
            <w:right w:val="none" w:sz="0" w:space="0" w:color="auto"/>
          </w:divBdr>
        </w:div>
      </w:divsChild>
    </w:div>
    <w:div w:id="1747460191">
      <w:bodyDiv w:val="1"/>
      <w:marLeft w:val="0"/>
      <w:marRight w:val="0"/>
      <w:marTop w:val="0"/>
      <w:marBottom w:val="0"/>
      <w:divBdr>
        <w:top w:val="none" w:sz="0" w:space="0" w:color="auto"/>
        <w:left w:val="none" w:sz="0" w:space="0" w:color="auto"/>
        <w:bottom w:val="none" w:sz="0" w:space="0" w:color="auto"/>
        <w:right w:val="none" w:sz="0" w:space="0" w:color="auto"/>
      </w:divBdr>
    </w:div>
    <w:div w:id="1758554690">
      <w:bodyDiv w:val="1"/>
      <w:marLeft w:val="0"/>
      <w:marRight w:val="0"/>
      <w:marTop w:val="0"/>
      <w:marBottom w:val="0"/>
      <w:divBdr>
        <w:top w:val="none" w:sz="0" w:space="0" w:color="auto"/>
        <w:left w:val="none" w:sz="0" w:space="0" w:color="auto"/>
        <w:bottom w:val="none" w:sz="0" w:space="0" w:color="auto"/>
        <w:right w:val="none" w:sz="0" w:space="0" w:color="auto"/>
      </w:divBdr>
    </w:div>
    <w:div w:id="1770154334">
      <w:bodyDiv w:val="1"/>
      <w:marLeft w:val="0"/>
      <w:marRight w:val="0"/>
      <w:marTop w:val="0"/>
      <w:marBottom w:val="0"/>
      <w:divBdr>
        <w:top w:val="none" w:sz="0" w:space="0" w:color="auto"/>
        <w:left w:val="none" w:sz="0" w:space="0" w:color="auto"/>
        <w:bottom w:val="none" w:sz="0" w:space="0" w:color="auto"/>
        <w:right w:val="none" w:sz="0" w:space="0" w:color="auto"/>
      </w:divBdr>
    </w:div>
    <w:div w:id="1841309471">
      <w:bodyDiv w:val="1"/>
      <w:marLeft w:val="0"/>
      <w:marRight w:val="0"/>
      <w:marTop w:val="0"/>
      <w:marBottom w:val="0"/>
      <w:divBdr>
        <w:top w:val="none" w:sz="0" w:space="0" w:color="auto"/>
        <w:left w:val="none" w:sz="0" w:space="0" w:color="auto"/>
        <w:bottom w:val="none" w:sz="0" w:space="0" w:color="auto"/>
        <w:right w:val="none" w:sz="0" w:space="0" w:color="auto"/>
      </w:divBdr>
      <w:divsChild>
        <w:div w:id="1916429322">
          <w:marLeft w:val="547"/>
          <w:marRight w:val="0"/>
          <w:marTop w:val="86"/>
          <w:marBottom w:val="0"/>
          <w:divBdr>
            <w:top w:val="none" w:sz="0" w:space="0" w:color="auto"/>
            <w:left w:val="none" w:sz="0" w:space="0" w:color="auto"/>
            <w:bottom w:val="none" w:sz="0" w:space="0" w:color="auto"/>
            <w:right w:val="none" w:sz="0" w:space="0" w:color="auto"/>
          </w:divBdr>
        </w:div>
        <w:div w:id="1300459149">
          <w:marLeft w:val="1166"/>
          <w:marRight w:val="0"/>
          <w:marTop w:val="72"/>
          <w:marBottom w:val="0"/>
          <w:divBdr>
            <w:top w:val="none" w:sz="0" w:space="0" w:color="auto"/>
            <w:left w:val="none" w:sz="0" w:space="0" w:color="auto"/>
            <w:bottom w:val="none" w:sz="0" w:space="0" w:color="auto"/>
            <w:right w:val="none" w:sz="0" w:space="0" w:color="auto"/>
          </w:divBdr>
        </w:div>
        <w:div w:id="1529291811">
          <w:marLeft w:val="1166"/>
          <w:marRight w:val="0"/>
          <w:marTop w:val="72"/>
          <w:marBottom w:val="0"/>
          <w:divBdr>
            <w:top w:val="none" w:sz="0" w:space="0" w:color="auto"/>
            <w:left w:val="none" w:sz="0" w:space="0" w:color="auto"/>
            <w:bottom w:val="none" w:sz="0" w:space="0" w:color="auto"/>
            <w:right w:val="none" w:sz="0" w:space="0" w:color="auto"/>
          </w:divBdr>
        </w:div>
        <w:div w:id="615449716">
          <w:marLeft w:val="1166"/>
          <w:marRight w:val="0"/>
          <w:marTop w:val="72"/>
          <w:marBottom w:val="0"/>
          <w:divBdr>
            <w:top w:val="none" w:sz="0" w:space="0" w:color="auto"/>
            <w:left w:val="none" w:sz="0" w:space="0" w:color="auto"/>
            <w:bottom w:val="none" w:sz="0" w:space="0" w:color="auto"/>
            <w:right w:val="none" w:sz="0" w:space="0" w:color="auto"/>
          </w:divBdr>
        </w:div>
        <w:div w:id="1268276526">
          <w:marLeft w:val="547"/>
          <w:marRight w:val="0"/>
          <w:marTop w:val="86"/>
          <w:marBottom w:val="0"/>
          <w:divBdr>
            <w:top w:val="none" w:sz="0" w:space="0" w:color="auto"/>
            <w:left w:val="none" w:sz="0" w:space="0" w:color="auto"/>
            <w:bottom w:val="none" w:sz="0" w:space="0" w:color="auto"/>
            <w:right w:val="none" w:sz="0" w:space="0" w:color="auto"/>
          </w:divBdr>
        </w:div>
        <w:div w:id="1420250620">
          <w:marLeft w:val="1166"/>
          <w:marRight w:val="0"/>
          <w:marTop w:val="72"/>
          <w:marBottom w:val="0"/>
          <w:divBdr>
            <w:top w:val="none" w:sz="0" w:space="0" w:color="auto"/>
            <w:left w:val="none" w:sz="0" w:space="0" w:color="auto"/>
            <w:bottom w:val="none" w:sz="0" w:space="0" w:color="auto"/>
            <w:right w:val="none" w:sz="0" w:space="0" w:color="auto"/>
          </w:divBdr>
        </w:div>
      </w:divsChild>
    </w:div>
    <w:div w:id="1843734738">
      <w:bodyDiv w:val="1"/>
      <w:marLeft w:val="0"/>
      <w:marRight w:val="0"/>
      <w:marTop w:val="0"/>
      <w:marBottom w:val="0"/>
      <w:divBdr>
        <w:top w:val="none" w:sz="0" w:space="0" w:color="auto"/>
        <w:left w:val="none" w:sz="0" w:space="0" w:color="auto"/>
        <w:bottom w:val="none" w:sz="0" w:space="0" w:color="auto"/>
        <w:right w:val="none" w:sz="0" w:space="0" w:color="auto"/>
      </w:divBdr>
    </w:div>
    <w:div w:id="1846744479">
      <w:bodyDiv w:val="1"/>
      <w:marLeft w:val="0"/>
      <w:marRight w:val="0"/>
      <w:marTop w:val="0"/>
      <w:marBottom w:val="0"/>
      <w:divBdr>
        <w:top w:val="none" w:sz="0" w:space="0" w:color="auto"/>
        <w:left w:val="none" w:sz="0" w:space="0" w:color="auto"/>
        <w:bottom w:val="none" w:sz="0" w:space="0" w:color="auto"/>
        <w:right w:val="none" w:sz="0" w:space="0" w:color="auto"/>
      </w:divBdr>
    </w:div>
    <w:div w:id="1854566557">
      <w:bodyDiv w:val="1"/>
      <w:marLeft w:val="0"/>
      <w:marRight w:val="0"/>
      <w:marTop w:val="0"/>
      <w:marBottom w:val="0"/>
      <w:divBdr>
        <w:top w:val="none" w:sz="0" w:space="0" w:color="auto"/>
        <w:left w:val="none" w:sz="0" w:space="0" w:color="auto"/>
        <w:bottom w:val="none" w:sz="0" w:space="0" w:color="auto"/>
        <w:right w:val="none" w:sz="0" w:space="0" w:color="auto"/>
      </w:divBdr>
      <w:divsChild>
        <w:div w:id="294216727">
          <w:marLeft w:val="547"/>
          <w:marRight w:val="0"/>
          <w:marTop w:val="115"/>
          <w:marBottom w:val="0"/>
          <w:divBdr>
            <w:top w:val="none" w:sz="0" w:space="0" w:color="auto"/>
            <w:left w:val="none" w:sz="0" w:space="0" w:color="auto"/>
            <w:bottom w:val="none" w:sz="0" w:space="0" w:color="auto"/>
            <w:right w:val="none" w:sz="0" w:space="0" w:color="auto"/>
          </w:divBdr>
        </w:div>
        <w:div w:id="616445454">
          <w:marLeft w:val="1166"/>
          <w:marRight w:val="0"/>
          <w:marTop w:val="82"/>
          <w:marBottom w:val="0"/>
          <w:divBdr>
            <w:top w:val="none" w:sz="0" w:space="0" w:color="auto"/>
            <w:left w:val="none" w:sz="0" w:space="0" w:color="auto"/>
            <w:bottom w:val="none" w:sz="0" w:space="0" w:color="auto"/>
            <w:right w:val="none" w:sz="0" w:space="0" w:color="auto"/>
          </w:divBdr>
        </w:div>
        <w:div w:id="2118212462">
          <w:marLeft w:val="547"/>
          <w:marRight w:val="0"/>
          <w:marTop w:val="115"/>
          <w:marBottom w:val="0"/>
          <w:divBdr>
            <w:top w:val="none" w:sz="0" w:space="0" w:color="auto"/>
            <w:left w:val="none" w:sz="0" w:space="0" w:color="auto"/>
            <w:bottom w:val="none" w:sz="0" w:space="0" w:color="auto"/>
            <w:right w:val="none" w:sz="0" w:space="0" w:color="auto"/>
          </w:divBdr>
        </w:div>
        <w:div w:id="697003082">
          <w:marLeft w:val="1166"/>
          <w:marRight w:val="0"/>
          <w:marTop w:val="82"/>
          <w:marBottom w:val="0"/>
          <w:divBdr>
            <w:top w:val="none" w:sz="0" w:space="0" w:color="auto"/>
            <w:left w:val="none" w:sz="0" w:space="0" w:color="auto"/>
            <w:bottom w:val="none" w:sz="0" w:space="0" w:color="auto"/>
            <w:right w:val="none" w:sz="0" w:space="0" w:color="auto"/>
          </w:divBdr>
        </w:div>
        <w:div w:id="1331102489">
          <w:marLeft w:val="1166"/>
          <w:marRight w:val="0"/>
          <w:marTop w:val="82"/>
          <w:marBottom w:val="0"/>
          <w:divBdr>
            <w:top w:val="none" w:sz="0" w:space="0" w:color="auto"/>
            <w:left w:val="none" w:sz="0" w:space="0" w:color="auto"/>
            <w:bottom w:val="none" w:sz="0" w:space="0" w:color="auto"/>
            <w:right w:val="none" w:sz="0" w:space="0" w:color="auto"/>
          </w:divBdr>
        </w:div>
        <w:div w:id="889608504">
          <w:marLeft w:val="1166"/>
          <w:marRight w:val="0"/>
          <w:marTop w:val="82"/>
          <w:marBottom w:val="0"/>
          <w:divBdr>
            <w:top w:val="none" w:sz="0" w:space="0" w:color="auto"/>
            <w:left w:val="none" w:sz="0" w:space="0" w:color="auto"/>
            <w:bottom w:val="none" w:sz="0" w:space="0" w:color="auto"/>
            <w:right w:val="none" w:sz="0" w:space="0" w:color="auto"/>
          </w:divBdr>
        </w:div>
        <w:div w:id="122971119">
          <w:marLeft w:val="547"/>
          <w:marRight w:val="0"/>
          <w:marTop w:val="115"/>
          <w:marBottom w:val="0"/>
          <w:divBdr>
            <w:top w:val="none" w:sz="0" w:space="0" w:color="auto"/>
            <w:left w:val="none" w:sz="0" w:space="0" w:color="auto"/>
            <w:bottom w:val="none" w:sz="0" w:space="0" w:color="auto"/>
            <w:right w:val="none" w:sz="0" w:space="0" w:color="auto"/>
          </w:divBdr>
        </w:div>
        <w:div w:id="1596283188">
          <w:marLeft w:val="1166"/>
          <w:marRight w:val="0"/>
          <w:marTop w:val="82"/>
          <w:marBottom w:val="0"/>
          <w:divBdr>
            <w:top w:val="none" w:sz="0" w:space="0" w:color="auto"/>
            <w:left w:val="none" w:sz="0" w:space="0" w:color="auto"/>
            <w:bottom w:val="none" w:sz="0" w:space="0" w:color="auto"/>
            <w:right w:val="none" w:sz="0" w:space="0" w:color="auto"/>
          </w:divBdr>
        </w:div>
        <w:div w:id="402871391">
          <w:marLeft w:val="1800"/>
          <w:marRight w:val="0"/>
          <w:marTop w:val="72"/>
          <w:marBottom w:val="0"/>
          <w:divBdr>
            <w:top w:val="none" w:sz="0" w:space="0" w:color="auto"/>
            <w:left w:val="none" w:sz="0" w:space="0" w:color="auto"/>
            <w:bottom w:val="none" w:sz="0" w:space="0" w:color="auto"/>
            <w:right w:val="none" w:sz="0" w:space="0" w:color="auto"/>
          </w:divBdr>
        </w:div>
        <w:div w:id="1955865255">
          <w:marLeft w:val="1800"/>
          <w:marRight w:val="0"/>
          <w:marTop w:val="72"/>
          <w:marBottom w:val="0"/>
          <w:divBdr>
            <w:top w:val="none" w:sz="0" w:space="0" w:color="auto"/>
            <w:left w:val="none" w:sz="0" w:space="0" w:color="auto"/>
            <w:bottom w:val="none" w:sz="0" w:space="0" w:color="auto"/>
            <w:right w:val="none" w:sz="0" w:space="0" w:color="auto"/>
          </w:divBdr>
        </w:div>
      </w:divsChild>
    </w:div>
    <w:div w:id="1866559977">
      <w:bodyDiv w:val="1"/>
      <w:marLeft w:val="0"/>
      <w:marRight w:val="0"/>
      <w:marTop w:val="0"/>
      <w:marBottom w:val="0"/>
      <w:divBdr>
        <w:top w:val="none" w:sz="0" w:space="0" w:color="auto"/>
        <w:left w:val="none" w:sz="0" w:space="0" w:color="auto"/>
        <w:bottom w:val="none" w:sz="0" w:space="0" w:color="auto"/>
        <w:right w:val="none" w:sz="0" w:space="0" w:color="auto"/>
      </w:divBdr>
    </w:div>
    <w:div w:id="1873150297">
      <w:bodyDiv w:val="1"/>
      <w:marLeft w:val="0"/>
      <w:marRight w:val="0"/>
      <w:marTop w:val="0"/>
      <w:marBottom w:val="0"/>
      <w:divBdr>
        <w:top w:val="none" w:sz="0" w:space="0" w:color="auto"/>
        <w:left w:val="none" w:sz="0" w:space="0" w:color="auto"/>
        <w:bottom w:val="none" w:sz="0" w:space="0" w:color="auto"/>
        <w:right w:val="none" w:sz="0" w:space="0" w:color="auto"/>
      </w:divBdr>
    </w:div>
    <w:div w:id="1892418059">
      <w:bodyDiv w:val="1"/>
      <w:marLeft w:val="0"/>
      <w:marRight w:val="0"/>
      <w:marTop w:val="0"/>
      <w:marBottom w:val="0"/>
      <w:divBdr>
        <w:top w:val="none" w:sz="0" w:space="0" w:color="auto"/>
        <w:left w:val="none" w:sz="0" w:space="0" w:color="auto"/>
        <w:bottom w:val="none" w:sz="0" w:space="0" w:color="auto"/>
        <w:right w:val="none" w:sz="0" w:space="0" w:color="auto"/>
      </w:divBdr>
      <w:divsChild>
        <w:div w:id="389572661">
          <w:marLeft w:val="1166"/>
          <w:marRight w:val="0"/>
          <w:marTop w:val="77"/>
          <w:marBottom w:val="0"/>
          <w:divBdr>
            <w:top w:val="none" w:sz="0" w:space="0" w:color="auto"/>
            <w:left w:val="none" w:sz="0" w:space="0" w:color="auto"/>
            <w:bottom w:val="none" w:sz="0" w:space="0" w:color="auto"/>
            <w:right w:val="none" w:sz="0" w:space="0" w:color="auto"/>
          </w:divBdr>
        </w:div>
      </w:divsChild>
    </w:div>
    <w:div w:id="1946229477">
      <w:bodyDiv w:val="1"/>
      <w:marLeft w:val="0"/>
      <w:marRight w:val="0"/>
      <w:marTop w:val="0"/>
      <w:marBottom w:val="0"/>
      <w:divBdr>
        <w:top w:val="none" w:sz="0" w:space="0" w:color="auto"/>
        <w:left w:val="none" w:sz="0" w:space="0" w:color="auto"/>
        <w:bottom w:val="none" w:sz="0" w:space="0" w:color="auto"/>
        <w:right w:val="none" w:sz="0" w:space="0" w:color="auto"/>
      </w:divBdr>
    </w:div>
    <w:div w:id="1952278677">
      <w:bodyDiv w:val="1"/>
      <w:marLeft w:val="0"/>
      <w:marRight w:val="0"/>
      <w:marTop w:val="0"/>
      <w:marBottom w:val="0"/>
      <w:divBdr>
        <w:top w:val="none" w:sz="0" w:space="0" w:color="auto"/>
        <w:left w:val="none" w:sz="0" w:space="0" w:color="auto"/>
        <w:bottom w:val="none" w:sz="0" w:space="0" w:color="auto"/>
        <w:right w:val="none" w:sz="0" w:space="0" w:color="auto"/>
      </w:divBdr>
    </w:div>
    <w:div w:id="1959215570">
      <w:bodyDiv w:val="1"/>
      <w:marLeft w:val="0"/>
      <w:marRight w:val="0"/>
      <w:marTop w:val="0"/>
      <w:marBottom w:val="0"/>
      <w:divBdr>
        <w:top w:val="none" w:sz="0" w:space="0" w:color="auto"/>
        <w:left w:val="none" w:sz="0" w:space="0" w:color="auto"/>
        <w:bottom w:val="none" w:sz="0" w:space="0" w:color="auto"/>
        <w:right w:val="none" w:sz="0" w:space="0" w:color="auto"/>
      </w:divBdr>
    </w:div>
    <w:div w:id="1959412991">
      <w:bodyDiv w:val="1"/>
      <w:marLeft w:val="0"/>
      <w:marRight w:val="0"/>
      <w:marTop w:val="0"/>
      <w:marBottom w:val="0"/>
      <w:divBdr>
        <w:top w:val="none" w:sz="0" w:space="0" w:color="auto"/>
        <w:left w:val="none" w:sz="0" w:space="0" w:color="auto"/>
        <w:bottom w:val="none" w:sz="0" w:space="0" w:color="auto"/>
        <w:right w:val="none" w:sz="0" w:space="0" w:color="auto"/>
      </w:divBdr>
    </w:div>
    <w:div w:id="1968048734">
      <w:bodyDiv w:val="1"/>
      <w:marLeft w:val="0"/>
      <w:marRight w:val="0"/>
      <w:marTop w:val="0"/>
      <w:marBottom w:val="0"/>
      <w:divBdr>
        <w:top w:val="none" w:sz="0" w:space="0" w:color="auto"/>
        <w:left w:val="none" w:sz="0" w:space="0" w:color="auto"/>
        <w:bottom w:val="none" w:sz="0" w:space="0" w:color="auto"/>
        <w:right w:val="none" w:sz="0" w:space="0" w:color="auto"/>
      </w:divBdr>
    </w:div>
    <w:div w:id="1968655793">
      <w:bodyDiv w:val="1"/>
      <w:marLeft w:val="0"/>
      <w:marRight w:val="0"/>
      <w:marTop w:val="0"/>
      <w:marBottom w:val="0"/>
      <w:divBdr>
        <w:top w:val="none" w:sz="0" w:space="0" w:color="auto"/>
        <w:left w:val="none" w:sz="0" w:space="0" w:color="auto"/>
        <w:bottom w:val="none" w:sz="0" w:space="0" w:color="auto"/>
        <w:right w:val="none" w:sz="0" w:space="0" w:color="auto"/>
      </w:divBdr>
    </w:div>
    <w:div w:id="1969161226">
      <w:bodyDiv w:val="1"/>
      <w:marLeft w:val="0"/>
      <w:marRight w:val="0"/>
      <w:marTop w:val="0"/>
      <w:marBottom w:val="0"/>
      <w:divBdr>
        <w:top w:val="none" w:sz="0" w:space="0" w:color="auto"/>
        <w:left w:val="none" w:sz="0" w:space="0" w:color="auto"/>
        <w:bottom w:val="none" w:sz="0" w:space="0" w:color="auto"/>
        <w:right w:val="none" w:sz="0" w:space="0" w:color="auto"/>
      </w:divBdr>
    </w:div>
    <w:div w:id="1970474764">
      <w:bodyDiv w:val="1"/>
      <w:marLeft w:val="0"/>
      <w:marRight w:val="0"/>
      <w:marTop w:val="0"/>
      <w:marBottom w:val="0"/>
      <w:divBdr>
        <w:top w:val="none" w:sz="0" w:space="0" w:color="auto"/>
        <w:left w:val="none" w:sz="0" w:space="0" w:color="auto"/>
        <w:bottom w:val="none" w:sz="0" w:space="0" w:color="auto"/>
        <w:right w:val="none" w:sz="0" w:space="0" w:color="auto"/>
      </w:divBdr>
    </w:div>
    <w:div w:id="1978297926">
      <w:bodyDiv w:val="1"/>
      <w:marLeft w:val="0"/>
      <w:marRight w:val="0"/>
      <w:marTop w:val="0"/>
      <w:marBottom w:val="0"/>
      <w:divBdr>
        <w:top w:val="none" w:sz="0" w:space="0" w:color="auto"/>
        <w:left w:val="none" w:sz="0" w:space="0" w:color="auto"/>
        <w:bottom w:val="none" w:sz="0" w:space="0" w:color="auto"/>
        <w:right w:val="none" w:sz="0" w:space="0" w:color="auto"/>
      </w:divBdr>
      <w:divsChild>
        <w:div w:id="334891155">
          <w:marLeft w:val="446"/>
          <w:marRight w:val="0"/>
          <w:marTop w:val="62"/>
          <w:marBottom w:val="0"/>
          <w:divBdr>
            <w:top w:val="none" w:sz="0" w:space="0" w:color="auto"/>
            <w:left w:val="none" w:sz="0" w:space="0" w:color="auto"/>
            <w:bottom w:val="none" w:sz="0" w:space="0" w:color="auto"/>
            <w:right w:val="none" w:sz="0" w:space="0" w:color="auto"/>
          </w:divBdr>
        </w:div>
      </w:divsChild>
    </w:div>
    <w:div w:id="2015641183">
      <w:bodyDiv w:val="1"/>
      <w:marLeft w:val="0"/>
      <w:marRight w:val="0"/>
      <w:marTop w:val="0"/>
      <w:marBottom w:val="0"/>
      <w:divBdr>
        <w:top w:val="none" w:sz="0" w:space="0" w:color="auto"/>
        <w:left w:val="none" w:sz="0" w:space="0" w:color="auto"/>
        <w:bottom w:val="none" w:sz="0" w:space="0" w:color="auto"/>
        <w:right w:val="none" w:sz="0" w:space="0" w:color="auto"/>
      </w:divBdr>
    </w:div>
    <w:div w:id="2026863242">
      <w:bodyDiv w:val="1"/>
      <w:marLeft w:val="0"/>
      <w:marRight w:val="0"/>
      <w:marTop w:val="0"/>
      <w:marBottom w:val="0"/>
      <w:divBdr>
        <w:top w:val="none" w:sz="0" w:space="0" w:color="auto"/>
        <w:left w:val="none" w:sz="0" w:space="0" w:color="auto"/>
        <w:bottom w:val="none" w:sz="0" w:space="0" w:color="auto"/>
        <w:right w:val="none" w:sz="0" w:space="0" w:color="auto"/>
      </w:divBdr>
    </w:div>
    <w:div w:id="2046059497">
      <w:bodyDiv w:val="1"/>
      <w:marLeft w:val="0"/>
      <w:marRight w:val="0"/>
      <w:marTop w:val="0"/>
      <w:marBottom w:val="0"/>
      <w:divBdr>
        <w:top w:val="none" w:sz="0" w:space="0" w:color="auto"/>
        <w:left w:val="none" w:sz="0" w:space="0" w:color="auto"/>
        <w:bottom w:val="none" w:sz="0" w:space="0" w:color="auto"/>
        <w:right w:val="none" w:sz="0" w:space="0" w:color="auto"/>
      </w:divBdr>
    </w:div>
    <w:div w:id="2046099702">
      <w:bodyDiv w:val="1"/>
      <w:marLeft w:val="0"/>
      <w:marRight w:val="0"/>
      <w:marTop w:val="0"/>
      <w:marBottom w:val="0"/>
      <w:divBdr>
        <w:top w:val="none" w:sz="0" w:space="0" w:color="auto"/>
        <w:left w:val="none" w:sz="0" w:space="0" w:color="auto"/>
        <w:bottom w:val="none" w:sz="0" w:space="0" w:color="auto"/>
        <w:right w:val="none" w:sz="0" w:space="0" w:color="auto"/>
      </w:divBdr>
    </w:div>
    <w:div w:id="2084064526">
      <w:bodyDiv w:val="1"/>
      <w:marLeft w:val="0"/>
      <w:marRight w:val="0"/>
      <w:marTop w:val="0"/>
      <w:marBottom w:val="0"/>
      <w:divBdr>
        <w:top w:val="none" w:sz="0" w:space="0" w:color="auto"/>
        <w:left w:val="none" w:sz="0" w:space="0" w:color="auto"/>
        <w:bottom w:val="none" w:sz="0" w:space="0" w:color="auto"/>
        <w:right w:val="none" w:sz="0" w:space="0" w:color="auto"/>
      </w:divBdr>
      <w:divsChild>
        <w:div w:id="1758018254">
          <w:marLeft w:val="1166"/>
          <w:marRight w:val="0"/>
          <w:marTop w:val="72"/>
          <w:marBottom w:val="0"/>
          <w:divBdr>
            <w:top w:val="none" w:sz="0" w:space="0" w:color="auto"/>
            <w:left w:val="none" w:sz="0" w:space="0" w:color="auto"/>
            <w:bottom w:val="none" w:sz="0" w:space="0" w:color="auto"/>
            <w:right w:val="none" w:sz="0" w:space="0" w:color="auto"/>
          </w:divBdr>
        </w:div>
      </w:divsChild>
    </w:div>
    <w:div w:id="2106610950">
      <w:bodyDiv w:val="1"/>
      <w:marLeft w:val="0"/>
      <w:marRight w:val="0"/>
      <w:marTop w:val="0"/>
      <w:marBottom w:val="0"/>
      <w:divBdr>
        <w:top w:val="none" w:sz="0" w:space="0" w:color="auto"/>
        <w:left w:val="none" w:sz="0" w:space="0" w:color="auto"/>
        <w:bottom w:val="none" w:sz="0" w:space="0" w:color="auto"/>
        <w:right w:val="none" w:sz="0" w:space="0" w:color="auto"/>
      </w:divBdr>
    </w:div>
    <w:div w:id="2121794971">
      <w:bodyDiv w:val="1"/>
      <w:marLeft w:val="0"/>
      <w:marRight w:val="0"/>
      <w:marTop w:val="0"/>
      <w:marBottom w:val="0"/>
      <w:divBdr>
        <w:top w:val="none" w:sz="0" w:space="0" w:color="auto"/>
        <w:left w:val="none" w:sz="0" w:space="0" w:color="auto"/>
        <w:bottom w:val="none" w:sz="0" w:space="0" w:color="auto"/>
        <w:right w:val="none" w:sz="0" w:space="0" w:color="auto"/>
      </w:divBdr>
    </w:div>
    <w:div w:id="2128498380">
      <w:bodyDiv w:val="1"/>
      <w:marLeft w:val="0"/>
      <w:marRight w:val="0"/>
      <w:marTop w:val="0"/>
      <w:marBottom w:val="0"/>
      <w:divBdr>
        <w:top w:val="none" w:sz="0" w:space="0" w:color="auto"/>
        <w:left w:val="none" w:sz="0" w:space="0" w:color="auto"/>
        <w:bottom w:val="none" w:sz="0" w:space="0" w:color="auto"/>
        <w:right w:val="none" w:sz="0" w:space="0" w:color="auto"/>
      </w:divBdr>
      <w:divsChild>
        <w:div w:id="1531839805">
          <w:marLeft w:val="1166"/>
          <w:marRight w:val="0"/>
          <w:marTop w:val="106"/>
          <w:marBottom w:val="0"/>
          <w:divBdr>
            <w:top w:val="none" w:sz="0" w:space="0" w:color="auto"/>
            <w:left w:val="none" w:sz="0" w:space="0" w:color="auto"/>
            <w:bottom w:val="none" w:sz="0" w:space="0" w:color="auto"/>
            <w:right w:val="none" w:sz="0" w:space="0" w:color="auto"/>
          </w:divBdr>
        </w:div>
        <w:div w:id="886338315">
          <w:marLeft w:val="1800"/>
          <w:marRight w:val="0"/>
          <w:marTop w:val="91"/>
          <w:marBottom w:val="0"/>
          <w:divBdr>
            <w:top w:val="none" w:sz="0" w:space="0" w:color="auto"/>
            <w:left w:val="none" w:sz="0" w:space="0" w:color="auto"/>
            <w:bottom w:val="none" w:sz="0" w:space="0" w:color="auto"/>
            <w:right w:val="none" w:sz="0" w:space="0" w:color="auto"/>
          </w:divBdr>
        </w:div>
        <w:div w:id="62145014">
          <w:marLeft w:val="2520"/>
          <w:marRight w:val="0"/>
          <w:marTop w:val="77"/>
          <w:marBottom w:val="0"/>
          <w:divBdr>
            <w:top w:val="none" w:sz="0" w:space="0" w:color="auto"/>
            <w:left w:val="none" w:sz="0" w:space="0" w:color="auto"/>
            <w:bottom w:val="none" w:sz="0" w:space="0" w:color="auto"/>
            <w:right w:val="none" w:sz="0" w:space="0" w:color="auto"/>
          </w:divBdr>
        </w:div>
        <w:div w:id="1812400078">
          <w:marLeft w:val="2520"/>
          <w:marRight w:val="0"/>
          <w:marTop w:val="77"/>
          <w:marBottom w:val="0"/>
          <w:divBdr>
            <w:top w:val="none" w:sz="0" w:space="0" w:color="auto"/>
            <w:left w:val="none" w:sz="0" w:space="0" w:color="auto"/>
            <w:bottom w:val="none" w:sz="0" w:space="0" w:color="auto"/>
            <w:right w:val="none" w:sz="0" w:space="0" w:color="auto"/>
          </w:divBdr>
        </w:div>
        <w:div w:id="109208418">
          <w:marLeft w:val="2520"/>
          <w:marRight w:val="0"/>
          <w:marTop w:val="77"/>
          <w:marBottom w:val="0"/>
          <w:divBdr>
            <w:top w:val="none" w:sz="0" w:space="0" w:color="auto"/>
            <w:left w:val="none" w:sz="0" w:space="0" w:color="auto"/>
            <w:bottom w:val="none" w:sz="0" w:space="0" w:color="auto"/>
            <w:right w:val="none" w:sz="0" w:space="0" w:color="auto"/>
          </w:divBdr>
        </w:div>
        <w:div w:id="1834881269">
          <w:marLeft w:val="2520"/>
          <w:marRight w:val="0"/>
          <w:marTop w:val="77"/>
          <w:marBottom w:val="0"/>
          <w:divBdr>
            <w:top w:val="none" w:sz="0" w:space="0" w:color="auto"/>
            <w:left w:val="none" w:sz="0" w:space="0" w:color="auto"/>
            <w:bottom w:val="none" w:sz="0" w:space="0" w:color="auto"/>
            <w:right w:val="none" w:sz="0" w:space="0" w:color="auto"/>
          </w:divBdr>
        </w:div>
        <w:div w:id="685181230">
          <w:marLeft w:val="1800"/>
          <w:marRight w:val="0"/>
          <w:marTop w:val="91"/>
          <w:marBottom w:val="0"/>
          <w:divBdr>
            <w:top w:val="none" w:sz="0" w:space="0" w:color="auto"/>
            <w:left w:val="none" w:sz="0" w:space="0" w:color="auto"/>
            <w:bottom w:val="none" w:sz="0" w:space="0" w:color="auto"/>
            <w:right w:val="none" w:sz="0" w:space="0" w:color="auto"/>
          </w:divBdr>
        </w:div>
        <w:div w:id="969626415">
          <w:marLeft w:val="2520"/>
          <w:marRight w:val="0"/>
          <w:marTop w:val="77"/>
          <w:marBottom w:val="0"/>
          <w:divBdr>
            <w:top w:val="none" w:sz="0" w:space="0" w:color="auto"/>
            <w:left w:val="none" w:sz="0" w:space="0" w:color="auto"/>
            <w:bottom w:val="none" w:sz="0" w:space="0" w:color="auto"/>
            <w:right w:val="none" w:sz="0" w:space="0" w:color="auto"/>
          </w:divBdr>
        </w:div>
        <w:div w:id="920678924">
          <w:marLeft w:val="1166"/>
          <w:marRight w:val="0"/>
          <w:marTop w:val="106"/>
          <w:marBottom w:val="0"/>
          <w:divBdr>
            <w:top w:val="none" w:sz="0" w:space="0" w:color="auto"/>
            <w:left w:val="none" w:sz="0" w:space="0" w:color="auto"/>
            <w:bottom w:val="none" w:sz="0" w:space="0" w:color="auto"/>
            <w:right w:val="none" w:sz="0" w:space="0" w:color="auto"/>
          </w:divBdr>
        </w:div>
        <w:div w:id="857502087">
          <w:marLeft w:val="2520"/>
          <w:marRight w:val="0"/>
          <w:marTop w:val="77"/>
          <w:marBottom w:val="0"/>
          <w:divBdr>
            <w:top w:val="none" w:sz="0" w:space="0" w:color="auto"/>
            <w:left w:val="none" w:sz="0" w:space="0" w:color="auto"/>
            <w:bottom w:val="none" w:sz="0" w:space="0" w:color="auto"/>
            <w:right w:val="none" w:sz="0" w:space="0" w:color="auto"/>
          </w:divBdr>
        </w:div>
      </w:divsChild>
    </w:div>
    <w:div w:id="2139640320">
      <w:bodyDiv w:val="1"/>
      <w:marLeft w:val="0"/>
      <w:marRight w:val="0"/>
      <w:marTop w:val="0"/>
      <w:marBottom w:val="0"/>
      <w:divBdr>
        <w:top w:val="none" w:sz="0" w:space="0" w:color="auto"/>
        <w:left w:val="none" w:sz="0" w:space="0" w:color="auto"/>
        <w:bottom w:val="none" w:sz="0" w:space="0" w:color="auto"/>
        <w:right w:val="none" w:sz="0" w:space="0" w:color="auto"/>
      </w:divBdr>
    </w:div>
    <w:div w:id="2144888348">
      <w:bodyDiv w:val="1"/>
      <w:marLeft w:val="0"/>
      <w:marRight w:val="0"/>
      <w:marTop w:val="0"/>
      <w:marBottom w:val="0"/>
      <w:divBdr>
        <w:top w:val="none" w:sz="0" w:space="0" w:color="auto"/>
        <w:left w:val="none" w:sz="0" w:space="0" w:color="auto"/>
        <w:bottom w:val="none" w:sz="0" w:space="0" w:color="auto"/>
        <w:right w:val="none" w:sz="0" w:space="0" w:color="auto"/>
      </w:divBdr>
      <w:divsChild>
        <w:div w:id="1778677199">
          <w:marLeft w:val="547"/>
          <w:marRight w:val="0"/>
          <w:marTop w:val="96"/>
          <w:marBottom w:val="0"/>
          <w:divBdr>
            <w:top w:val="none" w:sz="0" w:space="0" w:color="auto"/>
            <w:left w:val="none" w:sz="0" w:space="0" w:color="auto"/>
            <w:bottom w:val="none" w:sz="0" w:space="0" w:color="auto"/>
            <w:right w:val="none" w:sz="0" w:space="0" w:color="auto"/>
          </w:divBdr>
        </w:div>
        <w:div w:id="1256547928">
          <w:marLeft w:val="547"/>
          <w:marRight w:val="0"/>
          <w:marTop w:val="96"/>
          <w:marBottom w:val="0"/>
          <w:divBdr>
            <w:top w:val="none" w:sz="0" w:space="0" w:color="auto"/>
            <w:left w:val="none" w:sz="0" w:space="0" w:color="auto"/>
            <w:bottom w:val="none" w:sz="0" w:space="0" w:color="auto"/>
            <w:right w:val="none" w:sz="0" w:space="0" w:color="auto"/>
          </w:divBdr>
        </w:div>
        <w:div w:id="378171877">
          <w:marLeft w:val="1166"/>
          <w:marRight w:val="0"/>
          <w:marTop w:val="86"/>
          <w:marBottom w:val="0"/>
          <w:divBdr>
            <w:top w:val="none" w:sz="0" w:space="0" w:color="auto"/>
            <w:left w:val="none" w:sz="0" w:space="0" w:color="auto"/>
            <w:bottom w:val="none" w:sz="0" w:space="0" w:color="auto"/>
            <w:right w:val="none" w:sz="0" w:space="0" w:color="auto"/>
          </w:divBdr>
        </w:div>
        <w:div w:id="49503025">
          <w:marLeft w:val="1166"/>
          <w:marRight w:val="0"/>
          <w:marTop w:val="86"/>
          <w:marBottom w:val="0"/>
          <w:divBdr>
            <w:top w:val="none" w:sz="0" w:space="0" w:color="auto"/>
            <w:left w:val="none" w:sz="0" w:space="0" w:color="auto"/>
            <w:bottom w:val="none" w:sz="0" w:space="0" w:color="auto"/>
            <w:right w:val="none" w:sz="0" w:space="0" w:color="auto"/>
          </w:divBdr>
        </w:div>
        <w:div w:id="199320850">
          <w:marLeft w:val="1166"/>
          <w:marRight w:val="0"/>
          <w:marTop w:val="8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png"/><Relationship Id="rId21" Type="http://schemas.openxmlformats.org/officeDocument/2006/relationships/hyperlink" Target="https://www.nyiso.com/documents/20142/20255668/03%202020-2021RPP_PostRNABaseCaseUpdates_Dynamics.pdf" TargetMode="External"/><Relationship Id="rId42" Type="http://schemas.openxmlformats.org/officeDocument/2006/relationships/image" Target="media/image20.png"/><Relationship Id="rId63" Type="http://schemas.openxmlformats.org/officeDocument/2006/relationships/image" Target="media/image32.emf"/><Relationship Id="rId84" Type="http://schemas.openxmlformats.org/officeDocument/2006/relationships/package" Target="embeddings/Microsoft_Visio_Drawing5.vsdx"/><Relationship Id="rId138" Type="http://schemas.openxmlformats.org/officeDocument/2006/relationships/chart" Target="charts/chart5.xml"/><Relationship Id="rId159" Type="http://schemas.openxmlformats.org/officeDocument/2006/relationships/image" Target="media/image101.png"/><Relationship Id="rId170" Type="http://schemas.openxmlformats.org/officeDocument/2006/relationships/image" Target="media/image110.emf"/><Relationship Id="rId107" Type="http://schemas.openxmlformats.org/officeDocument/2006/relationships/image" Target="media/image54.emf"/><Relationship Id="rId11" Type="http://schemas.openxmlformats.org/officeDocument/2006/relationships/image" Target="media/image1.png"/><Relationship Id="rId32" Type="http://schemas.openxmlformats.org/officeDocument/2006/relationships/image" Target="media/image13.jpeg"/><Relationship Id="rId53" Type="http://schemas.openxmlformats.org/officeDocument/2006/relationships/chart" Target="charts/chart1.xml"/><Relationship Id="rId74" Type="http://schemas.openxmlformats.org/officeDocument/2006/relationships/package" Target="embeddings/Microsoft_Visio_Drawing.vsdx"/><Relationship Id="rId128" Type="http://schemas.openxmlformats.org/officeDocument/2006/relationships/image" Target="media/image73.png"/><Relationship Id="rId149" Type="http://schemas.openxmlformats.org/officeDocument/2006/relationships/image" Target="media/image91.png"/><Relationship Id="rId5" Type="http://schemas.openxmlformats.org/officeDocument/2006/relationships/numbering" Target="numbering.xml"/><Relationship Id="rId95" Type="http://schemas.openxmlformats.org/officeDocument/2006/relationships/hyperlink" Target="https://www.nyiso.com/documents/20142/11883362/LFU_Summary.pdf" TargetMode="External"/><Relationship Id="rId160" Type="http://schemas.openxmlformats.org/officeDocument/2006/relationships/image" Target="media/image102.png"/><Relationship Id="rId181" Type="http://schemas.openxmlformats.org/officeDocument/2006/relationships/hyperlink" Target="https://www.npcc.org/library/resource-adequacy" TargetMode="External"/><Relationship Id="rId22" Type="http://schemas.openxmlformats.org/officeDocument/2006/relationships/image" Target="media/image3.png"/><Relationship Id="rId43" Type="http://schemas.openxmlformats.org/officeDocument/2006/relationships/hyperlink" Target="https://www.nyiso.com/documents/20142/16884550/NYISO-Climate-Impact-Study-Phase-2-Report.pdf" TargetMode="External"/><Relationship Id="rId64" Type="http://schemas.openxmlformats.org/officeDocument/2006/relationships/image" Target="media/image33.emf"/><Relationship Id="rId118" Type="http://schemas.openxmlformats.org/officeDocument/2006/relationships/image" Target="media/image65.png"/><Relationship Id="rId139" Type="http://schemas.openxmlformats.org/officeDocument/2006/relationships/chart" Target="charts/chart6.xml"/><Relationship Id="rId85" Type="http://schemas.openxmlformats.org/officeDocument/2006/relationships/image" Target="media/image48.emf"/><Relationship Id="rId150" Type="http://schemas.openxmlformats.org/officeDocument/2006/relationships/image" Target="media/image92.png"/><Relationship Id="rId171" Type="http://schemas.openxmlformats.org/officeDocument/2006/relationships/image" Target="media/image111.png"/><Relationship Id="rId12" Type="http://schemas.openxmlformats.org/officeDocument/2006/relationships/header" Target="header1.xml"/><Relationship Id="rId33" Type="http://schemas.openxmlformats.org/officeDocument/2006/relationships/hyperlink" Target="https://www.nyiso.com/documents/20142/2223020/2019-Power-Trends-Report.pdf" TargetMode="External"/><Relationship Id="rId108" Type="http://schemas.openxmlformats.org/officeDocument/2006/relationships/image" Target="media/image55.emf"/><Relationship Id="rId129" Type="http://schemas.openxmlformats.org/officeDocument/2006/relationships/image" Target="media/image74.png"/><Relationship Id="rId54" Type="http://schemas.openxmlformats.org/officeDocument/2006/relationships/chart" Target="charts/chart2.xml"/><Relationship Id="rId75" Type="http://schemas.openxmlformats.org/officeDocument/2006/relationships/image" Target="media/image43.emf"/><Relationship Id="rId96" Type="http://schemas.openxmlformats.org/officeDocument/2006/relationships/hyperlink" Target="https://www.nyiso.com/documents/20142/11718122/12d_2020RNA_MARS-BtMSolar-Apr6TPAS-ESPWG.pdf" TargetMode="External"/><Relationship Id="rId140" Type="http://schemas.openxmlformats.org/officeDocument/2006/relationships/image" Target="media/image82.emf"/><Relationship Id="rId161" Type="http://schemas.openxmlformats.org/officeDocument/2006/relationships/image" Target="cid:image006.png@01D7789B.48E91DA0" TargetMode="External"/><Relationship Id="rId182" Type="http://schemas.openxmlformats.org/officeDocument/2006/relationships/fontTable" Target="fontTable.xml"/><Relationship Id="rId6" Type="http://schemas.openxmlformats.org/officeDocument/2006/relationships/styles" Target="styles.xml"/><Relationship Id="rId23" Type="http://schemas.openxmlformats.org/officeDocument/2006/relationships/image" Target="media/image4.png"/><Relationship Id="rId119" Type="http://schemas.openxmlformats.org/officeDocument/2006/relationships/image" Target="media/image66.emf"/><Relationship Id="rId44" Type="http://schemas.openxmlformats.org/officeDocument/2006/relationships/hyperlink" Target="https://www.nyiso.com/documents/20142/2224547/Grid-in-Transition-Executive-Summary.pdf" TargetMode="External"/><Relationship Id="rId60" Type="http://schemas.openxmlformats.org/officeDocument/2006/relationships/image" Target="media/image29.emf"/><Relationship Id="rId65" Type="http://schemas.openxmlformats.org/officeDocument/2006/relationships/image" Target="media/image34.emf"/><Relationship Id="rId81" Type="http://schemas.openxmlformats.org/officeDocument/2006/relationships/image" Target="media/image46.emf"/><Relationship Id="rId86" Type="http://schemas.openxmlformats.org/officeDocument/2006/relationships/package" Target="embeddings/Microsoft_Visio_Drawing6.vsdx"/><Relationship Id="rId130" Type="http://schemas.openxmlformats.org/officeDocument/2006/relationships/image" Target="media/image75.png"/><Relationship Id="rId135" Type="http://schemas.openxmlformats.org/officeDocument/2006/relationships/image" Target="media/image80.emf"/><Relationship Id="rId151" Type="http://schemas.openxmlformats.org/officeDocument/2006/relationships/image" Target="media/image93.png"/><Relationship Id="rId156" Type="http://schemas.openxmlformats.org/officeDocument/2006/relationships/image" Target="media/image98.emf"/><Relationship Id="rId177" Type="http://schemas.openxmlformats.org/officeDocument/2006/relationships/hyperlink" Target="https://www.npcc.org/Standards/Directories/Forms/Public%20List.aspx" TargetMode="External"/><Relationship Id="rId172" Type="http://schemas.openxmlformats.org/officeDocument/2006/relationships/image" Target="media/image112.png"/><Relationship Id="rId13" Type="http://schemas.openxmlformats.org/officeDocument/2006/relationships/footer" Target="footer1.xml"/><Relationship Id="rId18" Type="http://schemas.openxmlformats.org/officeDocument/2006/relationships/hyperlink" Target="https://www.nyiso.com/documents/20142/17044621/LT-Forecast-Update.pdf" TargetMode="External"/><Relationship Id="rId39" Type="http://schemas.openxmlformats.org/officeDocument/2006/relationships/image" Target="media/image17.jpeg"/><Relationship Id="rId109" Type="http://schemas.openxmlformats.org/officeDocument/2006/relationships/image" Target="media/image56.png"/><Relationship Id="rId34" Type="http://schemas.openxmlformats.org/officeDocument/2006/relationships/image" Target="media/image14.png"/><Relationship Id="rId50" Type="http://schemas.openxmlformats.org/officeDocument/2006/relationships/hyperlink" Target="https://www.nyiso.com/documents/20142/19159155/2020%20Quarter%203%20Short%20Term%20Reliability%20Process%20Report.pdf" TargetMode="External"/><Relationship Id="rId55" Type="http://schemas.openxmlformats.org/officeDocument/2006/relationships/chart" Target="charts/chart3.xml"/><Relationship Id="rId76" Type="http://schemas.openxmlformats.org/officeDocument/2006/relationships/package" Target="embeddings/Microsoft_Visio_Drawing1.vsdx"/><Relationship Id="rId97" Type="http://schemas.openxmlformats.org/officeDocument/2006/relationships/hyperlink" Target="https://www.nyiso.com/documents/20142/11350020/06%202020RNA_MARS-BaseCasePrelimTopologyChanges.pdf" TargetMode="External"/><Relationship Id="rId104" Type="http://schemas.openxmlformats.org/officeDocument/2006/relationships/hyperlink" Target="https://www.nyiso.com/documents/20142/11350020/07%202020RNA_MARS-ExternalAreasSimplification.pdf" TargetMode="External"/><Relationship Id="rId120" Type="http://schemas.openxmlformats.org/officeDocument/2006/relationships/image" Target="media/image67.emf"/><Relationship Id="rId125" Type="http://schemas.openxmlformats.org/officeDocument/2006/relationships/image" Target="media/image71.emf"/><Relationship Id="rId141" Type="http://schemas.openxmlformats.org/officeDocument/2006/relationships/image" Target="media/image83.emf"/><Relationship Id="rId146" Type="http://schemas.openxmlformats.org/officeDocument/2006/relationships/image" Target="media/image88.png"/><Relationship Id="rId167" Type="http://schemas.openxmlformats.org/officeDocument/2006/relationships/image" Target="media/image107.png"/><Relationship Id="rId7" Type="http://schemas.openxmlformats.org/officeDocument/2006/relationships/settings" Target="settings.xml"/><Relationship Id="rId71" Type="http://schemas.openxmlformats.org/officeDocument/2006/relationships/image" Target="media/image40.emf"/><Relationship Id="rId92" Type="http://schemas.openxmlformats.org/officeDocument/2006/relationships/image" Target="media/image52.png"/><Relationship Id="rId162" Type="http://schemas.openxmlformats.org/officeDocument/2006/relationships/image" Target="media/image103.emf"/><Relationship Id="rId18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0.emf"/><Relationship Id="rId24" Type="http://schemas.openxmlformats.org/officeDocument/2006/relationships/image" Target="media/image5.emf"/><Relationship Id="rId40" Type="http://schemas.openxmlformats.org/officeDocument/2006/relationships/image" Target="media/image18.emf"/><Relationship Id="rId45" Type="http://schemas.openxmlformats.org/officeDocument/2006/relationships/image" Target="media/image21.emf"/><Relationship Id="rId66" Type="http://schemas.openxmlformats.org/officeDocument/2006/relationships/image" Target="media/image35.emf"/><Relationship Id="rId87" Type="http://schemas.openxmlformats.org/officeDocument/2006/relationships/image" Target="media/image49.emf"/><Relationship Id="rId110" Type="http://schemas.openxmlformats.org/officeDocument/2006/relationships/image" Target="media/image57.emf"/><Relationship Id="rId115" Type="http://schemas.openxmlformats.org/officeDocument/2006/relationships/image" Target="media/image62.emf"/><Relationship Id="rId131" Type="http://schemas.openxmlformats.org/officeDocument/2006/relationships/image" Target="media/image76.emf"/><Relationship Id="rId136" Type="http://schemas.openxmlformats.org/officeDocument/2006/relationships/image" Target="media/image81.emf"/><Relationship Id="rId157" Type="http://schemas.openxmlformats.org/officeDocument/2006/relationships/image" Target="media/image99.png"/><Relationship Id="rId178" Type="http://schemas.openxmlformats.org/officeDocument/2006/relationships/hyperlink" Target="https://www.nyiso.com/planning-reliability-compliance" TargetMode="External"/><Relationship Id="rId61" Type="http://schemas.openxmlformats.org/officeDocument/2006/relationships/image" Target="media/image30.emf"/><Relationship Id="rId82" Type="http://schemas.openxmlformats.org/officeDocument/2006/relationships/package" Target="embeddings/Microsoft_Visio_Drawing4.vsdx"/><Relationship Id="rId152" Type="http://schemas.openxmlformats.org/officeDocument/2006/relationships/image" Target="media/image94.png"/><Relationship Id="rId173" Type="http://schemas.openxmlformats.org/officeDocument/2006/relationships/hyperlink" Target="https://www.nyiso.com/documents/20142/2924447/rpp_mnl.pdf" TargetMode="External"/><Relationship Id="rId19" Type="http://schemas.openxmlformats.org/officeDocument/2006/relationships/hyperlink" Target="https://www.nyiso.com/documents/20142/18681129/2019_LTP_Coned.pdf" TargetMode="External"/><Relationship Id="rId14" Type="http://schemas.openxmlformats.org/officeDocument/2006/relationships/footer" Target="footer2.xml"/><Relationship Id="rId30" Type="http://schemas.openxmlformats.org/officeDocument/2006/relationships/image" Target="media/image11.png"/><Relationship Id="rId35" Type="http://schemas.openxmlformats.org/officeDocument/2006/relationships/image" Target="media/image15.jpg"/><Relationship Id="rId56" Type="http://schemas.openxmlformats.org/officeDocument/2006/relationships/image" Target="media/image25.emf"/><Relationship Id="rId77" Type="http://schemas.openxmlformats.org/officeDocument/2006/relationships/image" Target="media/image44.emf"/><Relationship Id="rId100" Type="http://schemas.openxmlformats.org/officeDocument/2006/relationships/hyperlink" Target="https://www.nyiso.com/documents/20142/11718122/12c_2020RNA_PreliminaryMARSTopoUpdates-Apr6TPAS-ESPWG.pdf" TargetMode="External"/><Relationship Id="rId105" Type="http://schemas.openxmlformats.org/officeDocument/2006/relationships/hyperlink" Target="https://www.nyiso.com/documents/20142/11350020/07%202020RNA_MARS-ExternalAreasSimplification.pdf" TargetMode="External"/><Relationship Id="rId126" Type="http://schemas.openxmlformats.org/officeDocument/2006/relationships/hyperlink" Target="https://www.nyiso.com/documents/20142/2248793/2020-RNAReport-Nov2020.pdf" TargetMode="External"/><Relationship Id="rId147" Type="http://schemas.openxmlformats.org/officeDocument/2006/relationships/image" Target="media/image89.png"/><Relationship Id="rId168" Type="http://schemas.openxmlformats.org/officeDocument/2006/relationships/image" Target="media/image108.emf"/><Relationship Id="rId8" Type="http://schemas.openxmlformats.org/officeDocument/2006/relationships/webSettings" Target="webSettings.xml"/><Relationship Id="rId51" Type="http://schemas.openxmlformats.org/officeDocument/2006/relationships/hyperlink" Target="https://www.nyiso.com/documents/20142/20255668/03%202020-2021RPP_PostRNABaseCaseUpdates_Dynamics.pdf" TargetMode="External"/><Relationship Id="rId72" Type="http://schemas.openxmlformats.org/officeDocument/2006/relationships/image" Target="media/image41.emf"/><Relationship Id="rId93" Type="http://schemas.openxmlformats.org/officeDocument/2006/relationships/hyperlink" Target="https://www.nyiso.com/documents/20142/19415353/07%202020-2021RPP_PostRNABaseCaseUpdates.pdf" TargetMode="External"/><Relationship Id="rId98" Type="http://schemas.openxmlformats.org/officeDocument/2006/relationships/hyperlink" Target="https://www.nyiso.com/documents/20142/11718122/12c_2020RNA_PreliminaryMARSTopoUpdates-Apr6TPAS-ESPWG.pdf" TargetMode="External"/><Relationship Id="rId121" Type="http://schemas.openxmlformats.org/officeDocument/2006/relationships/image" Target="media/image68.emf"/><Relationship Id="rId142" Type="http://schemas.openxmlformats.org/officeDocument/2006/relationships/image" Target="media/image84.emf"/><Relationship Id="rId163" Type="http://schemas.openxmlformats.org/officeDocument/2006/relationships/image" Target="media/image104.png"/><Relationship Id="rId3" Type="http://schemas.openxmlformats.org/officeDocument/2006/relationships/customXml" Target="../customXml/item3.xml"/><Relationship Id="rId25" Type="http://schemas.openxmlformats.org/officeDocument/2006/relationships/image" Target="media/image6.emf"/><Relationship Id="rId46" Type="http://schemas.openxmlformats.org/officeDocument/2006/relationships/image" Target="media/image22.png"/><Relationship Id="rId67" Type="http://schemas.openxmlformats.org/officeDocument/2006/relationships/image" Target="media/image36.emf"/><Relationship Id="rId116" Type="http://schemas.openxmlformats.org/officeDocument/2006/relationships/image" Target="media/image63.emf"/><Relationship Id="rId137" Type="http://schemas.openxmlformats.org/officeDocument/2006/relationships/chart" Target="charts/chart4.xml"/><Relationship Id="rId158" Type="http://schemas.openxmlformats.org/officeDocument/2006/relationships/image" Target="media/image100.emf"/><Relationship Id="rId20" Type="http://schemas.openxmlformats.org/officeDocument/2006/relationships/hyperlink" Target="https://www.nyiso.com/documents/20142/19159155/2020%20Quarter%203%20Short%20Term%20Reliability%20Process%20Report.pdf" TargetMode="External"/><Relationship Id="rId41" Type="http://schemas.openxmlformats.org/officeDocument/2006/relationships/image" Target="media/image19.png"/><Relationship Id="rId62" Type="http://schemas.openxmlformats.org/officeDocument/2006/relationships/image" Target="media/image31.emf"/><Relationship Id="rId83" Type="http://schemas.openxmlformats.org/officeDocument/2006/relationships/image" Target="media/image47.emf"/><Relationship Id="rId88" Type="http://schemas.openxmlformats.org/officeDocument/2006/relationships/package" Target="embeddings/Microsoft_Visio_Drawing7.vsdx"/><Relationship Id="rId111" Type="http://schemas.openxmlformats.org/officeDocument/2006/relationships/image" Target="media/image58.emf"/><Relationship Id="rId132" Type="http://schemas.openxmlformats.org/officeDocument/2006/relationships/image" Target="media/image77.emf"/><Relationship Id="rId153" Type="http://schemas.openxmlformats.org/officeDocument/2006/relationships/image" Target="media/image95.png"/><Relationship Id="rId174" Type="http://schemas.openxmlformats.org/officeDocument/2006/relationships/image" Target="media/image113.emf"/><Relationship Id="rId179" Type="http://schemas.openxmlformats.org/officeDocument/2006/relationships/hyperlink" Target="http://www.nysrc.org/NYSRCReliabilityRulesComplianceMonitoring.html" TargetMode="External"/><Relationship Id="rId15" Type="http://schemas.openxmlformats.org/officeDocument/2006/relationships/header" Target="header2.xml"/><Relationship Id="rId36" Type="http://schemas.openxmlformats.org/officeDocument/2006/relationships/hyperlink" Target="https://www.nyiso.com/documents/20142/10773574/NYISO-Climate-Impact-Study-Phase1-Report.pdf" TargetMode="External"/><Relationship Id="rId57" Type="http://schemas.openxmlformats.org/officeDocument/2006/relationships/image" Target="media/image26.emf"/><Relationship Id="rId106" Type="http://schemas.openxmlformats.org/officeDocument/2006/relationships/image" Target="media/image53.emf"/><Relationship Id="rId127" Type="http://schemas.openxmlformats.org/officeDocument/2006/relationships/image" Target="media/image72.png"/><Relationship Id="rId10" Type="http://schemas.openxmlformats.org/officeDocument/2006/relationships/endnotes" Target="endnotes.xml"/><Relationship Id="rId31" Type="http://schemas.openxmlformats.org/officeDocument/2006/relationships/image" Target="media/image12.png"/><Relationship Id="rId52" Type="http://schemas.openxmlformats.org/officeDocument/2006/relationships/image" Target="media/image24.emf"/><Relationship Id="rId73" Type="http://schemas.openxmlformats.org/officeDocument/2006/relationships/image" Target="media/image42.emf"/><Relationship Id="rId78" Type="http://schemas.openxmlformats.org/officeDocument/2006/relationships/package" Target="embeddings/Microsoft_Visio_Drawing2.vsdx"/><Relationship Id="rId94" Type="http://schemas.openxmlformats.org/officeDocument/2006/relationships/hyperlink" Target="https://www.nyiso.com/documents/20142/17044621/LT-Forecast-Update.pdf" TargetMode="External"/><Relationship Id="rId99" Type="http://schemas.openxmlformats.org/officeDocument/2006/relationships/hyperlink" Target="https://www.nyiso.com/documents/20142/11350020/06%202020RNA_MARS-BaseCasePrelimTopologyChanges.pdf" TargetMode="External"/><Relationship Id="rId101" Type="http://schemas.openxmlformats.org/officeDocument/2006/relationships/hyperlink" Target="https://www.nyiso.com/documents/20142/12654708/02%202020RNA_BCTopologyY1-Y10.pdf" TargetMode="External"/><Relationship Id="rId122" Type="http://schemas.openxmlformats.org/officeDocument/2006/relationships/image" Target="media/image69.png"/><Relationship Id="rId143" Type="http://schemas.openxmlformats.org/officeDocument/2006/relationships/image" Target="media/image85.emf"/><Relationship Id="rId148" Type="http://schemas.openxmlformats.org/officeDocument/2006/relationships/image" Target="media/image90.png"/><Relationship Id="rId164" Type="http://schemas.openxmlformats.org/officeDocument/2006/relationships/image" Target="cid:image007.png@01D7789B.48E91DA0" TargetMode="External"/><Relationship Id="rId169" Type="http://schemas.openxmlformats.org/officeDocument/2006/relationships/image" Target="media/image109.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nerc.com/pa/RAPA/ra/Pages/default.aspx" TargetMode="External"/><Relationship Id="rId26" Type="http://schemas.openxmlformats.org/officeDocument/2006/relationships/image" Target="media/image7.emf"/><Relationship Id="rId47" Type="http://schemas.openxmlformats.org/officeDocument/2006/relationships/image" Target="media/image23.jpg"/><Relationship Id="rId68" Type="http://schemas.openxmlformats.org/officeDocument/2006/relationships/image" Target="media/image37.emf"/><Relationship Id="rId89" Type="http://schemas.openxmlformats.org/officeDocument/2006/relationships/hyperlink" Target="https://www.nyiso.com/documents/20142/11883362/LFU_Summary.pdf" TargetMode="External"/><Relationship Id="rId112" Type="http://schemas.openxmlformats.org/officeDocument/2006/relationships/image" Target="media/image59.emf"/><Relationship Id="rId133" Type="http://schemas.openxmlformats.org/officeDocument/2006/relationships/image" Target="media/image78.emf"/><Relationship Id="rId154" Type="http://schemas.openxmlformats.org/officeDocument/2006/relationships/image" Target="media/image96.emf"/><Relationship Id="rId175" Type="http://schemas.openxmlformats.org/officeDocument/2006/relationships/image" Target="media/image114.jpg"/><Relationship Id="rId16" Type="http://schemas.openxmlformats.org/officeDocument/2006/relationships/footer" Target="footer3.xml"/><Relationship Id="rId37" Type="http://schemas.openxmlformats.org/officeDocument/2006/relationships/hyperlink" Target="https://www.nyiso.com/documents/20142/16884550/NYISO-Climate-Impact-Study-Phase-2-Report.pdf" TargetMode="External"/><Relationship Id="rId58" Type="http://schemas.openxmlformats.org/officeDocument/2006/relationships/image" Target="media/image27.emf"/><Relationship Id="rId79" Type="http://schemas.openxmlformats.org/officeDocument/2006/relationships/image" Target="media/image45.emf"/><Relationship Id="rId102" Type="http://schemas.openxmlformats.org/officeDocument/2006/relationships/hyperlink" Target="https://www.nyiso.com/documents/20142/11350020/07%202020RNA_MARS-ExternalAreasSimplification.pdf" TargetMode="External"/><Relationship Id="rId123" Type="http://schemas.openxmlformats.org/officeDocument/2006/relationships/hyperlink" Target="https://www.nyiso.com/documents/20142/2248793/2020-RNAReport-Nov2020.pdf" TargetMode="External"/><Relationship Id="rId144" Type="http://schemas.openxmlformats.org/officeDocument/2006/relationships/image" Target="media/image86.emf"/><Relationship Id="rId90" Type="http://schemas.openxmlformats.org/officeDocument/2006/relationships/image" Target="media/image50.png"/><Relationship Id="rId165" Type="http://schemas.openxmlformats.org/officeDocument/2006/relationships/image" Target="media/image105.emf"/><Relationship Id="rId27" Type="http://schemas.openxmlformats.org/officeDocument/2006/relationships/image" Target="media/image8.emf"/><Relationship Id="rId48" Type="http://schemas.openxmlformats.org/officeDocument/2006/relationships/hyperlink" Target="https://www.nyserda.ny.gov/About/Publications/New-York-Power-Grid-Study" TargetMode="External"/><Relationship Id="rId69" Type="http://schemas.openxmlformats.org/officeDocument/2006/relationships/image" Target="media/image38.emf"/><Relationship Id="rId113" Type="http://schemas.openxmlformats.org/officeDocument/2006/relationships/image" Target="media/image60.png"/><Relationship Id="rId134" Type="http://schemas.openxmlformats.org/officeDocument/2006/relationships/image" Target="media/image79.emf"/><Relationship Id="rId80" Type="http://schemas.openxmlformats.org/officeDocument/2006/relationships/package" Target="embeddings/Microsoft_Visio_Drawing3.vsdx"/><Relationship Id="rId155" Type="http://schemas.openxmlformats.org/officeDocument/2006/relationships/image" Target="media/image97.png"/><Relationship Id="rId176" Type="http://schemas.openxmlformats.org/officeDocument/2006/relationships/image" Target="media/image115.emf"/><Relationship Id="rId17" Type="http://schemas.openxmlformats.org/officeDocument/2006/relationships/hyperlink" Target="https://www.nyiso.com/documents/20142/2248793/2020-RNAReport-Nov2020.pdf" TargetMode="External"/><Relationship Id="rId38" Type="http://schemas.openxmlformats.org/officeDocument/2006/relationships/image" Target="media/image16.emf"/><Relationship Id="rId59" Type="http://schemas.openxmlformats.org/officeDocument/2006/relationships/image" Target="media/image28.emf"/><Relationship Id="rId103" Type="http://schemas.openxmlformats.org/officeDocument/2006/relationships/hyperlink" Target="https://www.nyiso.com/documents/20142/19415353/07%202020-2021RPP_PostRNABaseCaseUpdates.pdf" TargetMode="External"/><Relationship Id="rId124" Type="http://schemas.openxmlformats.org/officeDocument/2006/relationships/image" Target="media/image70.emf"/><Relationship Id="rId70" Type="http://schemas.openxmlformats.org/officeDocument/2006/relationships/image" Target="media/image39.png"/><Relationship Id="rId91" Type="http://schemas.openxmlformats.org/officeDocument/2006/relationships/image" Target="media/image51.emf"/><Relationship Id="rId145" Type="http://schemas.openxmlformats.org/officeDocument/2006/relationships/image" Target="media/image87.jpeg"/><Relationship Id="rId166" Type="http://schemas.openxmlformats.org/officeDocument/2006/relationships/image" Target="media/image106.emf"/><Relationship Id="rId1" Type="http://schemas.openxmlformats.org/officeDocument/2006/relationships/customXml" Target="../customXml/item1.xml"/><Relationship Id="rId28" Type="http://schemas.openxmlformats.org/officeDocument/2006/relationships/image" Target="media/image9.png"/><Relationship Id="rId49" Type="http://schemas.openxmlformats.org/officeDocument/2006/relationships/hyperlink" Target="https://www.nyiso.com/documents/20142/18681129/2019_LTP_Coned.pdf" TargetMode="External"/><Relationship Id="rId114" Type="http://schemas.openxmlformats.org/officeDocument/2006/relationships/image" Target="media/image61.emf"/></Relationships>
</file>

<file path=word/_rels/footnotes.xml.rels><?xml version="1.0" encoding="UTF-8" standalone="yes"?>
<Relationships xmlns="http://schemas.openxmlformats.org/package/2006/relationships"><Relationship Id="rId13" Type="http://schemas.openxmlformats.org/officeDocument/2006/relationships/hyperlink" Target="https://www.dec.ny.gov/regulations/116131.html" TargetMode="External"/><Relationship Id="rId18" Type="http://schemas.openxmlformats.org/officeDocument/2006/relationships/hyperlink" Target="https://www.nysrc.org/PDF/Reports/Resource%20Adequacy%20Metric%20Report%20Final%204-20-2020%5b6431%5d.pdf" TargetMode="External"/><Relationship Id="rId26" Type="http://schemas.openxmlformats.org/officeDocument/2006/relationships/hyperlink" Target="https://www.ferc.gov/sites/default/files/2020-06/Order-842.pdf" TargetMode="External"/><Relationship Id="rId3" Type="http://schemas.openxmlformats.org/officeDocument/2006/relationships/hyperlink" Target="https://www.nyiso.com/documents/20142/23262467/05%20CECONY_LTP.pdf" TargetMode="External"/><Relationship Id="rId21" Type="http://schemas.openxmlformats.org/officeDocument/2006/relationships/hyperlink" Target="https://www.nyiso.com/documents/20142/2226108/2019-CARIS-Phase1-Report-Final.pdf/" TargetMode="External"/><Relationship Id="rId7" Type="http://schemas.openxmlformats.org/officeDocument/2006/relationships/hyperlink" Target="https://www.nyiso.com/documents/20142/3691300/Summer-2020-Operating-Study-Draft-Final-OC-Approved.pdf/" TargetMode="External"/><Relationship Id="rId12" Type="http://schemas.openxmlformats.org/officeDocument/2006/relationships/hyperlink" Target="https://www.nyiso.com/documents/20142/18663846/20210119-NYISOCommentsCase20E0197-complete.pdf" TargetMode="External"/><Relationship Id="rId17" Type="http://schemas.openxmlformats.org/officeDocument/2006/relationships/hyperlink" Target="https://govt.westlaw.com/nycrr/Browse/Home/NewYork/NewYorkCodesRulesandRegulations?guid=I9e8759705fd311eaa71dc9fbe3ec8164&amp;originationContext=documenttoc&amp;transitionType=Default&amp;contextData=(sc.Default)&amp;bhcp=1" TargetMode="External"/><Relationship Id="rId25" Type="http://schemas.openxmlformats.org/officeDocument/2006/relationships/hyperlink" Target="http://www.ercot.com/content/wcm/key_documents_lists/141324/Inertia_Basic_Concepts_Impacts_On_ERCOT_v0.pdf" TargetMode="External"/><Relationship Id="rId33" Type="http://schemas.openxmlformats.org/officeDocument/2006/relationships/hyperlink" Target="https://www.nyiso.com/documents/20142/1397660/2020-Comprehensive-Area-Transmission-Review.pdf/" TargetMode="External"/><Relationship Id="rId2" Type="http://schemas.openxmlformats.org/officeDocument/2006/relationships/hyperlink" Target="https://www.nyiso.com/documents/20142/16004172/2020-Q3-STAR-Report-vFinal.pdf/" TargetMode="External"/><Relationship Id="rId16" Type="http://schemas.openxmlformats.org/officeDocument/2006/relationships/hyperlink" Target="https://www.nyiso.com/documents/20142/19415353/07%202020-2021RPP_PostRNABaseCaseUpdates.pdf/" TargetMode="External"/><Relationship Id="rId20" Type="http://schemas.openxmlformats.org/officeDocument/2006/relationships/hyperlink" Target="https://www.nyiso.com/documents/20142/2248793/2020-RNAReport-Nov2020.pdf/" TargetMode="External"/><Relationship Id="rId29" Type="http://schemas.openxmlformats.org/officeDocument/2006/relationships/hyperlink" Target="https://www.cmpco.com/wps/wcm/connect/7fe4503d-0ce7-4aba-bcd0-b0c66eb9e0fa/AVANGRID_Transmission_Planning+Criteria_5-25-2018.pdf?MOD=AJPERES&amp;CACHEID=ROOTWORKSPACE-7fe4503d-0ce7-4aba-bcd0-b0c66eb9e0fa-mmVnZop" TargetMode="External"/><Relationship Id="rId1" Type="http://schemas.openxmlformats.org/officeDocument/2006/relationships/hyperlink" Target="https://www.dec.ny.gov/regulations/116131.html" TargetMode="External"/><Relationship Id="rId6" Type="http://schemas.openxmlformats.org/officeDocument/2006/relationships/hyperlink" Target="https://www.coned.com/-/media/files/coned/documents/business-partners/transmission-planning/transmission-planning-criteria.pdf?la=en" TargetMode="External"/><Relationship Id="rId11" Type="http://schemas.openxmlformats.org/officeDocument/2006/relationships/hyperlink" Target="https://www.nyiso.com/documents/20142/18663846/20210119-NYISOCommentsCase20E0197-complete.pdf" TargetMode="External"/><Relationship Id="rId24" Type="http://schemas.openxmlformats.org/officeDocument/2006/relationships/hyperlink" Target="https://www.nerc.com/docs/pc/FRI_Report_10-30-12_Master_w-appendices.pdf" TargetMode="External"/><Relationship Id="rId32" Type="http://schemas.openxmlformats.org/officeDocument/2006/relationships/hyperlink" Target="https://www.nyiso.com/documents/20142/2924447/rel-anl-data-mnl.pdf" TargetMode="External"/><Relationship Id="rId5" Type="http://schemas.openxmlformats.org/officeDocument/2006/relationships/hyperlink" Target="https://www.nysrc.org/PDF/Reports/Resource%20Adequacy%20Metric%20Report%20Final%204-20-2020%5b6431%5d.pdf" TargetMode="External"/><Relationship Id="rId15" Type="http://schemas.openxmlformats.org/officeDocument/2006/relationships/hyperlink" Target="https://www.coned.com/-/media/files/coned/documents/business-partners/transmission-planning/transmission-planning-criteria.pdf?la=en" TargetMode="External"/><Relationship Id="rId23" Type="http://schemas.openxmlformats.org/officeDocument/2006/relationships/hyperlink" Target="https://www.nerc.com/comm/OC/RS_GOP_Survey_DL/PFC_Reliability_Guideline_rev20190501_v2_final.pdf" TargetMode="External"/><Relationship Id="rId28" Type="http://schemas.openxmlformats.org/officeDocument/2006/relationships/hyperlink" Target="https://www.nerc.com/comm/PC/InverterBased%20Resource%20Performance%20Task%20Force%20IRPT/Fast_Frequency_Response_Concepts_and_BPS_Reliability_Needs_White_Paper.pdf" TargetMode="External"/><Relationship Id="rId10" Type="http://schemas.openxmlformats.org/officeDocument/2006/relationships/hyperlink" Target="https://www.google.com/url?sa=t&amp;rct=j&amp;q=&amp;esrc=s&amp;source=web&amp;cd=&amp;ved=2ahUKEwiOlJzT_pzyAhWKmeAKHVM5CtkQFnoECAQQAw&amp;url=https%3A%2F%2Fwww1.nyc.gov%2Fassets%2Fsustainability%2Fdownloads%2Fpdf%2Fpublications%2FCarbon-Neutral-NYC.pdf&amp;usg=AOvVaw0MUWEpjXEeyvABtDHGEuJg" TargetMode="External"/><Relationship Id="rId19" Type="http://schemas.openxmlformats.org/officeDocument/2006/relationships/hyperlink" Target="https://www.nysrc.org/PDF/Reports/Resource%20Adequacy%20Metric%20Report%20Final%204-20-2020%5b6431%5d.pdf" TargetMode="External"/><Relationship Id="rId31" Type="http://schemas.openxmlformats.org/officeDocument/2006/relationships/hyperlink" Target="https://www.nyiso.com/planning-reliability-compliance" TargetMode="External"/><Relationship Id="rId4" Type="http://schemas.openxmlformats.org/officeDocument/2006/relationships/hyperlink" Target="https://www.nysrc.org/PDF/Reports/Resource%20Adequacy%20Metric%20Report%20Final%204-20-2020%5b6431%5d.pdf" TargetMode="External"/><Relationship Id="rId9" Type="http://schemas.openxmlformats.org/officeDocument/2006/relationships/hyperlink" Target="https://www.nyiso.com/documents/20142/10773574/NYISO-Climate-Impact-Study-Phase-2-Report.pdf" TargetMode="External"/><Relationship Id="rId14" Type="http://schemas.openxmlformats.org/officeDocument/2006/relationships/hyperlink" Target="https://www.nyiso.com/documents/20142/3691300/Summer-2020-Operating-Study-Draft-Final-OC-Approved.pdf/" TargetMode="External"/><Relationship Id="rId22" Type="http://schemas.openxmlformats.org/officeDocument/2006/relationships/hyperlink" Target="https://www.nerc.com/comm/Other/essntlrlbltysrvcstskfrcDL/ERSWG_Sufficiency_Guideline_Report.pdf" TargetMode="External"/><Relationship Id="rId27" Type="http://schemas.openxmlformats.org/officeDocument/2006/relationships/hyperlink" Target="https://www.nerc.com/comm/OC/RS_GOP_Survey_DL/PFC_Reliability_Guideline_rev20190501_v2_final.pdf" TargetMode="External"/><Relationship Id="rId30" Type="http://schemas.openxmlformats.org/officeDocument/2006/relationships/hyperlink" Target="https://www.nyiso.com/documents/20142/3632262/Local-Transmission-Owner-Planning-Process-LTPP.pdf/025b47f1-d90a-94e3-8eba-c21e7a6131aa" TargetMode="External"/><Relationship Id="rId8" Type="http://schemas.openxmlformats.org/officeDocument/2006/relationships/hyperlink" Target="https://www.cmpco.com/wps/wcm/connect/7fe4503d-0ce7-4aba-bcd0-b0c66eb9e0fa/AVANGRID_Transmission_Planning+Criteria_5-25-2018.pdf?MOD=AJPERES&amp;CACHEID=ROOTWORKSPACE-7fe4503d-0ce7-4aba-bcd0-b0c66eb9e0fa-mmVnZop"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anec\Desktop\Word_Template_Reports_v2.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ad.nyiso.com\corporate\Directories\NYISO\SRP_LTP\_RPP\2020_RPP\02-CRP\Report\Draft1forSept2ESPWG\CRP_Figure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ad.nyiso.com\corporate\Directories\NYISO\SRP_LTP\_RPP\2020_RPP\02-CRP\Report\Draft1forSept2ESPWG\CRP_Figure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ad.nyiso.com\corporate\Directories\NYISO\SRP_LTP\_RPP\2020_RPP\02-CRP\Report\Draft1forSept2ESPWG\CRP_Figure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ad.nyiso.com\corporate\Directories\NYISO\SRP_LTP\ReliabilityCouncils\NYSRC\WindLull\OSW_Weekly_Output_ss.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1.xml"/></Relationships>
</file>

<file path=word/charts/_rels/chart5.xml.rels><?xml version="1.0" encoding="UTF-8" standalone="yes"?>
<Relationships xmlns="http://schemas.openxmlformats.org/package/2006/relationships"><Relationship Id="rId3" Type="http://schemas.openxmlformats.org/officeDocument/2006/relationships/oleObject" Target="file:///\\ad.nyiso.com\corporate\Directories\NYISO\SRP_LTP\ReliabilityCouncils\NYSRC\WindLull\OSW_Weekly_Output_ss.xlsx"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2.xml"/></Relationships>
</file>

<file path=word/charts/_rels/chart6.xml.rels><?xml version="1.0" encoding="UTF-8" standalone="yes"?>
<Relationships xmlns="http://schemas.openxmlformats.org/package/2006/relationships"><Relationship Id="rId3" Type="http://schemas.openxmlformats.org/officeDocument/2006/relationships/oleObject" Target="file:///\\ad.nyiso.com\corporate\Directories\NYISO\SRP_LTP\ReliabilityCouncils\NYSRC\WindLull\OSW_Weekly_Output_ss.xlsx"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NYCA Load vs Capacity </a:t>
            </a:r>
          </a:p>
          <a:p>
            <a:pPr>
              <a:defRPr/>
            </a:pPr>
            <a:r>
              <a:rPr lang="en-US" i="1"/>
              <a:t>Year-by-Year MW</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'CRP L&amp;C Table'!$C$6</c:f>
              <c:strCache>
                <c:ptCount val="1"/>
                <c:pt idx="0">
                  <c:v>NYCA Peak*</c:v>
                </c:pt>
              </c:strCache>
            </c:strRef>
          </c:tx>
          <c:spPr>
            <a:solidFill>
              <a:schemeClr val="accent1"/>
            </a:solidFill>
            <a:ln>
              <a:noFill/>
            </a:ln>
            <a:effectLst/>
          </c:spPr>
          <c:invertIfNegative val="0"/>
          <c:val>
            <c:numRef>
              <c:f>'CRP L&amp;C Table'!$D$6:$M$6</c:f>
              <c:numCache>
                <c:formatCode>#,##0</c:formatCode>
                <c:ptCount val="10"/>
                <c:pt idx="0">
                  <c:v>32145</c:v>
                </c:pt>
                <c:pt idx="1">
                  <c:v>32112</c:v>
                </c:pt>
                <c:pt idx="2">
                  <c:v>31867</c:v>
                </c:pt>
                <c:pt idx="3">
                  <c:v>31629</c:v>
                </c:pt>
                <c:pt idx="4">
                  <c:v>31471</c:v>
                </c:pt>
                <c:pt idx="5">
                  <c:v>31366</c:v>
                </c:pt>
                <c:pt idx="6">
                  <c:v>31357</c:v>
                </c:pt>
                <c:pt idx="7">
                  <c:v>31409</c:v>
                </c:pt>
                <c:pt idx="8">
                  <c:v>31506</c:v>
                </c:pt>
                <c:pt idx="9">
                  <c:v>31609</c:v>
                </c:pt>
              </c:numCache>
            </c:numRef>
          </c:val>
          <c:extLst>
            <c:ext xmlns:c16="http://schemas.microsoft.com/office/drawing/2014/chart" uri="{C3380CC4-5D6E-409C-BE32-E72D297353CC}">
              <c16:uniqueId val="{00000000-BC27-44FC-B8C7-A59BF905109E}"/>
            </c:ext>
          </c:extLst>
        </c:ser>
        <c:ser>
          <c:idx val="1"/>
          <c:order val="1"/>
          <c:tx>
            <c:strRef>
              <c:f>'CRP L&amp;C Table'!$C$15</c:f>
              <c:strCache>
                <c:ptCount val="1"/>
                <c:pt idx="0">
                  <c:v>Total Resources</c:v>
                </c:pt>
              </c:strCache>
            </c:strRef>
          </c:tx>
          <c:spPr>
            <a:solidFill>
              <a:schemeClr val="accent2"/>
            </a:solidFill>
            <a:ln>
              <a:noFill/>
            </a:ln>
            <a:effectLst/>
          </c:spPr>
          <c:invertIfNegative val="0"/>
          <c:val>
            <c:numRef>
              <c:f>'CRP L&amp;C Table'!$D$15:$M$15</c:f>
              <c:numCache>
                <c:formatCode>#,##0</c:formatCode>
                <c:ptCount val="10"/>
                <c:pt idx="0">
                  <c:v>40428.5</c:v>
                </c:pt>
                <c:pt idx="1">
                  <c:v>41000.5</c:v>
                </c:pt>
                <c:pt idx="2">
                  <c:v>40231.18</c:v>
                </c:pt>
                <c:pt idx="3">
                  <c:v>40391.300000000003</c:v>
                </c:pt>
                <c:pt idx="4">
                  <c:v>39786.800000000003</c:v>
                </c:pt>
                <c:pt idx="5">
                  <c:v>39786.800000000003</c:v>
                </c:pt>
                <c:pt idx="6">
                  <c:v>39786.800000000003</c:v>
                </c:pt>
                <c:pt idx="7">
                  <c:v>39786.800000000003</c:v>
                </c:pt>
                <c:pt idx="8">
                  <c:v>39786.800000000003</c:v>
                </c:pt>
                <c:pt idx="9">
                  <c:v>39786.800000000003</c:v>
                </c:pt>
              </c:numCache>
            </c:numRef>
          </c:val>
          <c:extLst>
            <c:ext xmlns:c16="http://schemas.microsoft.com/office/drawing/2014/chart" uri="{C3380CC4-5D6E-409C-BE32-E72D297353CC}">
              <c16:uniqueId val="{00000001-BC27-44FC-B8C7-A59BF905109E}"/>
            </c:ext>
          </c:extLst>
        </c:ser>
        <c:dLbls>
          <c:showLegendKey val="0"/>
          <c:showVal val="0"/>
          <c:showCatName val="0"/>
          <c:showSerName val="0"/>
          <c:showPercent val="0"/>
          <c:showBubbleSize val="0"/>
        </c:dLbls>
        <c:gapWidth val="219"/>
        <c:overlap val="-27"/>
        <c:axId val="560974944"/>
        <c:axId val="560976608"/>
      </c:barChart>
      <c:catAx>
        <c:axId val="560974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0976608"/>
        <c:crosses val="autoZero"/>
        <c:auto val="1"/>
        <c:lblAlgn val="ctr"/>
        <c:lblOffset val="100"/>
        <c:noMultiLvlLbl val="0"/>
      </c:catAx>
      <c:valAx>
        <c:axId val="5609766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0974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Zone J Load vs Capacity</a:t>
            </a:r>
          </a:p>
          <a:p>
            <a:pPr>
              <a:defRPr/>
            </a:pPr>
            <a:r>
              <a:rPr lang="en-US" i="1"/>
              <a:t>Year-by-Year MW</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'CRP L&amp;C Table'!$C$7</c:f>
              <c:strCache>
                <c:ptCount val="1"/>
                <c:pt idx="0">
                  <c:v>Zone Peak J* </c:v>
                </c:pt>
              </c:strCache>
            </c:strRef>
          </c:tx>
          <c:spPr>
            <a:solidFill>
              <a:schemeClr val="accent1"/>
            </a:solidFill>
            <a:ln>
              <a:noFill/>
            </a:ln>
            <a:effectLst/>
          </c:spPr>
          <c:invertIfNegative val="0"/>
          <c:val>
            <c:numRef>
              <c:f>'CRP L&amp;C Table'!$D$7:$M$7</c:f>
              <c:numCache>
                <c:formatCode>#,##0</c:formatCode>
                <c:ptCount val="10"/>
                <c:pt idx="0">
                  <c:v>11211</c:v>
                </c:pt>
                <c:pt idx="1">
                  <c:v>11378</c:v>
                </c:pt>
                <c:pt idx="2">
                  <c:v>11342</c:v>
                </c:pt>
                <c:pt idx="3">
                  <c:v>11292</c:v>
                </c:pt>
                <c:pt idx="4">
                  <c:v>11270</c:v>
                </c:pt>
                <c:pt idx="5">
                  <c:v>11271</c:v>
                </c:pt>
                <c:pt idx="6">
                  <c:v>11326</c:v>
                </c:pt>
                <c:pt idx="7">
                  <c:v>11399</c:v>
                </c:pt>
                <c:pt idx="8">
                  <c:v>11484</c:v>
                </c:pt>
                <c:pt idx="9">
                  <c:v>11573</c:v>
                </c:pt>
              </c:numCache>
            </c:numRef>
          </c:val>
          <c:extLst>
            <c:ext xmlns:c16="http://schemas.microsoft.com/office/drawing/2014/chart" uri="{C3380CC4-5D6E-409C-BE32-E72D297353CC}">
              <c16:uniqueId val="{00000000-79A0-4E47-A4E0-4C51FB9A7F88}"/>
            </c:ext>
          </c:extLst>
        </c:ser>
        <c:ser>
          <c:idx val="1"/>
          <c:order val="1"/>
          <c:tx>
            <c:strRef>
              <c:f>'CRP L&amp;C Table'!$C$21</c:f>
              <c:strCache>
                <c:ptCount val="1"/>
                <c:pt idx="0">
                  <c:v>Total Resources</c:v>
                </c:pt>
              </c:strCache>
            </c:strRef>
          </c:tx>
          <c:spPr>
            <a:solidFill>
              <a:schemeClr val="accent2"/>
            </a:solidFill>
            <a:ln>
              <a:noFill/>
            </a:ln>
            <a:effectLst/>
          </c:spPr>
          <c:invertIfNegative val="0"/>
          <c:val>
            <c:numRef>
              <c:f>'CRP L&amp;C Table'!$D$21:$M$21</c:f>
              <c:numCache>
                <c:formatCode>#,##0</c:formatCode>
                <c:ptCount val="10"/>
                <c:pt idx="0">
                  <c:v>10362.000000000002</c:v>
                </c:pt>
                <c:pt idx="1">
                  <c:v>10362.000000000002</c:v>
                </c:pt>
                <c:pt idx="2">
                  <c:v>9588.7000000000025</c:v>
                </c:pt>
                <c:pt idx="3">
                  <c:v>9588.7000000000025</c:v>
                </c:pt>
                <c:pt idx="4">
                  <c:v>8984.2000000000007</c:v>
                </c:pt>
                <c:pt idx="5">
                  <c:v>8984.2000000000007</c:v>
                </c:pt>
                <c:pt idx="6">
                  <c:v>8984.2000000000007</c:v>
                </c:pt>
                <c:pt idx="7">
                  <c:v>8984.2000000000007</c:v>
                </c:pt>
                <c:pt idx="8">
                  <c:v>8984.2000000000007</c:v>
                </c:pt>
                <c:pt idx="9">
                  <c:v>8984.2000000000007</c:v>
                </c:pt>
              </c:numCache>
            </c:numRef>
          </c:val>
          <c:extLst>
            <c:ext xmlns:c16="http://schemas.microsoft.com/office/drawing/2014/chart" uri="{C3380CC4-5D6E-409C-BE32-E72D297353CC}">
              <c16:uniqueId val="{00000001-79A0-4E47-A4E0-4C51FB9A7F88}"/>
            </c:ext>
          </c:extLst>
        </c:ser>
        <c:dLbls>
          <c:showLegendKey val="0"/>
          <c:showVal val="0"/>
          <c:showCatName val="0"/>
          <c:showSerName val="0"/>
          <c:showPercent val="0"/>
          <c:showBubbleSize val="0"/>
        </c:dLbls>
        <c:gapWidth val="219"/>
        <c:overlap val="-27"/>
        <c:axId val="764146640"/>
        <c:axId val="764147472"/>
      </c:barChart>
      <c:catAx>
        <c:axId val="764146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4147472"/>
        <c:crosses val="autoZero"/>
        <c:auto val="1"/>
        <c:lblAlgn val="ctr"/>
        <c:lblOffset val="100"/>
        <c:noMultiLvlLbl val="0"/>
      </c:catAx>
      <c:valAx>
        <c:axId val="7641474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4146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Zone K Load vs Capacity </a:t>
            </a:r>
          </a:p>
          <a:p>
            <a:pPr>
              <a:defRPr/>
            </a:pPr>
            <a:r>
              <a:rPr lang="en-US" i="1"/>
              <a:t>Year-by-Year MW</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'CRP L&amp;C Table'!$C$8</c:f>
              <c:strCache>
                <c:ptCount val="1"/>
                <c:pt idx="0">
                  <c:v>Zone Peak K* </c:v>
                </c:pt>
              </c:strCache>
            </c:strRef>
          </c:tx>
          <c:spPr>
            <a:solidFill>
              <a:schemeClr val="accent1"/>
            </a:solidFill>
            <a:ln>
              <a:noFill/>
            </a:ln>
            <a:effectLst/>
          </c:spPr>
          <c:invertIfNegative val="0"/>
          <c:val>
            <c:numRef>
              <c:f>'CRP L&amp;C Table'!$D$8:$M$8</c:f>
              <c:numCache>
                <c:formatCode>#,##0</c:formatCode>
                <c:ptCount val="10"/>
                <c:pt idx="0">
                  <c:v>5240</c:v>
                </c:pt>
                <c:pt idx="1">
                  <c:v>5134</c:v>
                </c:pt>
                <c:pt idx="2">
                  <c:v>5027</c:v>
                </c:pt>
                <c:pt idx="3">
                  <c:v>4918</c:v>
                </c:pt>
                <c:pt idx="4">
                  <c:v>4827</c:v>
                </c:pt>
                <c:pt idx="5">
                  <c:v>4749</c:v>
                </c:pt>
                <c:pt idx="6">
                  <c:v>4701</c:v>
                </c:pt>
                <c:pt idx="7">
                  <c:v>4685</c:v>
                </c:pt>
                <c:pt idx="8">
                  <c:v>4689</c:v>
                </c:pt>
                <c:pt idx="9">
                  <c:v>4692</c:v>
                </c:pt>
              </c:numCache>
            </c:numRef>
          </c:val>
          <c:extLst>
            <c:ext xmlns:c16="http://schemas.microsoft.com/office/drawing/2014/chart" uri="{C3380CC4-5D6E-409C-BE32-E72D297353CC}">
              <c16:uniqueId val="{00000000-873F-4EA4-94E5-1F4322758C81}"/>
            </c:ext>
          </c:extLst>
        </c:ser>
        <c:ser>
          <c:idx val="1"/>
          <c:order val="1"/>
          <c:tx>
            <c:strRef>
              <c:f>'CRP L&amp;C Table'!$C$27</c:f>
              <c:strCache>
                <c:ptCount val="1"/>
                <c:pt idx="0">
                  <c:v>Total Resources</c:v>
                </c:pt>
              </c:strCache>
            </c:strRef>
          </c:tx>
          <c:spPr>
            <a:solidFill>
              <a:schemeClr val="accent2"/>
            </a:solidFill>
            <a:ln>
              <a:noFill/>
            </a:ln>
            <a:effectLst/>
          </c:spPr>
          <c:invertIfNegative val="0"/>
          <c:val>
            <c:numRef>
              <c:f>'CRP L&amp;C Table'!$D$27:$M$27</c:f>
              <c:numCache>
                <c:formatCode>#,##0</c:formatCode>
                <c:ptCount val="10"/>
                <c:pt idx="0">
                  <c:v>6263.6999999999989</c:v>
                </c:pt>
                <c:pt idx="1">
                  <c:v>6286.5999999999985</c:v>
                </c:pt>
                <c:pt idx="2">
                  <c:v>6250.5999999999985</c:v>
                </c:pt>
                <c:pt idx="3">
                  <c:v>6250.5999999999985</c:v>
                </c:pt>
                <c:pt idx="4">
                  <c:v>6250.5999999999985</c:v>
                </c:pt>
                <c:pt idx="5">
                  <c:v>6250.5999999999985</c:v>
                </c:pt>
                <c:pt idx="6">
                  <c:v>6250.5999999999985</c:v>
                </c:pt>
                <c:pt idx="7">
                  <c:v>6250.5999999999985</c:v>
                </c:pt>
                <c:pt idx="8">
                  <c:v>6250.5999999999985</c:v>
                </c:pt>
                <c:pt idx="9">
                  <c:v>6250.5999999999985</c:v>
                </c:pt>
              </c:numCache>
            </c:numRef>
          </c:val>
          <c:extLst>
            <c:ext xmlns:c16="http://schemas.microsoft.com/office/drawing/2014/chart" uri="{C3380CC4-5D6E-409C-BE32-E72D297353CC}">
              <c16:uniqueId val="{00000001-873F-4EA4-94E5-1F4322758C81}"/>
            </c:ext>
          </c:extLst>
        </c:ser>
        <c:dLbls>
          <c:showLegendKey val="0"/>
          <c:showVal val="0"/>
          <c:showCatName val="0"/>
          <c:showSerName val="0"/>
          <c:showPercent val="0"/>
          <c:showBubbleSize val="0"/>
        </c:dLbls>
        <c:gapWidth val="219"/>
        <c:overlap val="-27"/>
        <c:axId val="799006640"/>
        <c:axId val="798995408"/>
      </c:barChart>
      <c:catAx>
        <c:axId val="799006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8995408"/>
        <c:crosses val="autoZero"/>
        <c:auto val="1"/>
        <c:lblAlgn val="ctr"/>
        <c:lblOffset val="100"/>
        <c:noMultiLvlLbl val="0"/>
      </c:catAx>
      <c:valAx>
        <c:axId val="7989954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9006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[OSW_Weekly_Output_ss.xlsx]OSW_CF!$P$1</c:f>
          <c:strCache>
            <c:ptCount val="1"/>
            <c:pt idx="0">
              <c:v>Off-Shore Wind Output 70x30 - Highest Summer OSW Capacity Factor Week (07/28, 0.41%)</c:v>
            </c:pt>
          </c:strCache>
        </c:strRef>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areaChart>
        <c:grouping val="stacked"/>
        <c:varyColors val="0"/>
        <c:ser>
          <c:idx val="0"/>
          <c:order val="0"/>
          <c:tx>
            <c:strRef>
              <c:f>[OSW_Weekly_Output_ss.xlsx]OSW_CF!$Q$2</c:f>
              <c:strCache>
                <c:ptCount val="1"/>
                <c:pt idx="0">
                  <c:v>NY_J_OSW</c:v>
                </c:pt>
              </c:strCache>
            </c:strRef>
          </c:tx>
          <c:spPr>
            <a:solidFill>
              <a:srgbClr val="005392"/>
            </a:solidFill>
            <a:ln>
              <a:noFill/>
            </a:ln>
            <a:effectLst/>
          </c:spPr>
          <c:val>
            <c:numRef>
              <c:f>[OSW_Weekly_Output_ss.xlsx]OSW_CF!$Q$3:$Q$170</c:f>
              <c:numCache>
                <c:formatCode>0</c:formatCode>
                <c:ptCount val="168"/>
                <c:pt idx="0">
                  <c:v>2409</c:v>
                </c:pt>
                <c:pt idx="1">
                  <c:v>2158.1</c:v>
                </c:pt>
                <c:pt idx="2">
                  <c:v>2118.4</c:v>
                </c:pt>
                <c:pt idx="3">
                  <c:v>816</c:v>
                </c:pt>
                <c:pt idx="4">
                  <c:v>1023</c:v>
                </c:pt>
                <c:pt idx="5">
                  <c:v>1423</c:v>
                </c:pt>
                <c:pt idx="6">
                  <c:v>2144.5</c:v>
                </c:pt>
                <c:pt idx="7">
                  <c:v>2356.6999999999998</c:v>
                </c:pt>
                <c:pt idx="8">
                  <c:v>1965</c:v>
                </c:pt>
                <c:pt idx="9">
                  <c:v>871</c:v>
                </c:pt>
                <c:pt idx="10">
                  <c:v>2047</c:v>
                </c:pt>
                <c:pt idx="11">
                  <c:v>3218.7</c:v>
                </c:pt>
                <c:pt idx="12">
                  <c:v>2758.9</c:v>
                </c:pt>
                <c:pt idx="13">
                  <c:v>2719.3</c:v>
                </c:pt>
                <c:pt idx="14">
                  <c:v>2778.7</c:v>
                </c:pt>
                <c:pt idx="15">
                  <c:v>3155.3</c:v>
                </c:pt>
                <c:pt idx="16">
                  <c:v>3169</c:v>
                </c:pt>
                <c:pt idx="17">
                  <c:v>3311</c:v>
                </c:pt>
                <c:pt idx="18">
                  <c:v>2833.9</c:v>
                </c:pt>
                <c:pt idx="19">
                  <c:v>1435</c:v>
                </c:pt>
                <c:pt idx="20">
                  <c:v>2535.5</c:v>
                </c:pt>
                <c:pt idx="21">
                  <c:v>1764</c:v>
                </c:pt>
                <c:pt idx="22">
                  <c:v>1794</c:v>
                </c:pt>
                <c:pt idx="23">
                  <c:v>2634</c:v>
                </c:pt>
                <c:pt idx="24">
                  <c:v>2824</c:v>
                </c:pt>
                <c:pt idx="25">
                  <c:v>2482</c:v>
                </c:pt>
                <c:pt idx="26">
                  <c:v>2126</c:v>
                </c:pt>
                <c:pt idx="27">
                  <c:v>1132</c:v>
                </c:pt>
                <c:pt idx="28">
                  <c:v>678</c:v>
                </c:pt>
                <c:pt idx="29">
                  <c:v>642</c:v>
                </c:pt>
                <c:pt idx="30">
                  <c:v>429</c:v>
                </c:pt>
                <c:pt idx="31">
                  <c:v>262</c:v>
                </c:pt>
                <c:pt idx="32">
                  <c:v>256</c:v>
                </c:pt>
                <c:pt idx="33">
                  <c:v>220</c:v>
                </c:pt>
                <c:pt idx="34">
                  <c:v>448</c:v>
                </c:pt>
                <c:pt idx="35">
                  <c:v>956</c:v>
                </c:pt>
                <c:pt idx="36">
                  <c:v>1409</c:v>
                </c:pt>
                <c:pt idx="37">
                  <c:v>1600</c:v>
                </c:pt>
                <c:pt idx="38">
                  <c:v>1637</c:v>
                </c:pt>
                <c:pt idx="39">
                  <c:v>1859</c:v>
                </c:pt>
                <c:pt idx="40">
                  <c:v>1987</c:v>
                </c:pt>
                <c:pt idx="41">
                  <c:v>2045</c:v>
                </c:pt>
                <c:pt idx="42">
                  <c:v>2206</c:v>
                </c:pt>
                <c:pt idx="43">
                  <c:v>2623.8</c:v>
                </c:pt>
                <c:pt idx="44">
                  <c:v>2483</c:v>
                </c:pt>
                <c:pt idx="45">
                  <c:v>2196</c:v>
                </c:pt>
                <c:pt idx="46">
                  <c:v>1864</c:v>
                </c:pt>
                <c:pt idx="47">
                  <c:v>1496</c:v>
                </c:pt>
                <c:pt idx="48">
                  <c:v>1307</c:v>
                </c:pt>
                <c:pt idx="49">
                  <c:v>990</c:v>
                </c:pt>
                <c:pt idx="50">
                  <c:v>557</c:v>
                </c:pt>
                <c:pt idx="51">
                  <c:v>265</c:v>
                </c:pt>
                <c:pt idx="52">
                  <c:v>99</c:v>
                </c:pt>
                <c:pt idx="53">
                  <c:v>42</c:v>
                </c:pt>
                <c:pt idx="54">
                  <c:v>79</c:v>
                </c:pt>
                <c:pt idx="55">
                  <c:v>85</c:v>
                </c:pt>
                <c:pt idx="56">
                  <c:v>181</c:v>
                </c:pt>
                <c:pt idx="57">
                  <c:v>231</c:v>
                </c:pt>
                <c:pt idx="58">
                  <c:v>410</c:v>
                </c:pt>
                <c:pt idx="59">
                  <c:v>718</c:v>
                </c:pt>
                <c:pt idx="60">
                  <c:v>1022</c:v>
                </c:pt>
                <c:pt idx="61">
                  <c:v>1468</c:v>
                </c:pt>
                <c:pt idx="62">
                  <c:v>1967</c:v>
                </c:pt>
                <c:pt idx="63">
                  <c:v>2218</c:v>
                </c:pt>
                <c:pt idx="64">
                  <c:v>2318</c:v>
                </c:pt>
                <c:pt idx="65">
                  <c:v>2078</c:v>
                </c:pt>
                <c:pt idx="66">
                  <c:v>2221</c:v>
                </c:pt>
                <c:pt idx="67">
                  <c:v>2150</c:v>
                </c:pt>
                <c:pt idx="68">
                  <c:v>2074</c:v>
                </c:pt>
                <c:pt idx="69">
                  <c:v>1932</c:v>
                </c:pt>
                <c:pt idx="70">
                  <c:v>1899</c:v>
                </c:pt>
                <c:pt idx="71">
                  <c:v>1944</c:v>
                </c:pt>
                <c:pt idx="72">
                  <c:v>1675</c:v>
                </c:pt>
                <c:pt idx="73">
                  <c:v>1351</c:v>
                </c:pt>
                <c:pt idx="74">
                  <c:v>1485</c:v>
                </c:pt>
                <c:pt idx="75">
                  <c:v>1166</c:v>
                </c:pt>
                <c:pt idx="76">
                  <c:v>978</c:v>
                </c:pt>
                <c:pt idx="77">
                  <c:v>605</c:v>
                </c:pt>
                <c:pt idx="78">
                  <c:v>411</c:v>
                </c:pt>
                <c:pt idx="79">
                  <c:v>556</c:v>
                </c:pt>
                <c:pt idx="80">
                  <c:v>746</c:v>
                </c:pt>
                <c:pt idx="81">
                  <c:v>1742</c:v>
                </c:pt>
                <c:pt idx="82">
                  <c:v>2528</c:v>
                </c:pt>
                <c:pt idx="83">
                  <c:v>3467.4</c:v>
                </c:pt>
                <c:pt idx="84">
                  <c:v>3566.7</c:v>
                </c:pt>
                <c:pt idx="85">
                  <c:v>3828.5</c:v>
                </c:pt>
                <c:pt idx="86">
                  <c:v>3841.5</c:v>
                </c:pt>
                <c:pt idx="87">
                  <c:v>3860.3</c:v>
                </c:pt>
                <c:pt idx="88">
                  <c:v>3860.2</c:v>
                </c:pt>
                <c:pt idx="89">
                  <c:v>3661</c:v>
                </c:pt>
                <c:pt idx="90">
                  <c:v>3311.2</c:v>
                </c:pt>
                <c:pt idx="91">
                  <c:v>3289.7</c:v>
                </c:pt>
                <c:pt idx="92">
                  <c:v>3129.8</c:v>
                </c:pt>
                <c:pt idx="93">
                  <c:v>3261.2</c:v>
                </c:pt>
                <c:pt idx="94">
                  <c:v>3280.5</c:v>
                </c:pt>
                <c:pt idx="95">
                  <c:v>3432.2</c:v>
                </c:pt>
                <c:pt idx="96">
                  <c:v>3251.5</c:v>
                </c:pt>
                <c:pt idx="97">
                  <c:v>3090.7</c:v>
                </c:pt>
                <c:pt idx="98">
                  <c:v>2840</c:v>
                </c:pt>
                <c:pt idx="99">
                  <c:v>2620</c:v>
                </c:pt>
                <c:pt idx="100">
                  <c:v>2102</c:v>
                </c:pt>
                <c:pt idx="101">
                  <c:v>1819</c:v>
                </c:pt>
                <c:pt idx="102">
                  <c:v>1379</c:v>
                </c:pt>
                <c:pt idx="103">
                  <c:v>927</c:v>
                </c:pt>
                <c:pt idx="104">
                  <c:v>700</c:v>
                </c:pt>
                <c:pt idx="105">
                  <c:v>526</c:v>
                </c:pt>
                <c:pt idx="106">
                  <c:v>528</c:v>
                </c:pt>
                <c:pt idx="107">
                  <c:v>589</c:v>
                </c:pt>
                <c:pt idx="108">
                  <c:v>575</c:v>
                </c:pt>
                <c:pt idx="109">
                  <c:v>597</c:v>
                </c:pt>
                <c:pt idx="110">
                  <c:v>879</c:v>
                </c:pt>
                <c:pt idx="111">
                  <c:v>1596</c:v>
                </c:pt>
                <c:pt idx="112">
                  <c:v>1532</c:v>
                </c:pt>
                <c:pt idx="113">
                  <c:v>1880</c:v>
                </c:pt>
                <c:pt idx="114">
                  <c:v>2364</c:v>
                </c:pt>
                <c:pt idx="115">
                  <c:v>2489</c:v>
                </c:pt>
                <c:pt idx="116">
                  <c:v>2412</c:v>
                </c:pt>
                <c:pt idx="117">
                  <c:v>2701</c:v>
                </c:pt>
                <c:pt idx="118">
                  <c:v>2492</c:v>
                </c:pt>
                <c:pt idx="119">
                  <c:v>2088</c:v>
                </c:pt>
                <c:pt idx="120">
                  <c:v>1932</c:v>
                </c:pt>
                <c:pt idx="121">
                  <c:v>1951</c:v>
                </c:pt>
                <c:pt idx="122">
                  <c:v>1939</c:v>
                </c:pt>
                <c:pt idx="123">
                  <c:v>2002</c:v>
                </c:pt>
                <c:pt idx="124">
                  <c:v>2056</c:v>
                </c:pt>
                <c:pt idx="125">
                  <c:v>2217</c:v>
                </c:pt>
                <c:pt idx="126">
                  <c:v>2034</c:v>
                </c:pt>
                <c:pt idx="127">
                  <c:v>2597</c:v>
                </c:pt>
                <c:pt idx="128">
                  <c:v>3098.4</c:v>
                </c:pt>
                <c:pt idx="129">
                  <c:v>3437.9</c:v>
                </c:pt>
                <c:pt idx="130">
                  <c:v>3575.5</c:v>
                </c:pt>
                <c:pt idx="131">
                  <c:v>3585.2</c:v>
                </c:pt>
                <c:pt idx="132">
                  <c:v>3813.5</c:v>
                </c:pt>
                <c:pt idx="133">
                  <c:v>3833.7</c:v>
                </c:pt>
                <c:pt idx="134">
                  <c:v>3749.9</c:v>
                </c:pt>
                <c:pt idx="135">
                  <c:v>2890.8</c:v>
                </c:pt>
                <c:pt idx="136">
                  <c:v>1415</c:v>
                </c:pt>
                <c:pt idx="137">
                  <c:v>519</c:v>
                </c:pt>
                <c:pt idx="138">
                  <c:v>61</c:v>
                </c:pt>
                <c:pt idx="139">
                  <c:v>19</c:v>
                </c:pt>
                <c:pt idx="140">
                  <c:v>26</c:v>
                </c:pt>
                <c:pt idx="141">
                  <c:v>85</c:v>
                </c:pt>
                <c:pt idx="142">
                  <c:v>200</c:v>
                </c:pt>
                <c:pt idx="143">
                  <c:v>399</c:v>
                </c:pt>
                <c:pt idx="144">
                  <c:v>634</c:v>
                </c:pt>
                <c:pt idx="145">
                  <c:v>637</c:v>
                </c:pt>
                <c:pt idx="146">
                  <c:v>412</c:v>
                </c:pt>
                <c:pt idx="147">
                  <c:v>277</c:v>
                </c:pt>
                <c:pt idx="148">
                  <c:v>243</c:v>
                </c:pt>
                <c:pt idx="149">
                  <c:v>185</c:v>
                </c:pt>
                <c:pt idx="150">
                  <c:v>51</c:v>
                </c:pt>
                <c:pt idx="151">
                  <c:v>7</c:v>
                </c:pt>
                <c:pt idx="152">
                  <c:v>0</c:v>
                </c:pt>
                <c:pt idx="153">
                  <c:v>0</c:v>
                </c:pt>
                <c:pt idx="154">
                  <c:v>0</c:v>
                </c:pt>
                <c:pt idx="155">
                  <c:v>3</c:v>
                </c:pt>
                <c:pt idx="156">
                  <c:v>34</c:v>
                </c:pt>
                <c:pt idx="157">
                  <c:v>95</c:v>
                </c:pt>
                <c:pt idx="158">
                  <c:v>152</c:v>
                </c:pt>
                <c:pt idx="159">
                  <c:v>210</c:v>
                </c:pt>
                <c:pt idx="160">
                  <c:v>268</c:v>
                </c:pt>
                <c:pt idx="161">
                  <c:v>352</c:v>
                </c:pt>
                <c:pt idx="162">
                  <c:v>426</c:v>
                </c:pt>
                <c:pt idx="163">
                  <c:v>518</c:v>
                </c:pt>
                <c:pt idx="164">
                  <c:v>467</c:v>
                </c:pt>
                <c:pt idx="165">
                  <c:v>568</c:v>
                </c:pt>
                <c:pt idx="166">
                  <c:v>342</c:v>
                </c:pt>
                <c:pt idx="167">
                  <c:v>323</c:v>
                </c:pt>
              </c:numCache>
            </c:numRef>
          </c:val>
          <c:extLst>
            <c:ext xmlns:c16="http://schemas.microsoft.com/office/drawing/2014/chart" uri="{C3380CC4-5D6E-409C-BE32-E72D297353CC}">
              <c16:uniqueId val="{00000000-8408-4A81-89DE-109A3D1F80A8}"/>
            </c:ext>
          </c:extLst>
        </c:ser>
        <c:ser>
          <c:idx val="1"/>
          <c:order val="1"/>
          <c:tx>
            <c:strRef>
              <c:f>[OSW_Weekly_Output_ss.xlsx]OSW_CF!$R$2</c:f>
              <c:strCache>
                <c:ptCount val="1"/>
                <c:pt idx="0">
                  <c:v>NY_K_OSW</c:v>
                </c:pt>
              </c:strCache>
            </c:strRef>
          </c:tx>
          <c:spPr>
            <a:solidFill>
              <a:srgbClr val="00A7E2"/>
            </a:solidFill>
            <a:ln>
              <a:noFill/>
            </a:ln>
            <a:effectLst/>
          </c:spPr>
          <c:val>
            <c:numRef>
              <c:f>[OSW_Weekly_Output_ss.xlsx]OSW_CF!$R$3:$R$170</c:f>
              <c:numCache>
                <c:formatCode>0</c:formatCode>
                <c:ptCount val="168"/>
                <c:pt idx="0">
                  <c:v>829</c:v>
                </c:pt>
                <c:pt idx="1">
                  <c:v>908</c:v>
                </c:pt>
                <c:pt idx="2">
                  <c:v>943</c:v>
                </c:pt>
                <c:pt idx="3">
                  <c:v>761</c:v>
                </c:pt>
                <c:pt idx="4">
                  <c:v>737</c:v>
                </c:pt>
                <c:pt idx="5">
                  <c:v>762</c:v>
                </c:pt>
                <c:pt idx="6">
                  <c:v>1092</c:v>
                </c:pt>
                <c:pt idx="7">
                  <c:v>1151</c:v>
                </c:pt>
                <c:pt idx="8">
                  <c:v>1183</c:v>
                </c:pt>
                <c:pt idx="9">
                  <c:v>934</c:v>
                </c:pt>
                <c:pt idx="10">
                  <c:v>1082</c:v>
                </c:pt>
                <c:pt idx="11">
                  <c:v>1074</c:v>
                </c:pt>
                <c:pt idx="12">
                  <c:v>1189</c:v>
                </c:pt>
                <c:pt idx="13">
                  <c:v>1419</c:v>
                </c:pt>
                <c:pt idx="14">
                  <c:v>1540</c:v>
                </c:pt>
                <c:pt idx="15">
                  <c:v>1585</c:v>
                </c:pt>
                <c:pt idx="16">
                  <c:v>1478</c:v>
                </c:pt>
                <c:pt idx="17">
                  <c:v>1345</c:v>
                </c:pt>
                <c:pt idx="18">
                  <c:v>1352</c:v>
                </c:pt>
                <c:pt idx="19">
                  <c:v>1380</c:v>
                </c:pt>
                <c:pt idx="20">
                  <c:v>1557.3</c:v>
                </c:pt>
                <c:pt idx="21">
                  <c:v>1323</c:v>
                </c:pt>
                <c:pt idx="22">
                  <c:v>779</c:v>
                </c:pt>
                <c:pt idx="23">
                  <c:v>199</c:v>
                </c:pt>
                <c:pt idx="24">
                  <c:v>307</c:v>
                </c:pt>
                <c:pt idx="25">
                  <c:v>371</c:v>
                </c:pt>
                <c:pt idx="26">
                  <c:v>695</c:v>
                </c:pt>
                <c:pt idx="27">
                  <c:v>865</c:v>
                </c:pt>
                <c:pt idx="28">
                  <c:v>1076</c:v>
                </c:pt>
                <c:pt idx="29">
                  <c:v>1123</c:v>
                </c:pt>
                <c:pt idx="30">
                  <c:v>1196</c:v>
                </c:pt>
                <c:pt idx="31">
                  <c:v>1191</c:v>
                </c:pt>
                <c:pt idx="32">
                  <c:v>1091</c:v>
                </c:pt>
                <c:pt idx="33">
                  <c:v>1029</c:v>
                </c:pt>
                <c:pt idx="34">
                  <c:v>1027</c:v>
                </c:pt>
                <c:pt idx="35">
                  <c:v>1078</c:v>
                </c:pt>
                <c:pt idx="36">
                  <c:v>1209</c:v>
                </c:pt>
                <c:pt idx="37">
                  <c:v>1328</c:v>
                </c:pt>
                <c:pt idx="38">
                  <c:v>1096</c:v>
                </c:pt>
                <c:pt idx="39">
                  <c:v>1073</c:v>
                </c:pt>
                <c:pt idx="40">
                  <c:v>1225</c:v>
                </c:pt>
                <c:pt idx="41">
                  <c:v>1386</c:v>
                </c:pt>
                <c:pt idx="42">
                  <c:v>1488</c:v>
                </c:pt>
                <c:pt idx="43">
                  <c:v>1491</c:v>
                </c:pt>
                <c:pt idx="44">
                  <c:v>1283</c:v>
                </c:pt>
                <c:pt idx="45">
                  <c:v>1092</c:v>
                </c:pt>
                <c:pt idx="46">
                  <c:v>883</c:v>
                </c:pt>
                <c:pt idx="47">
                  <c:v>804</c:v>
                </c:pt>
                <c:pt idx="48">
                  <c:v>580</c:v>
                </c:pt>
                <c:pt idx="49">
                  <c:v>373</c:v>
                </c:pt>
                <c:pt idx="50">
                  <c:v>408</c:v>
                </c:pt>
                <c:pt idx="51">
                  <c:v>444</c:v>
                </c:pt>
                <c:pt idx="52">
                  <c:v>342</c:v>
                </c:pt>
                <c:pt idx="53">
                  <c:v>221</c:v>
                </c:pt>
                <c:pt idx="54">
                  <c:v>176</c:v>
                </c:pt>
                <c:pt idx="55">
                  <c:v>204</c:v>
                </c:pt>
                <c:pt idx="56">
                  <c:v>134</c:v>
                </c:pt>
                <c:pt idx="57">
                  <c:v>132</c:v>
                </c:pt>
                <c:pt idx="58">
                  <c:v>135</c:v>
                </c:pt>
                <c:pt idx="59">
                  <c:v>237</c:v>
                </c:pt>
                <c:pt idx="60">
                  <c:v>309</c:v>
                </c:pt>
                <c:pt idx="61">
                  <c:v>399</c:v>
                </c:pt>
                <c:pt idx="62">
                  <c:v>516</c:v>
                </c:pt>
                <c:pt idx="63">
                  <c:v>672</c:v>
                </c:pt>
                <c:pt idx="64">
                  <c:v>648</c:v>
                </c:pt>
                <c:pt idx="65">
                  <c:v>755</c:v>
                </c:pt>
                <c:pt idx="66">
                  <c:v>676</c:v>
                </c:pt>
                <c:pt idx="67">
                  <c:v>648</c:v>
                </c:pt>
                <c:pt idx="68">
                  <c:v>619</c:v>
                </c:pt>
                <c:pt idx="69">
                  <c:v>594</c:v>
                </c:pt>
                <c:pt idx="70">
                  <c:v>577</c:v>
                </c:pt>
                <c:pt idx="71">
                  <c:v>662</c:v>
                </c:pt>
                <c:pt idx="72">
                  <c:v>663</c:v>
                </c:pt>
                <c:pt idx="73">
                  <c:v>566</c:v>
                </c:pt>
                <c:pt idx="74">
                  <c:v>555</c:v>
                </c:pt>
                <c:pt idx="75">
                  <c:v>431</c:v>
                </c:pt>
                <c:pt idx="76">
                  <c:v>299</c:v>
                </c:pt>
                <c:pt idx="77">
                  <c:v>347</c:v>
                </c:pt>
                <c:pt idx="78">
                  <c:v>370</c:v>
                </c:pt>
                <c:pt idx="79">
                  <c:v>395</c:v>
                </c:pt>
                <c:pt idx="80">
                  <c:v>422</c:v>
                </c:pt>
                <c:pt idx="81">
                  <c:v>553</c:v>
                </c:pt>
                <c:pt idx="82">
                  <c:v>825</c:v>
                </c:pt>
                <c:pt idx="83">
                  <c:v>1071</c:v>
                </c:pt>
                <c:pt idx="84">
                  <c:v>1394</c:v>
                </c:pt>
                <c:pt idx="85">
                  <c:v>1389</c:v>
                </c:pt>
                <c:pt idx="86">
                  <c:v>1417</c:v>
                </c:pt>
                <c:pt idx="87">
                  <c:v>1544</c:v>
                </c:pt>
                <c:pt idx="88">
                  <c:v>1644</c:v>
                </c:pt>
                <c:pt idx="89">
                  <c:v>1746</c:v>
                </c:pt>
                <c:pt idx="90">
                  <c:v>1719</c:v>
                </c:pt>
                <c:pt idx="91">
                  <c:v>1677</c:v>
                </c:pt>
                <c:pt idx="92">
                  <c:v>1736</c:v>
                </c:pt>
                <c:pt idx="93">
                  <c:v>1627.2</c:v>
                </c:pt>
                <c:pt idx="94">
                  <c:v>1514.6</c:v>
                </c:pt>
                <c:pt idx="95">
                  <c:v>1674.8</c:v>
                </c:pt>
                <c:pt idx="96">
                  <c:v>1641.7</c:v>
                </c:pt>
                <c:pt idx="97">
                  <c:v>1619</c:v>
                </c:pt>
                <c:pt idx="98">
                  <c:v>1562.4</c:v>
                </c:pt>
                <c:pt idx="99">
                  <c:v>1553.5</c:v>
                </c:pt>
                <c:pt idx="100">
                  <c:v>1576.4</c:v>
                </c:pt>
                <c:pt idx="101">
                  <c:v>1388.2</c:v>
                </c:pt>
                <c:pt idx="102">
                  <c:v>1400</c:v>
                </c:pt>
                <c:pt idx="103">
                  <c:v>1361</c:v>
                </c:pt>
                <c:pt idx="104">
                  <c:v>1219</c:v>
                </c:pt>
                <c:pt idx="105">
                  <c:v>1195</c:v>
                </c:pt>
                <c:pt idx="106">
                  <c:v>1272</c:v>
                </c:pt>
                <c:pt idx="107">
                  <c:v>1322</c:v>
                </c:pt>
                <c:pt idx="108">
                  <c:v>1340</c:v>
                </c:pt>
                <c:pt idx="109">
                  <c:v>1329</c:v>
                </c:pt>
                <c:pt idx="110">
                  <c:v>1304</c:v>
                </c:pt>
                <c:pt idx="111">
                  <c:v>1353</c:v>
                </c:pt>
                <c:pt idx="112">
                  <c:v>1404</c:v>
                </c:pt>
                <c:pt idx="113">
                  <c:v>1412</c:v>
                </c:pt>
                <c:pt idx="114">
                  <c:v>1372</c:v>
                </c:pt>
                <c:pt idx="115">
                  <c:v>1284</c:v>
                </c:pt>
                <c:pt idx="116">
                  <c:v>1294</c:v>
                </c:pt>
                <c:pt idx="117">
                  <c:v>1133</c:v>
                </c:pt>
                <c:pt idx="118">
                  <c:v>875</c:v>
                </c:pt>
                <c:pt idx="119">
                  <c:v>716</c:v>
                </c:pt>
                <c:pt idx="120">
                  <c:v>548</c:v>
                </c:pt>
                <c:pt idx="121">
                  <c:v>399</c:v>
                </c:pt>
                <c:pt idx="122">
                  <c:v>354</c:v>
                </c:pt>
                <c:pt idx="123">
                  <c:v>368</c:v>
                </c:pt>
                <c:pt idx="124">
                  <c:v>389</c:v>
                </c:pt>
                <c:pt idx="125">
                  <c:v>564</c:v>
                </c:pt>
                <c:pt idx="126">
                  <c:v>759</c:v>
                </c:pt>
                <c:pt idx="127">
                  <c:v>909</c:v>
                </c:pt>
                <c:pt idx="128">
                  <c:v>946</c:v>
                </c:pt>
                <c:pt idx="129">
                  <c:v>1284</c:v>
                </c:pt>
                <c:pt idx="130">
                  <c:v>1568</c:v>
                </c:pt>
                <c:pt idx="131">
                  <c:v>1718</c:v>
                </c:pt>
                <c:pt idx="132">
                  <c:v>1744</c:v>
                </c:pt>
                <c:pt idx="133">
                  <c:v>1768</c:v>
                </c:pt>
                <c:pt idx="134">
                  <c:v>1762</c:v>
                </c:pt>
                <c:pt idx="135">
                  <c:v>1739</c:v>
                </c:pt>
                <c:pt idx="136">
                  <c:v>1535</c:v>
                </c:pt>
                <c:pt idx="137">
                  <c:v>1191</c:v>
                </c:pt>
                <c:pt idx="138">
                  <c:v>1129</c:v>
                </c:pt>
                <c:pt idx="139">
                  <c:v>859</c:v>
                </c:pt>
                <c:pt idx="140">
                  <c:v>786</c:v>
                </c:pt>
                <c:pt idx="141">
                  <c:v>71</c:v>
                </c:pt>
                <c:pt idx="142">
                  <c:v>127</c:v>
                </c:pt>
                <c:pt idx="143">
                  <c:v>87</c:v>
                </c:pt>
                <c:pt idx="144">
                  <c:v>188</c:v>
                </c:pt>
                <c:pt idx="145">
                  <c:v>186</c:v>
                </c:pt>
                <c:pt idx="146">
                  <c:v>198</c:v>
                </c:pt>
                <c:pt idx="147">
                  <c:v>216</c:v>
                </c:pt>
                <c:pt idx="148">
                  <c:v>255</c:v>
                </c:pt>
                <c:pt idx="149">
                  <c:v>200</c:v>
                </c:pt>
                <c:pt idx="150">
                  <c:v>122</c:v>
                </c:pt>
                <c:pt idx="151">
                  <c:v>62</c:v>
                </c:pt>
                <c:pt idx="152">
                  <c:v>10</c:v>
                </c:pt>
                <c:pt idx="153">
                  <c:v>1</c:v>
                </c:pt>
                <c:pt idx="154">
                  <c:v>5</c:v>
                </c:pt>
                <c:pt idx="155">
                  <c:v>35</c:v>
                </c:pt>
                <c:pt idx="156">
                  <c:v>82</c:v>
                </c:pt>
                <c:pt idx="157">
                  <c:v>138</c:v>
                </c:pt>
                <c:pt idx="158">
                  <c:v>146</c:v>
                </c:pt>
                <c:pt idx="159">
                  <c:v>131</c:v>
                </c:pt>
                <c:pt idx="160">
                  <c:v>105</c:v>
                </c:pt>
                <c:pt idx="161">
                  <c:v>68</c:v>
                </c:pt>
                <c:pt idx="162">
                  <c:v>68</c:v>
                </c:pt>
                <c:pt idx="163">
                  <c:v>66</c:v>
                </c:pt>
                <c:pt idx="164">
                  <c:v>61</c:v>
                </c:pt>
                <c:pt idx="165">
                  <c:v>81</c:v>
                </c:pt>
                <c:pt idx="166">
                  <c:v>67</c:v>
                </c:pt>
                <c:pt idx="167">
                  <c:v>61</c:v>
                </c:pt>
              </c:numCache>
            </c:numRef>
          </c:val>
          <c:extLst>
            <c:ext xmlns:c16="http://schemas.microsoft.com/office/drawing/2014/chart" uri="{C3380CC4-5D6E-409C-BE32-E72D297353CC}">
              <c16:uniqueId val="{00000001-8408-4A81-89DE-109A3D1F80A8}"/>
            </c:ext>
          </c:extLst>
        </c:ser>
        <c:dLbls>
          <c:showLegendKey val="0"/>
          <c:showVal val="0"/>
          <c:showCatName val="0"/>
          <c:showSerName val="0"/>
          <c:showPercent val="0"/>
          <c:showBubbleSize val="0"/>
        </c:dLbls>
        <c:axId val="505000527"/>
        <c:axId val="504999279"/>
      </c:areaChart>
      <c:lineChart>
        <c:grouping val="standard"/>
        <c:varyColors val="0"/>
        <c:ser>
          <c:idx val="2"/>
          <c:order val="2"/>
          <c:tx>
            <c:strRef>
              <c:f>[OSW_Weekly_Output_ss.xlsx]OSW_CF!$T$2</c:f>
              <c:strCache>
                <c:ptCount val="1"/>
                <c:pt idx="0">
                  <c:v>Nameplate</c:v>
                </c:pt>
              </c:strCache>
            </c:strRef>
          </c:tx>
          <c:spPr>
            <a:ln w="28575" cap="rnd">
              <a:solidFill>
                <a:schemeClr val="tx1"/>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2-8408-4A81-89DE-109A3D1F80A8}"/>
                </c:ext>
              </c:extLst>
            </c:dLbl>
            <c:dLbl>
              <c:idx val="1"/>
              <c:delete val="1"/>
              <c:extLst>
                <c:ext xmlns:c15="http://schemas.microsoft.com/office/drawing/2012/chart" uri="{CE6537A1-D6FC-4f65-9D91-7224C49458BB}"/>
                <c:ext xmlns:c16="http://schemas.microsoft.com/office/drawing/2014/chart" uri="{C3380CC4-5D6E-409C-BE32-E72D297353CC}">
                  <c16:uniqueId val="{00000003-8408-4A81-89DE-109A3D1F80A8}"/>
                </c:ext>
              </c:extLst>
            </c:dLbl>
            <c:dLbl>
              <c:idx val="2"/>
              <c:delete val="1"/>
              <c:extLst>
                <c:ext xmlns:c15="http://schemas.microsoft.com/office/drawing/2012/chart" uri="{CE6537A1-D6FC-4f65-9D91-7224C49458BB}"/>
                <c:ext xmlns:c16="http://schemas.microsoft.com/office/drawing/2014/chart" uri="{C3380CC4-5D6E-409C-BE32-E72D297353CC}">
                  <c16:uniqueId val="{00000004-8408-4A81-89DE-109A3D1F80A8}"/>
                </c:ext>
              </c:extLst>
            </c:dLbl>
            <c:dLbl>
              <c:idx val="3"/>
              <c:delete val="1"/>
              <c:extLst>
                <c:ext xmlns:c15="http://schemas.microsoft.com/office/drawing/2012/chart" uri="{CE6537A1-D6FC-4f65-9D91-7224C49458BB}"/>
                <c:ext xmlns:c16="http://schemas.microsoft.com/office/drawing/2014/chart" uri="{C3380CC4-5D6E-409C-BE32-E72D297353CC}">
                  <c16:uniqueId val="{00000005-8408-4A81-89DE-109A3D1F80A8}"/>
                </c:ext>
              </c:extLst>
            </c:dLbl>
            <c:dLbl>
              <c:idx val="4"/>
              <c:delete val="1"/>
              <c:extLst>
                <c:ext xmlns:c15="http://schemas.microsoft.com/office/drawing/2012/chart" uri="{CE6537A1-D6FC-4f65-9D91-7224C49458BB}"/>
                <c:ext xmlns:c16="http://schemas.microsoft.com/office/drawing/2014/chart" uri="{C3380CC4-5D6E-409C-BE32-E72D297353CC}">
                  <c16:uniqueId val="{00000006-8408-4A81-89DE-109A3D1F80A8}"/>
                </c:ext>
              </c:extLst>
            </c:dLbl>
            <c:dLbl>
              <c:idx val="5"/>
              <c:delete val="1"/>
              <c:extLst>
                <c:ext xmlns:c15="http://schemas.microsoft.com/office/drawing/2012/chart" uri="{CE6537A1-D6FC-4f65-9D91-7224C49458BB}"/>
                <c:ext xmlns:c16="http://schemas.microsoft.com/office/drawing/2014/chart" uri="{C3380CC4-5D6E-409C-BE32-E72D297353CC}">
                  <c16:uniqueId val="{00000007-8408-4A81-89DE-109A3D1F80A8}"/>
                </c:ext>
              </c:extLst>
            </c:dLbl>
            <c:dLbl>
              <c:idx val="6"/>
              <c:delete val="1"/>
              <c:extLst>
                <c:ext xmlns:c15="http://schemas.microsoft.com/office/drawing/2012/chart" uri="{CE6537A1-D6FC-4f65-9D91-7224C49458BB}"/>
                <c:ext xmlns:c16="http://schemas.microsoft.com/office/drawing/2014/chart" uri="{C3380CC4-5D6E-409C-BE32-E72D297353CC}">
                  <c16:uniqueId val="{00000008-8408-4A81-89DE-109A3D1F80A8}"/>
                </c:ext>
              </c:extLst>
            </c:dLbl>
            <c:dLbl>
              <c:idx val="7"/>
              <c:delete val="1"/>
              <c:extLst>
                <c:ext xmlns:c15="http://schemas.microsoft.com/office/drawing/2012/chart" uri="{CE6537A1-D6FC-4f65-9D91-7224C49458BB}"/>
                <c:ext xmlns:c16="http://schemas.microsoft.com/office/drawing/2014/chart" uri="{C3380CC4-5D6E-409C-BE32-E72D297353CC}">
                  <c16:uniqueId val="{00000009-8408-4A81-89DE-109A3D1F80A8}"/>
                </c:ext>
              </c:extLst>
            </c:dLbl>
            <c:dLbl>
              <c:idx val="8"/>
              <c:delete val="1"/>
              <c:extLst>
                <c:ext xmlns:c15="http://schemas.microsoft.com/office/drawing/2012/chart" uri="{CE6537A1-D6FC-4f65-9D91-7224C49458BB}"/>
                <c:ext xmlns:c16="http://schemas.microsoft.com/office/drawing/2014/chart" uri="{C3380CC4-5D6E-409C-BE32-E72D297353CC}">
                  <c16:uniqueId val="{0000000A-8408-4A81-89DE-109A3D1F80A8}"/>
                </c:ext>
              </c:extLst>
            </c:dLbl>
            <c:dLbl>
              <c:idx val="9"/>
              <c:delete val="1"/>
              <c:extLst>
                <c:ext xmlns:c15="http://schemas.microsoft.com/office/drawing/2012/chart" uri="{CE6537A1-D6FC-4f65-9D91-7224C49458BB}"/>
                <c:ext xmlns:c16="http://schemas.microsoft.com/office/drawing/2014/chart" uri="{C3380CC4-5D6E-409C-BE32-E72D297353CC}">
                  <c16:uniqueId val="{0000000B-8408-4A81-89DE-109A3D1F80A8}"/>
                </c:ext>
              </c:extLst>
            </c:dLbl>
            <c:dLbl>
              <c:idx val="10"/>
              <c:delete val="1"/>
              <c:extLst>
                <c:ext xmlns:c15="http://schemas.microsoft.com/office/drawing/2012/chart" uri="{CE6537A1-D6FC-4f65-9D91-7224C49458BB}"/>
                <c:ext xmlns:c16="http://schemas.microsoft.com/office/drawing/2014/chart" uri="{C3380CC4-5D6E-409C-BE32-E72D297353CC}">
                  <c16:uniqueId val="{0000000C-8408-4A81-89DE-109A3D1F80A8}"/>
                </c:ext>
              </c:extLst>
            </c:dLbl>
            <c:dLbl>
              <c:idx val="11"/>
              <c:delete val="1"/>
              <c:extLst>
                <c:ext xmlns:c15="http://schemas.microsoft.com/office/drawing/2012/chart" uri="{CE6537A1-D6FC-4f65-9D91-7224C49458BB}"/>
                <c:ext xmlns:c16="http://schemas.microsoft.com/office/drawing/2014/chart" uri="{C3380CC4-5D6E-409C-BE32-E72D297353CC}">
                  <c16:uniqueId val="{0000000D-8408-4A81-89DE-109A3D1F80A8}"/>
                </c:ext>
              </c:extLst>
            </c:dLbl>
            <c:dLbl>
              <c:idx val="12"/>
              <c:delete val="1"/>
              <c:extLst>
                <c:ext xmlns:c15="http://schemas.microsoft.com/office/drawing/2012/chart" uri="{CE6537A1-D6FC-4f65-9D91-7224C49458BB}"/>
                <c:ext xmlns:c16="http://schemas.microsoft.com/office/drawing/2014/chart" uri="{C3380CC4-5D6E-409C-BE32-E72D297353CC}">
                  <c16:uniqueId val="{0000000E-8408-4A81-89DE-109A3D1F80A8}"/>
                </c:ext>
              </c:extLst>
            </c:dLbl>
            <c:dLbl>
              <c:idx val="13"/>
              <c:delete val="1"/>
              <c:extLst>
                <c:ext xmlns:c15="http://schemas.microsoft.com/office/drawing/2012/chart" uri="{CE6537A1-D6FC-4f65-9D91-7224C49458BB}"/>
                <c:ext xmlns:c16="http://schemas.microsoft.com/office/drawing/2014/chart" uri="{C3380CC4-5D6E-409C-BE32-E72D297353CC}">
                  <c16:uniqueId val="{0000000F-8408-4A81-89DE-109A3D1F80A8}"/>
                </c:ext>
              </c:extLst>
            </c:dLbl>
            <c:dLbl>
              <c:idx val="14"/>
              <c:delete val="1"/>
              <c:extLst>
                <c:ext xmlns:c15="http://schemas.microsoft.com/office/drawing/2012/chart" uri="{CE6537A1-D6FC-4f65-9D91-7224C49458BB}"/>
                <c:ext xmlns:c16="http://schemas.microsoft.com/office/drawing/2014/chart" uri="{C3380CC4-5D6E-409C-BE32-E72D297353CC}">
                  <c16:uniqueId val="{00000010-8408-4A81-89DE-109A3D1F80A8}"/>
                </c:ext>
              </c:extLst>
            </c:dLbl>
            <c:dLbl>
              <c:idx val="15"/>
              <c:delete val="1"/>
              <c:extLst>
                <c:ext xmlns:c15="http://schemas.microsoft.com/office/drawing/2012/chart" uri="{CE6537A1-D6FC-4f65-9D91-7224C49458BB}"/>
                <c:ext xmlns:c16="http://schemas.microsoft.com/office/drawing/2014/chart" uri="{C3380CC4-5D6E-409C-BE32-E72D297353CC}">
                  <c16:uniqueId val="{00000011-8408-4A81-89DE-109A3D1F80A8}"/>
                </c:ext>
              </c:extLst>
            </c:dLbl>
            <c:dLbl>
              <c:idx val="16"/>
              <c:delete val="1"/>
              <c:extLst>
                <c:ext xmlns:c15="http://schemas.microsoft.com/office/drawing/2012/chart" uri="{CE6537A1-D6FC-4f65-9D91-7224C49458BB}"/>
                <c:ext xmlns:c16="http://schemas.microsoft.com/office/drawing/2014/chart" uri="{C3380CC4-5D6E-409C-BE32-E72D297353CC}">
                  <c16:uniqueId val="{00000012-8408-4A81-89DE-109A3D1F80A8}"/>
                </c:ext>
              </c:extLst>
            </c:dLbl>
            <c:dLbl>
              <c:idx val="17"/>
              <c:delete val="1"/>
              <c:extLst>
                <c:ext xmlns:c15="http://schemas.microsoft.com/office/drawing/2012/chart" uri="{CE6537A1-D6FC-4f65-9D91-7224C49458BB}"/>
                <c:ext xmlns:c16="http://schemas.microsoft.com/office/drawing/2014/chart" uri="{C3380CC4-5D6E-409C-BE32-E72D297353CC}">
                  <c16:uniqueId val="{00000013-8408-4A81-89DE-109A3D1F80A8}"/>
                </c:ext>
              </c:extLst>
            </c:dLbl>
            <c:dLbl>
              <c:idx val="18"/>
              <c:delete val="1"/>
              <c:extLst>
                <c:ext xmlns:c15="http://schemas.microsoft.com/office/drawing/2012/chart" uri="{CE6537A1-D6FC-4f65-9D91-7224C49458BB}"/>
                <c:ext xmlns:c16="http://schemas.microsoft.com/office/drawing/2014/chart" uri="{C3380CC4-5D6E-409C-BE32-E72D297353CC}">
                  <c16:uniqueId val="{00000014-8408-4A81-89DE-109A3D1F80A8}"/>
                </c:ext>
              </c:extLst>
            </c:dLbl>
            <c:dLbl>
              <c:idx val="19"/>
              <c:delete val="1"/>
              <c:extLst>
                <c:ext xmlns:c15="http://schemas.microsoft.com/office/drawing/2012/chart" uri="{CE6537A1-D6FC-4f65-9D91-7224C49458BB}"/>
                <c:ext xmlns:c16="http://schemas.microsoft.com/office/drawing/2014/chart" uri="{C3380CC4-5D6E-409C-BE32-E72D297353CC}">
                  <c16:uniqueId val="{00000015-8408-4A81-89DE-109A3D1F80A8}"/>
                </c:ext>
              </c:extLst>
            </c:dLbl>
            <c:dLbl>
              <c:idx val="20"/>
              <c:delete val="1"/>
              <c:extLst>
                <c:ext xmlns:c15="http://schemas.microsoft.com/office/drawing/2012/chart" uri="{CE6537A1-D6FC-4f65-9D91-7224C49458BB}"/>
                <c:ext xmlns:c16="http://schemas.microsoft.com/office/drawing/2014/chart" uri="{C3380CC4-5D6E-409C-BE32-E72D297353CC}">
                  <c16:uniqueId val="{00000016-8408-4A81-89DE-109A3D1F80A8}"/>
                </c:ext>
              </c:extLst>
            </c:dLbl>
            <c:dLbl>
              <c:idx val="21"/>
              <c:delete val="1"/>
              <c:extLst>
                <c:ext xmlns:c15="http://schemas.microsoft.com/office/drawing/2012/chart" uri="{CE6537A1-D6FC-4f65-9D91-7224C49458BB}"/>
                <c:ext xmlns:c16="http://schemas.microsoft.com/office/drawing/2014/chart" uri="{C3380CC4-5D6E-409C-BE32-E72D297353CC}">
                  <c16:uniqueId val="{00000017-8408-4A81-89DE-109A3D1F80A8}"/>
                </c:ext>
              </c:extLst>
            </c:dLbl>
            <c:dLbl>
              <c:idx val="22"/>
              <c:delete val="1"/>
              <c:extLst>
                <c:ext xmlns:c15="http://schemas.microsoft.com/office/drawing/2012/chart" uri="{CE6537A1-D6FC-4f65-9D91-7224C49458BB}"/>
                <c:ext xmlns:c16="http://schemas.microsoft.com/office/drawing/2014/chart" uri="{C3380CC4-5D6E-409C-BE32-E72D297353CC}">
                  <c16:uniqueId val="{00000018-8408-4A81-89DE-109A3D1F80A8}"/>
                </c:ext>
              </c:extLst>
            </c:dLbl>
            <c:dLbl>
              <c:idx val="23"/>
              <c:delete val="1"/>
              <c:extLst>
                <c:ext xmlns:c15="http://schemas.microsoft.com/office/drawing/2012/chart" uri="{CE6537A1-D6FC-4f65-9D91-7224C49458BB}"/>
                <c:ext xmlns:c16="http://schemas.microsoft.com/office/drawing/2014/chart" uri="{C3380CC4-5D6E-409C-BE32-E72D297353CC}">
                  <c16:uniqueId val="{00000019-8408-4A81-89DE-109A3D1F80A8}"/>
                </c:ext>
              </c:extLst>
            </c:dLbl>
            <c:dLbl>
              <c:idx val="24"/>
              <c:delete val="1"/>
              <c:extLst>
                <c:ext xmlns:c15="http://schemas.microsoft.com/office/drawing/2012/chart" uri="{CE6537A1-D6FC-4f65-9D91-7224C49458BB}"/>
                <c:ext xmlns:c16="http://schemas.microsoft.com/office/drawing/2014/chart" uri="{C3380CC4-5D6E-409C-BE32-E72D297353CC}">
                  <c16:uniqueId val="{0000001A-8408-4A81-89DE-109A3D1F80A8}"/>
                </c:ext>
              </c:extLst>
            </c:dLbl>
            <c:dLbl>
              <c:idx val="25"/>
              <c:delete val="1"/>
              <c:extLst>
                <c:ext xmlns:c15="http://schemas.microsoft.com/office/drawing/2012/chart" uri="{CE6537A1-D6FC-4f65-9D91-7224C49458BB}"/>
                <c:ext xmlns:c16="http://schemas.microsoft.com/office/drawing/2014/chart" uri="{C3380CC4-5D6E-409C-BE32-E72D297353CC}">
                  <c16:uniqueId val="{0000001B-8408-4A81-89DE-109A3D1F80A8}"/>
                </c:ext>
              </c:extLst>
            </c:dLbl>
            <c:dLbl>
              <c:idx val="26"/>
              <c:delete val="1"/>
              <c:extLst>
                <c:ext xmlns:c15="http://schemas.microsoft.com/office/drawing/2012/chart" uri="{CE6537A1-D6FC-4f65-9D91-7224C49458BB}"/>
                <c:ext xmlns:c16="http://schemas.microsoft.com/office/drawing/2014/chart" uri="{C3380CC4-5D6E-409C-BE32-E72D297353CC}">
                  <c16:uniqueId val="{0000001C-8408-4A81-89DE-109A3D1F80A8}"/>
                </c:ext>
              </c:extLst>
            </c:dLbl>
            <c:dLbl>
              <c:idx val="27"/>
              <c:delete val="1"/>
              <c:extLst>
                <c:ext xmlns:c15="http://schemas.microsoft.com/office/drawing/2012/chart" uri="{CE6537A1-D6FC-4f65-9D91-7224C49458BB}"/>
                <c:ext xmlns:c16="http://schemas.microsoft.com/office/drawing/2014/chart" uri="{C3380CC4-5D6E-409C-BE32-E72D297353CC}">
                  <c16:uniqueId val="{0000001D-8408-4A81-89DE-109A3D1F80A8}"/>
                </c:ext>
              </c:extLst>
            </c:dLbl>
            <c:dLbl>
              <c:idx val="28"/>
              <c:delete val="1"/>
              <c:extLst>
                <c:ext xmlns:c15="http://schemas.microsoft.com/office/drawing/2012/chart" uri="{CE6537A1-D6FC-4f65-9D91-7224C49458BB}"/>
                <c:ext xmlns:c16="http://schemas.microsoft.com/office/drawing/2014/chart" uri="{C3380CC4-5D6E-409C-BE32-E72D297353CC}">
                  <c16:uniqueId val="{0000001E-8408-4A81-89DE-109A3D1F80A8}"/>
                </c:ext>
              </c:extLst>
            </c:dLbl>
            <c:dLbl>
              <c:idx val="29"/>
              <c:delete val="1"/>
              <c:extLst>
                <c:ext xmlns:c15="http://schemas.microsoft.com/office/drawing/2012/chart" uri="{CE6537A1-D6FC-4f65-9D91-7224C49458BB}"/>
                <c:ext xmlns:c16="http://schemas.microsoft.com/office/drawing/2014/chart" uri="{C3380CC4-5D6E-409C-BE32-E72D297353CC}">
                  <c16:uniqueId val="{0000001F-8408-4A81-89DE-109A3D1F80A8}"/>
                </c:ext>
              </c:extLst>
            </c:dLbl>
            <c:dLbl>
              <c:idx val="30"/>
              <c:delete val="1"/>
              <c:extLst>
                <c:ext xmlns:c15="http://schemas.microsoft.com/office/drawing/2012/chart" uri="{CE6537A1-D6FC-4f65-9D91-7224C49458BB}"/>
                <c:ext xmlns:c16="http://schemas.microsoft.com/office/drawing/2014/chart" uri="{C3380CC4-5D6E-409C-BE32-E72D297353CC}">
                  <c16:uniqueId val="{00000020-8408-4A81-89DE-109A3D1F80A8}"/>
                </c:ext>
              </c:extLst>
            </c:dLbl>
            <c:dLbl>
              <c:idx val="31"/>
              <c:delete val="1"/>
              <c:extLst>
                <c:ext xmlns:c15="http://schemas.microsoft.com/office/drawing/2012/chart" uri="{CE6537A1-D6FC-4f65-9D91-7224C49458BB}"/>
                <c:ext xmlns:c16="http://schemas.microsoft.com/office/drawing/2014/chart" uri="{C3380CC4-5D6E-409C-BE32-E72D297353CC}">
                  <c16:uniqueId val="{00000021-8408-4A81-89DE-109A3D1F80A8}"/>
                </c:ext>
              </c:extLst>
            </c:dLbl>
            <c:dLbl>
              <c:idx val="32"/>
              <c:delete val="1"/>
              <c:extLst>
                <c:ext xmlns:c15="http://schemas.microsoft.com/office/drawing/2012/chart" uri="{CE6537A1-D6FC-4f65-9D91-7224C49458BB}"/>
                <c:ext xmlns:c16="http://schemas.microsoft.com/office/drawing/2014/chart" uri="{C3380CC4-5D6E-409C-BE32-E72D297353CC}">
                  <c16:uniqueId val="{00000022-8408-4A81-89DE-109A3D1F80A8}"/>
                </c:ext>
              </c:extLst>
            </c:dLbl>
            <c:dLbl>
              <c:idx val="33"/>
              <c:delete val="1"/>
              <c:extLst>
                <c:ext xmlns:c15="http://schemas.microsoft.com/office/drawing/2012/chart" uri="{CE6537A1-D6FC-4f65-9D91-7224C49458BB}"/>
                <c:ext xmlns:c16="http://schemas.microsoft.com/office/drawing/2014/chart" uri="{C3380CC4-5D6E-409C-BE32-E72D297353CC}">
                  <c16:uniqueId val="{00000023-8408-4A81-89DE-109A3D1F80A8}"/>
                </c:ext>
              </c:extLst>
            </c:dLbl>
            <c:dLbl>
              <c:idx val="34"/>
              <c:delete val="1"/>
              <c:extLst>
                <c:ext xmlns:c15="http://schemas.microsoft.com/office/drawing/2012/chart" uri="{CE6537A1-D6FC-4f65-9D91-7224C49458BB}"/>
                <c:ext xmlns:c16="http://schemas.microsoft.com/office/drawing/2014/chart" uri="{C3380CC4-5D6E-409C-BE32-E72D297353CC}">
                  <c16:uniqueId val="{00000024-8408-4A81-89DE-109A3D1F80A8}"/>
                </c:ext>
              </c:extLst>
            </c:dLbl>
            <c:dLbl>
              <c:idx val="35"/>
              <c:delete val="1"/>
              <c:extLst>
                <c:ext xmlns:c15="http://schemas.microsoft.com/office/drawing/2012/chart" uri="{CE6537A1-D6FC-4f65-9D91-7224C49458BB}"/>
                <c:ext xmlns:c16="http://schemas.microsoft.com/office/drawing/2014/chart" uri="{C3380CC4-5D6E-409C-BE32-E72D297353CC}">
                  <c16:uniqueId val="{00000025-8408-4A81-89DE-109A3D1F80A8}"/>
                </c:ext>
              </c:extLst>
            </c:dLbl>
            <c:dLbl>
              <c:idx val="36"/>
              <c:delete val="1"/>
              <c:extLst>
                <c:ext xmlns:c15="http://schemas.microsoft.com/office/drawing/2012/chart" uri="{CE6537A1-D6FC-4f65-9D91-7224C49458BB}"/>
                <c:ext xmlns:c16="http://schemas.microsoft.com/office/drawing/2014/chart" uri="{C3380CC4-5D6E-409C-BE32-E72D297353CC}">
                  <c16:uniqueId val="{00000026-8408-4A81-89DE-109A3D1F80A8}"/>
                </c:ext>
              </c:extLst>
            </c:dLbl>
            <c:dLbl>
              <c:idx val="37"/>
              <c:delete val="1"/>
              <c:extLst>
                <c:ext xmlns:c15="http://schemas.microsoft.com/office/drawing/2012/chart" uri="{CE6537A1-D6FC-4f65-9D91-7224C49458BB}"/>
                <c:ext xmlns:c16="http://schemas.microsoft.com/office/drawing/2014/chart" uri="{C3380CC4-5D6E-409C-BE32-E72D297353CC}">
                  <c16:uniqueId val="{00000027-8408-4A81-89DE-109A3D1F80A8}"/>
                </c:ext>
              </c:extLst>
            </c:dLbl>
            <c:dLbl>
              <c:idx val="38"/>
              <c:delete val="1"/>
              <c:extLst>
                <c:ext xmlns:c15="http://schemas.microsoft.com/office/drawing/2012/chart" uri="{CE6537A1-D6FC-4f65-9D91-7224C49458BB}"/>
                <c:ext xmlns:c16="http://schemas.microsoft.com/office/drawing/2014/chart" uri="{C3380CC4-5D6E-409C-BE32-E72D297353CC}">
                  <c16:uniqueId val="{00000028-8408-4A81-89DE-109A3D1F80A8}"/>
                </c:ext>
              </c:extLst>
            </c:dLbl>
            <c:dLbl>
              <c:idx val="39"/>
              <c:delete val="1"/>
              <c:extLst>
                <c:ext xmlns:c15="http://schemas.microsoft.com/office/drawing/2012/chart" uri="{CE6537A1-D6FC-4f65-9D91-7224C49458BB}"/>
                <c:ext xmlns:c16="http://schemas.microsoft.com/office/drawing/2014/chart" uri="{C3380CC4-5D6E-409C-BE32-E72D297353CC}">
                  <c16:uniqueId val="{00000029-8408-4A81-89DE-109A3D1F80A8}"/>
                </c:ext>
              </c:extLst>
            </c:dLbl>
            <c:dLbl>
              <c:idx val="40"/>
              <c:delete val="1"/>
              <c:extLst>
                <c:ext xmlns:c15="http://schemas.microsoft.com/office/drawing/2012/chart" uri="{CE6537A1-D6FC-4f65-9D91-7224C49458BB}"/>
                <c:ext xmlns:c16="http://schemas.microsoft.com/office/drawing/2014/chart" uri="{C3380CC4-5D6E-409C-BE32-E72D297353CC}">
                  <c16:uniqueId val="{0000002A-8408-4A81-89DE-109A3D1F80A8}"/>
                </c:ext>
              </c:extLst>
            </c:dLbl>
            <c:dLbl>
              <c:idx val="41"/>
              <c:delete val="1"/>
              <c:extLst>
                <c:ext xmlns:c15="http://schemas.microsoft.com/office/drawing/2012/chart" uri="{CE6537A1-D6FC-4f65-9D91-7224C49458BB}"/>
                <c:ext xmlns:c16="http://schemas.microsoft.com/office/drawing/2014/chart" uri="{C3380CC4-5D6E-409C-BE32-E72D297353CC}">
                  <c16:uniqueId val="{0000002B-8408-4A81-89DE-109A3D1F80A8}"/>
                </c:ext>
              </c:extLst>
            </c:dLbl>
            <c:dLbl>
              <c:idx val="42"/>
              <c:delete val="1"/>
              <c:extLst>
                <c:ext xmlns:c15="http://schemas.microsoft.com/office/drawing/2012/chart" uri="{CE6537A1-D6FC-4f65-9D91-7224C49458BB}"/>
                <c:ext xmlns:c16="http://schemas.microsoft.com/office/drawing/2014/chart" uri="{C3380CC4-5D6E-409C-BE32-E72D297353CC}">
                  <c16:uniqueId val="{0000002C-8408-4A81-89DE-109A3D1F80A8}"/>
                </c:ext>
              </c:extLst>
            </c:dLbl>
            <c:dLbl>
              <c:idx val="43"/>
              <c:delete val="1"/>
              <c:extLst>
                <c:ext xmlns:c15="http://schemas.microsoft.com/office/drawing/2012/chart" uri="{CE6537A1-D6FC-4f65-9D91-7224C49458BB}"/>
                <c:ext xmlns:c16="http://schemas.microsoft.com/office/drawing/2014/chart" uri="{C3380CC4-5D6E-409C-BE32-E72D297353CC}">
                  <c16:uniqueId val="{0000002D-8408-4A81-89DE-109A3D1F80A8}"/>
                </c:ext>
              </c:extLst>
            </c:dLbl>
            <c:dLbl>
              <c:idx val="44"/>
              <c:delete val="1"/>
              <c:extLst>
                <c:ext xmlns:c15="http://schemas.microsoft.com/office/drawing/2012/chart" uri="{CE6537A1-D6FC-4f65-9D91-7224C49458BB}"/>
                <c:ext xmlns:c16="http://schemas.microsoft.com/office/drawing/2014/chart" uri="{C3380CC4-5D6E-409C-BE32-E72D297353CC}">
                  <c16:uniqueId val="{0000002E-8408-4A81-89DE-109A3D1F80A8}"/>
                </c:ext>
              </c:extLst>
            </c:dLbl>
            <c:dLbl>
              <c:idx val="45"/>
              <c:delete val="1"/>
              <c:extLst>
                <c:ext xmlns:c15="http://schemas.microsoft.com/office/drawing/2012/chart" uri="{CE6537A1-D6FC-4f65-9D91-7224C49458BB}"/>
                <c:ext xmlns:c16="http://schemas.microsoft.com/office/drawing/2014/chart" uri="{C3380CC4-5D6E-409C-BE32-E72D297353CC}">
                  <c16:uniqueId val="{0000002F-8408-4A81-89DE-109A3D1F80A8}"/>
                </c:ext>
              </c:extLst>
            </c:dLbl>
            <c:dLbl>
              <c:idx val="46"/>
              <c:delete val="1"/>
              <c:extLst>
                <c:ext xmlns:c15="http://schemas.microsoft.com/office/drawing/2012/chart" uri="{CE6537A1-D6FC-4f65-9D91-7224C49458BB}"/>
                <c:ext xmlns:c16="http://schemas.microsoft.com/office/drawing/2014/chart" uri="{C3380CC4-5D6E-409C-BE32-E72D297353CC}">
                  <c16:uniqueId val="{00000030-8408-4A81-89DE-109A3D1F80A8}"/>
                </c:ext>
              </c:extLst>
            </c:dLbl>
            <c:dLbl>
              <c:idx val="47"/>
              <c:delete val="1"/>
              <c:extLst>
                <c:ext xmlns:c15="http://schemas.microsoft.com/office/drawing/2012/chart" uri="{CE6537A1-D6FC-4f65-9D91-7224C49458BB}"/>
                <c:ext xmlns:c16="http://schemas.microsoft.com/office/drawing/2014/chart" uri="{C3380CC4-5D6E-409C-BE32-E72D297353CC}">
                  <c16:uniqueId val="{00000031-8408-4A81-89DE-109A3D1F80A8}"/>
                </c:ext>
              </c:extLst>
            </c:dLbl>
            <c:dLbl>
              <c:idx val="48"/>
              <c:delete val="1"/>
              <c:extLst>
                <c:ext xmlns:c15="http://schemas.microsoft.com/office/drawing/2012/chart" uri="{CE6537A1-D6FC-4f65-9D91-7224C49458BB}"/>
                <c:ext xmlns:c16="http://schemas.microsoft.com/office/drawing/2014/chart" uri="{C3380CC4-5D6E-409C-BE32-E72D297353CC}">
                  <c16:uniqueId val="{00000032-8408-4A81-89DE-109A3D1F80A8}"/>
                </c:ext>
              </c:extLst>
            </c:dLbl>
            <c:dLbl>
              <c:idx val="49"/>
              <c:delete val="1"/>
              <c:extLst>
                <c:ext xmlns:c15="http://schemas.microsoft.com/office/drawing/2012/chart" uri="{CE6537A1-D6FC-4f65-9D91-7224C49458BB}"/>
                <c:ext xmlns:c16="http://schemas.microsoft.com/office/drawing/2014/chart" uri="{C3380CC4-5D6E-409C-BE32-E72D297353CC}">
                  <c16:uniqueId val="{00000033-8408-4A81-89DE-109A3D1F80A8}"/>
                </c:ext>
              </c:extLst>
            </c:dLbl>
            <c:dLbl>
              <c:idx val="50"/>
              <c:delete val="1"/>
              <c:extLst>
                <c:ext xmlns:c15="http://schemas.microsoft.com/office/drawing/2012/chart" uri="{CE6537A1-D6FC-4f65-9D91-7224C49458BB}"/>
                <c:ext xmlns:c16="http://schemas.microsoft.com/office/drawing/2014/chart" uri="{C3380CC4-5D6E-409C-BE32-E72D297353CC}">
                  <c16:uniqueId val="{00000034-8408-4A81-89DE-109A3D1F80A8}"/>
                </c:ext>
              </c:extLst>
            </c:dLbl>
            <c:dLbl>
              <c:idx val="51"/>
              <c:delete val="1"/>
              <c:extLst>
                <c:ext xmlns:c15="http://schemas.microsoft.com/office/drawing/2012/chart" uri="{CE6537A1-D6FC-4f65-9D91-7224C49458BB}"/>
                <c:ext xmlns:c16="http://schemas.microsoft.com/office/drawing/2014/chart" uri="{C3380CC4-5D6E-409C-BE32-E72D297353CC}">
                  <c16:uniqueId val="{00000035-8408-4A81-89DE-109A3D1F80A8}"/>
                </c:ext>
              </c:extLst>
            </c:dLbl>
            <c:dLbl>
              <c:idx val="52"/>
              <c:delete val="1"/>
              <c:extLst>
                <c:ext xmlns:c15="http://schemas.microsoft.com/office/drawing/2012/chart" uri="{CE6537A1-D6FC-4f65-9D91-7224C49458BB}"/>
                <c:ext xmlns:c16="http://schemas.microsoft.com/office/drawing/2014/chart" uri="{C3380CC4-5D6E-409C-BE32-E72D297353CC}">
                  <c16:uniqueId val="{00000036-8408-4A81-89DE-109A3D1F80A8}"/>
                </c:ext>
              </c:extLst>
            </c:dLbl>
            <c:dLbl>
              <c:idx val="53"/>
              <c:delete val="1"/>
              <c:extLst>
                <c:ext xmlns:c15="http://schemas.microsoft.com/office/drawing/2012/chart" uri="{CE6537A1-D6FC-4f65-9D91-7224C49458BB}"/>
                <c:ext xmlns:c16="http://schemas.microsoft.com/office/drawing/2014/chart" uri="{C3380CC4-5D6E-409C-BE32-E72D297353CC}">
                  <c16:uniqueId val="{00000037-8408-4A81-89DE-109A3D1F80A8}"/>
                </c:ext>
              </c:extLst>
            </c:dLbl>
            <c:dLbl>
              <c:idx val="54"/>
              <c:delete val="1"/>
              <c:extLst>
                <c:ext xmlns:c15="http://schemas.microsoft.com/office/drawing/2012/chart" uri="{CE6537A1-D6FC-4f65-9D91-7224C49458BB}"/>
                <c:ext xmlns:c16="http://schemas.microsoft.com/office/drawing/2014/chart" uri="{C3380CC4-5D6E-409C-BE32-E72D297353CC}">
                  <c16:uniqueId val="{00000038-8408-4A81-89DE-109A3D1F80A8}"/>
                </c:ext>
              </c:extLst>
            </c:dLbl>
            <c:dLbl>
              <c:idx val="55"/>
              <c:delete val="1"/>
              <c:extLst>
                <c:ext xmlns:c15="http://schemas.microsoft.com/office/drawing/2012/chart" uri="{CE6537A1-D6FC-4f65-9D91-7224C49458BB}"/>
                <c:ext xmlns:c16="http://schemas.microsoft.com/office/drawing/2014/chart" uri="{C3380CC4-5D6E-409C-BE32-E72D297353CC}">
                  <c16:uniqueId val="{00000039-8408-4A81-89DE-109A3D1F80A8}"/>
                </c:ext>
              </c:extLst>
            </c:dLbl>
            <c:dLbl>
              <c:idx val="56"/>
              <c:delete val="1"/>
              <c:extLst>
                <c:ext xmlns:c15="http://schemas.microsoft.com/office/drawing/2012/chart" uri="{CE6537A1-D6FC-4f65-9D91-7224C49458BB}"/>
                <c:ext xmlns:c16="http://schemas.microsoft.com/office/drawing/2014/chart" uri="{C3380CC4-5D6E-409C-BE32-E72D297353CC}">
                  <c16:uniqueId val="{0000003A-8408-4A81-89DE-109A3D1F80A8}"/>
                </c:ext>
              </c:extLst>
            </c:dLbl>
            <c:dLbl>
              <c:idx val="57"/>
              <c:delete val="1"/>
              <c:extLst>
                <c:ext xmlns:c15="http://schemas.microsoft.com/office/drawing/2012/chart" uri="{CE6537A1-D6FC-4f65-9D91-7224C49458BB}"/>
                <c:ext xmlns:c16="http://schemas.microsoft.com/office/drawing/2014/chart" uri="{C3380CC4-5D6E-409C-BE32-E72D297353CC}">
                  <c16:uniqueId val="{0000003B-8408-4A81-89DE-109A3D1F80A8}"/>
                </c:ext>
              </c:extLst>
            </c:dLbl>
            <c:dLbl>
              <c:idx val="58"/>
              <c:delete val="1"/>
              <c:extLst>
                <c:ext xmlns:c15="http://schemas.microsoft.com/office/drawing/2012/chart" uri="{CE6537A1-D6FC-4f65-9D91-7224C49458BB}"/>
                <c:ext xmlns:c16="http://schemas.microsoft.com/office/drawing/2014/chart" uri="{C3380CC4-5D6E-409C-BE32-E72D297353CC}">
                  <c16:uniqueId val="{0000003C-8408-4A81-89DE-109A3D1F80A8}"/>
                </c:ext>
              </c:extLst>
            </c:dLbl>
            <c:dLbl>
              <c:idx val="59"/>
              <c:delete val="1"/>
              <c:extLst>
                <c:ext xmlns:c15="http://schemas.microsoft.com/office/drawing/2012/chart" uri="{CE6537A1-D6FC-4f65-9D91-7224C49458BB}"/>
                <c:ext xmlns:c16="http://schemas.microsoft.com/office/drawing/2014/chart" uri="{C3380CC4-5D6E-409C-BE32-E72D297353CC}">
                  <c16:uniqueId val="{0000003D-8408-4A81-89DE-109A3D1F80A8}"/>
                </c:ext>
              </c:extLst>
            </c:dLbl>
            <c:dLbl>
              <c:idx val="60"/>
              <c:delete val="1"/>
              <c:extLst>
                <c:ext xmlns:c15="http://schemas.microsoft.com/office/drawing/2012/chart" uri="{CE6537A1-D6FC-4f65-9D91-7224C49458BB}"/>
                <c:ext xmlns:c16="http://schemas.microsoft.com/office/drawing/2014/chart" uri="{C3380CC4-5D6E-409C-BE32-E72D297353CC}">
                  <c16:uniqueId val="{0000003E-8408-4A81-89DE-109A3D1F80A8}"/>
                </c:ext>
              </c:extLst>
            </c:dLbl>
            <c:dLbl>
              <c:idx val="61"/>
              <c:delete val="1"/>
              <c:extLst>
                <c:ext xmlns:c15="http://schemas.microsoft.com/office/drawing/2012/chart" uri="{CE6537A1-D6FC-4f65-9D91-7224C49458BB}"/>
                <c:ext xmlns:c16="http://schemas.microsoft.com/office/drawing/2014/chart" uri="{C3380CC4-5D6E-409C-BE32-E72D297353CC}">
                  <c16:uniqueId val="{0000003F-8408-4A81-89DE-109A3D1F80A8}"/>
                </c:ext>
              </c:extLst>
            </c:dLbl>
            <c:dLbl>
              <c:idx val="62"/>
              <c:delete val="1"/>
              <c:extLst>
                <c:ext xmlns:c15="http://schemas.microsoft.com/office/drawing/2012/chart" uri="{CE6537A1-D6FC-4f65-9D91-7224C49458BB}"/>
                <c:ext xmlns:c16="http://schemas.microsoft.com/office/drawing/2014/chart" uri="{C3380CC4-5D6E-409C-BE32-E72D297353CC}">
                  <c16:uniqueId val="{00000040-8408-4A81-89DE-109A3D1F80A8}"/>
                </c:ext>
              </c:extLst>
            </c:dLbl>
            <c:dLbl>
              <c:idx val="63"/>
              <c:delete val="1"/>
              <c:extLst>
                <c:ext xmlns:c15="http://schemas.microsoft.com/office/drawing/2012/chart" uri="{CE6537A1-D6FC-4f65-9D91-7224C49458BB}"/>
                <c:ext xmlns:c16="http://schemas.microsoft.com/office/drawing/2014/chart" uri="{C3380CC4-5D6E-409C-BE32-E72D297353CC}">
                  <c16:uniqueId val="{00000041-8408-4A81-89DE-109A3D1F80A8}"/>
                </c:ext>
              </c:extLst>
            </c:dLbl>
            <c:dLbl>
              <c:idx val="64"/>
              <c:delete val="1"/>
              <c:extLst>
                <c:ext xmlns:c15="http://schemas.microsoft.com/office/drawing/2012/chart" uri="{CE6537A1-D6FC-4f65-9D91-7224C49458BB}"/>
                <c:ext xmlns:c16="http://schemas.microsoft.com/office/drawing/2014/chart" uri="{C3380CC4-5D6E-409C-BE32-E72D297353CC}">
                  <c16:uniqueId val="{00000042-8408-4A81-89DE-109A3D1F80A8}"/>
                </c:ext>
              </c:extLst>
            </c:dLbl>
            <c:dLbl>
              <c:idx val="65"/>
              <c:delete val="1"/>
              <c:extLst>
                <c:ext xmlns:c15="http://schemas.microsoft.com/office/drawing/2012/chart" uri="{CE6537A1-D6FC-4f65-9D91-7224C49458BB}"/>
                <c:ext xmlns:c16="http://schemas.microsoft.com/office/drawing/2014/chart" uri="{C3380CC4-5D6E-409C-BE32-E72D297353CC}">
                  <c16:uniqueId val="{00000043-8408-4A81-89DE-109A3D1F80A8}"/>
                </c:ext>
              </c:extLst>
            </c:dLbl>
            <c:dLbl>
              <c:idx val="66"/>
              <c:delete val="1"/>
              <c:extLst>
                <c:ext xmlns:c15="http://schemas.microsoft.com/office/drawing/2012/chart" uri="{CE6537A1-D6FC-4f65-9D91-7224C49458BB}"/>
                <c:ext xmlns:c16="http://schemas.microsoft.com/office/drawing/2014/chart" uri="{C3380CC4-5D6E-409C-BE32-E72D297353CC}">
                  <c16:uniqueId val="{00000044-8408-4A81-89DE-109A3D1F80A8}"/>
                </c:ext>
              </c:extLst>
            </c:dLbl>
            <c:dLbl>
              <c:idx val="67"/>
              <c:delete val="1"/>
              <c:extLst>
                <c:ext xmlns:c15="http://schemas.microsoft.com/office/drawing/2012/chart" uri="{CE6537A1-D6FC-4f65-9D91-7224C49458BB}"/>
                <c:ext xmlns:c16="http://schemas.microsoft.com/office/drawing/2014/chart" uri="{C3380CC4-5D6E-409C-BE32-E72D297353CC}">
                  <c16:uniqueId val="{00000045-8408-4A81-89DE-109A3D1F80A8}"/>
                </c:ext>
              </c:extLst>
            </c:dLbl>
            <c:dLbl>
              <c:idx val="68"/>
              <c:delete val="1"/>
              <c:extLst>
                <c:ext xmlns:c15="http://schemas.microsoft.com/office/drawing/2012/chart" uri="{CE6537A1-D6FC-4f65-9D91-7224C49458BB}"/>
                <c:ext xmlns:c16="http://schemas.microsoft.com/office/drawing/2014/chart" uri="{C3380CC4-5D6E-409C-BE32-E72D297353CC}">
                  <c16:uniqueId val="{00000046-8408-4A81-89DE-109A3D1F80A8}"/>
                </c:ext>
              </c:extLst>
            </c:dLbl>
            <c:dLbl>
              <c:idx val="69"/>
              <c:delete val="1"/>
              <c:extLst>
                <c:ext xmlns:c15="http://schemas.microsoft.com/office/drawing/2012/chart" uri="{CE6537A1-D6FC-4f65-9D91-7224C49458BB}"/>
                <c:ext xmlns:c16="http://schemas.microsoft.com/office/drawing/2014/chart" uri="{C3380CC4-5D6E-409C-BE32-E72D297353CC}">
                  <c16:uniqueId val="{00000047-8408-4A81-89DE-109A3D1F80A8}"/>
                </c:ext>
              </c:extLst>
            </c:dLbl>
            <c:dLbl>
              <c:idx val="70"/>
              <c:delete val="1"/>
              <c:extLst>
                <c:ext xmlns:c15="http://schemas.microsoft.com/office/drawing/2012/chart" uri="{CE6537A1-D6FC-4f65-9D91-7224C49458BB}"/>
                <c:ext xmlns:c16="http://schemas.microsoft.com/office/drawing/2014/chart" uri="{C3380CC4-5D6E-409C-BE32-E72D297353CC}">
                  <c16:uniqueId val="{00000048-8408-4A81-89DE-109A3D1F80A8}"/>
                </c:ext>
              </c:extLst>
            </c:dLbl>
            <c:dLbl>
              <c:idx val="71"/>
              <c:delete val="1"/>
              <c:extLst>
                <c:ext xmlns:c15="http://schemas.microsoft.com/office/drawing/2012/chart" uri="{CE6537A1-D6FC-4f65-9D91-7224C49458BB}"/>
                <c:ext xmlns:c16="http://schemas.microsoft.com/office/drawing/2014/chart" uri="{C3380CC4-5D6E-409C-BE32-E72D297353CC}">
                  <c16:uniqueId val="{00000049-8408-4A81-89DE-109A3D1F80A8}"/>
                </c:ext>
              </c:extLst>
            </c:dLbl>
            <c:dLbl>
              <c:idx val="72"/>
              <c:delete val="1"/>
              <c:extLst>
                <c:ext xmlns:c15="http://schemas.microsoft.com/office/drawing/2012/chart" uri="{CE6537A1-D6FC-4f65-9D91-7224C49458BB}"/>
                <c:ext xmlns:c16="http://schemas.microsoft.com/office/drawing/2014/chart" uri="{C3380CC4-5D6E-409C-BE32-E72D297353CC}">
                  <c16:uniqueId val="{0000004A-8408-4A81-89DE-109A3D1F80A8}"/>
                </c:ext>
              </c:extLst>
            </c:dLbl>
            <c:dLbl>
              <c:idx val="73"/>
              <c:delete val="1"/>
              <c:extLst>
                <c:ext xmlns:c15="http://schemas.microsoft.com/office/drawing/2012/chart" uri="{CE6537A1-D6FC-4f65-9D91-7224C49458BB}"/>
                <c:ext xmlns:c16="http://schemas.microsoft.com/office/drawing/2014/chart" uri="{C3380CC4-5D6E-409C-BE32-E72D297353CC}">
                  <c16:uniqueId val="{0000004B-8408-4A81-89DE-109A3D1F80A8}"/>
                </c:ext>
              </c:extLst>
            </c:dLbl>
            <c:dLbl>
              <c:idx val="74"/>
              <c:delete val="1"/>
              <c:extLst>
                <c:ext xmlns:c15="http://schemas.microsoft.com/office/drawing/2012/chart" uri="{CE6537A1-D6FC-4f65-9D91-7224C49458BB}"/>
                <c:ext xmlns:c16="http://schemas.microsoft.com/office/drawing/2014/chart" uri="{C3380CC4-5D6E-409C-BE32-E72D297353CC}">
                  <c16:uniqueId val="{0000004C-8408-4A81-89DE-109A3D1F80A8}"/>
                </c:ext>
              </c:extLst>
            </c:dLbl>
            <c:dLbl>
              <c:idx val="75"/>
              <c:delete val="1"/>
              <c:extLst>
                <c:ext xmlns:c15="http://schemas.microsoft.com/office/drawing/2012/chart" uri="{CE6537A1-D6FC-4f65-9D91-7224C49458BB}"/>
                <c:ext xmlns:c16="http://schemas.microsoft.com/office/drawing/2014/chart" uri="{C3380CC4-5D6E-409C-BE32-E72D297353CC}">
                  <c16:uniqueId val="{0000004D-8408-4A81-89DE-109A3D1F80A8}"/>
                </c:ext>
              </c:extLst>
            </c:dLbl>
            <c:dLbl>
              <c:idx val="76"/>
              <c:delete val="1"/>
              <c:extLst>
                <c:ext xmlns:c15="http://schemas.microsoft.com/office/drawing/2012/chart" uri="{CE6537A1-D6FC-4f65-9D91-7224C49458BB}"/>
                <c:ext xmlns:c16="http://schemas.microsoft.com/office/drawing/2014/chart" uri="{C3380CC4-5D6E-409C-BE32-E72D297353CC}">
                  <c16:uniqueId val="{0000004E-8408-4A81-89DE-109A3D1F80A8}"/>
                </c:ext>
              </c:extLst>
            </c:dLbl>
            <c:dLbl>
              <c:idx val="77"/>
              <c:delete val="1"/>
              <c:extLst>
                <c:ext xmlns:c15="http://schemas.microsoft.com/office/drawing/2012/chart" uri="{CE6537A1-D6FC-4f65-9D91-7224C49458BB}"/>
                <c:ext xmlns:c16="http://schemas.microsoft.com/office/drawing/2014/chart" uri="{C3380CC4-5D6E-409C-BE32-E72D297353CC}">
                  <c16:uniqueId val="{0000004F-8408-4A81-89DE-109A3D1F80A8}"/>
                </c:ext>
              </c:extLst>
            </c:dLbl>
            <c:dLbl>
              <c:idx val="78"/>
              <c:delete val="1"/>
              <c:extLst>
                <c:ext xmlns:c15="http://schemas.microsoft.com/office/drawing/2012/chart" uri="{CE6537A1-D6FC-4f65-9D91-7224C49458BB}"/>
                <c:ext xmlns:c16="http://schemas.microsoft.com/office/drawing/2014/chart" uri="{C3380CC4-5D6E-409C-BE32-E72D297353CC}">
                  <c16:uniqueId val="{00000050-8408-4A81-89DE-109A3D1F80A8}"/>
                </c:ext>
              </c:extLst>
            </c:dLbl>
            <c:dLbl>
              <c:idx val="79"/>
              <c:delete val="1"/>
              <c:extLst>
                <c:ext xmlns:c15="http://schemas.microsoft.com/office/drawing/2012/chart" uri="{CE6537A1-D6FC-4f65-9D91-7224C49458BB}"/>
                <c:ext xmlns:c16="http://schemas.microsoft.com/office/drawing/2014/chart" uri="{C3380CC4-5D6E-409C-BE32-E72D297353CC}">
                  <c16:uniqueId val="{00000051-8408-4A81-89DE-109A3D1F80A8}"/>
                </c:ext>
              </c:extLst>
            </c:dLbl>
            <c:dLbl>
              <c:idx val="80"/>
              <c:delete val="1"/>
              <c:extLst>
                <c:ext xmlns:c15="http://schemas.microsoft.com/office/drawing/2012/chart" uri="{CE6537A1-D6FC-4f65-9D91-7224C49458BB}"/>
                <c:ext xmlns:c16="http://schemas.microsoft.com/office/drawing/2014/chart" uri="{C3380CC4-5D6E-409C-BE32-E72D297353CC}">
                  <c16:uniqueId val="{00000052-8408-4A81-89DE-109A3D1F80A8}"/>
                </c:ext>
              </c:extLst>
            </c:dLbl>
            <c:dLbl>
              <c:idx val="81"/>
              <c:delete val="1"/>
              <c:extLst>
                <c:ext xmlns:c15="http://schemas.microsoft.com/office/drawing/2012/chart" uri="{CE6537A1-D6FC-4f65-9D91-7224C49458BB}"/>
                <c:ext xmlns:c16="http://schemas.microsoft.com/office/drawing/2014/chart" uri="{C3380CC4-5D6E-409C-BE32-E72D297353CC}">
                  <c16:uniqueId val="{00000053-8408-4A81-89DE-109A3D1F80A8}"/>
                </c:ext>
              </c:extLst>
            </c:dLbl>
            <c:dLbl>
              <c:idx val="82"/>
              <c:delete val="1"/>
              <c:extLst>
                <c:ext xmlns:c15="http://schemas.microsoft.com/office/drawing/2012/chart" uri="{CE6537A1-D6FC-4f65-9D91-7224C49458BB}"/>
                <c:ext xmlns:c16="http://schemas.microsoft.com/office/drawing/2014/chart" uri="{C3380CC4-5D6E-409C-BE32-E72D297353CC}">
                  <c16:uniqueId val="{00000054-8408-4A81-89DE-109A3D1F80A8}"/>
                </c:ext>
              </c:extLst>
            </c:dLbl>
            <c:dLbl>
              <c:idx val="83"/>
              <c:delete val="1"/>
              <c:extLst>
                <c:ext xmlns:c15="http://schemas.microsoft.com/office/drawing/2012/chart" uri="{CE6537A1-D6FC-4f65-9D91-7224C49458BB}"/>
                <c:ext xmlns:c16="http://schemas.microsoft.com/office/drawing/2014/chart" uri="{C3380CC4-5D6E-409C-BE32-E72D297353CC}">
                  <c16:uniqueId val="{00000055-8408-4A81-89DE-109A3D1F80A8}"/>
                </c:ext>
              </c:extLst>
            </c:dLbl>
            <c:dLbl>
              <c:idx val="84"/>
              <c:delete val="1"/>
              <c:extLst>
                <c:ext xmlns:c15="http://schemas.microsoft.com/office/drawing/2012/chart" uri="{CE6537A1-D6FC-4f65-9D91-7224C49458BB}"/>
                <c:ext xmlns:c16="http://schemas.microsoft.com/office/drawing/2014/chart" uri="{C3380CC4-5D6E-409C-BE32-E72D297353CC}">
                  <c16:uniqueId val="{00000056-8408-4A81-89DE-109A3D1F80A8}"/>
                </c:ext>
              </c:extLst>
            </c:dLbl>
            <c:dLbl>
              <c:idx val="85"/>
              <c:delete val="1"/>
              <c:extLst>
                <c:ext xmlns:c15="http://schemas.microsoft.com/office/drawing/2012/chart" uri="{CE6537A1-D6FC-4f65-9D91-7224C49458BB}"/>
                <c:ext xmlns:c16="http://schemas.microsoft.com/office/drawing/2014/chart" uri="{C3380CC4-5D6E-409C-BE32-E72D297353CC}">
                  <c16:uniqueId val="{00000057-8408-4A81-89DE-109A3D1F80A8}"/>
                </c:ext>
              </c:extLst>
            </c:dLbl>
            <c:dLbl>
              <c:idx val="86"/>
              <c:delete val="1"/>
              <c:extLst>
                <c:ext xmlns:c15="http://schemas.microsoft.com/office/drawing/2012/chart" uri="{CE6537A1-D6FC-4f65-9D91-7224C49458BB}"/>
                <c:ext xmlns:c16="http://schemas.microsoft.com/office/drawing/2014/chart" uri="{C3380CC4-5D6E-409C-BE32-E72D297353CC}">
                  <c16:uniqueId val="{00000058-8408-4A81-89DE-109A3D1F80A8}"/>
                </c:ext>
              </c:extLst>
            </c:dLbl>
            <c:dLbl>
              <c:idx val="87"/>
              <c:delete val="1"/>
              <c:extLst>
                <c:ext xmlns:c15="http://schemas.microsoft.com/office/drawing/2012/chart" uri="{CE6537A1-D6FC-4f65-9D91-7224C49458BB}"/>
                <c:ext xmlns:c16="http://schemas.microsoft.com/office/drawing/2014/chart" uri="{C3380CC4-5D6E-409C-BE32-E72D297353CC}">
                  <c16:uniqueId val="{00000059-8408-4A81-89DE-109A3D1F80A8}"/>
                </c:ext>
              </c:extLst>
            </c:dLbl>
            <c:dLbl>
              <c:idx val="88"/>
              <c:delete val="1"/>
              <c:extLst>
                <c:ext xmlns:c15="http://schemas.microsoft.com/office/drawing/2012/chart" uri="{CE6537A1-D6FC-4f65-9D91-7224C49458BB}"/>
                <c:ext xmlns:c16="http://schemas.microsoft.com/office/drawing/2014/chart" uri="{C3380CC4-5D6E-409C-BE32-E72D297353CC}">
                  <c16:uniqueId val="{0000005A-8408-4A81-89DE-109A3D1F80A8}"/>
                </c:ext>
              </c:extLst>
            </c:dLbl>
            <c:dLbl>
              <c:idx val="89"/>
              <c:delete val="1"/>
              <c:extLst>
                <c:ext xmlns:c15="http://schemas.microsoft.com/office/drawing/2012/chart" uri="{CE6537A1-D6FC-4f65-9D91-7224C49458BB}"/>
                <c:ext xmlns:c16="http://schemas.microsoft.com/office/drawing/2014/chart" uri="{C3380CC4-5D6E-409C-BE32-E72D297353CC}">
                  <c16:uniqueId val="{0000005B-8408-4A81-89DE-109A3D1F80A8}"/>
                </c:ext>
              </c:extLst>
            </c:dLbl>
            <c:dLbl>
              <c:idx val="90"/>
              <c:delete val="1"/>
              <c:extLst>
                <c:ext xmlns:c15="http://schemas.microsoft.com/office/drawing/2012/chart" uri="{CE6537A1-D6FC-4f65-9D91-7224C49458BB}"/>
                <c:ext xmlns:c16="http://schemas.microsoft.com/office/drawing/2014/chart" uri="{C3380CC4-5D6E-409C-BE32-E72D297353CC}">
                  <c16:uniqueId val="{0000005C-8408-4A81-89DE-109A3D1F80A8}"/>
                </c:ext>
              </c:extLst>
            </c:dLbl>
            <c:dLbl>
              <c:idx val="91"/>
              <c:delete val="1"/>
              <c:extLst>
                <c:ext xmlns:c15="http://schemas.microsoft.com/office/drawing/2012/chart" uri="{CE6537A1-D6FC-4f65-9D91-7224C49458BB}"/>
                <c:ext xmlns:c16="http://schemas.microsoft.com/office/drawing/2014/chart" uri="{C3380CC4-5D6E-409C-BE32-E72D297353CC}">
                  <c16:uniqueId val="{0000005D-8408-4A81-89DE-109A3D1F80A8}"/>
                </c:ext>
              </c:extLst>
            </c:dLbl>
            <c:dLbl>
              <c:idx val="92"/>
              <c:delete val="1"/>
              <c:extLst>
                <c:ext xmlns:c15="http://schemas.microsoft.com/office/drawing/2012/chart" uri="{CE6537A1-D6FC-4f65-9D91-7224C49458BB}"/>
                <c:ext xmlns:c16="http://schemas.microsoft.com/office/drawing/2014/chart" uri="{C3380CC4-5D6E-409C-BE32-E72D297353CC}">
                  <c16:uniqueId val="{0000005E-8408-4A81-89DE-109A3D1F80A8}"/>
                </c:ext>
              </c:extLst>
            </c:dLbl>
            <c:dLbl>
              <c:idx val="93"/>
              <c:delete val="1"/>
              <c:extLst>
                <c:ext xmlns:c15="http://schemas.microsoft.com/office/drawing/2012/chart" uri="{CE6537A1-D6FC-4f65-9D91-7224C49458BB}"/>
                <c:ext xmlns:c16="http://schemas.microsoft.com/office/drawing/2014/chart" uri="{C3380CC4-5D6E-409C-BE32-E72D297353CC}">
                  <c16:uniqueId val="{0000005F-8408-4A81-89DE-109A3D1F80A8}"/>
                </c:ext>
              </c:extLst>
            </c:dLbl>
            <c:dLbl>
              <c:idx val="94"/>
              <c:delete val="1"/>
              <c:extLst>
                <c:ext xmlns:c15="http://schemas.microsoft.com/office/drawing/2012/chart" uri="{CE6537A1-D6FC-4f65-9D91-7224C49458BB}"/>
                <c:ext xmlns:c16="http://schemas.microsoft.com/office/drawing/2014/chart" uri="{C3380CC4-5D6E-409C-BE32-E72D297353CC}">
                  <c16:uniqueId val="{00000060-8408-4A81-89DE-109A3D1F80A8}"/>
                </c:ext>
              </c:extLst>
            </c:dLbl>
            <c:dLbl>
              <c:idx val="95"/>
              <c:delete val="1"/>
              <c:extLst>
                <c:ext xmlns:c15="http://schemas.microsoft.com/office/drawing/2012/chart" uri="{CE6537A1-D6FC-4f65-9D91-7224C49458BB}"/>
                <c:ext xmlns:c16="http://schemas.microsoft.com/office/drawing/2014/chart" uri="{C3380CC4-5D6E-409C-BE32-E72D297353CC}">
                  <c16:uniqueId val="{00000061-8408-4A81-89DE-109A3D1F80A8}"/>
                </c:ext>
              </c:extLst>
            </c:dLbl>
            <c:dLbl>
              <c:idx val="96"/>
              <c:delete val="1"/>
              <c:extLst>
                <c:ext xmlns:c15="http://schemas.microsoft.com/office/drawing/2012/chart" uri="{CE6537A1-D6FC-4f65-9D91-7224C49458BB}"/>
                <c:ext xmlns:c16="http://schemas.microsoft.com/office/drawing/2014/chart" uri="{C3380CC4-5D6E-409C-BE32-E72D297353CC}">
                  <c16:uniqueId val="{00000062-8408-4A81-89DE-109A3D1F80A8}"/>
                </c:ext>
              </c:extLst>
            </c:dLbl>
            <c:dLbl>
              <c:idx val="97"/>
              <c:delete val="1"/>
              <c:extLst>
                <c:ext xmlns:c15="http://schemas.microsoft.com/office/drawing/2012/chart" uri="{CE6537A1-D6FC-4f65-9D91-7224C49458BB}"/>
                <c:ext xmlns:c16="http://schemas.microsoft.com/office/drawing/2014/chart" uri="{C3380CC4-5D6E-409C-BE32-E72D297353CC}">
                  <c16:uniqueId val="{00000063-8408-4A81-89DE-109A3D1F80A8}"/>
                </c:ext>
              </c:extLst>
            </c:dLbl>
            <c:dLbl>
              <c:idx val="98"/>
              <c:delete val="1"/>
              <c:extLst>
                <c:ext xmlns:c15="http://schemas.microsoft.com/office/drawing/2012/chart" uri="{CE6537A1-D6FC-4f65-9D91-7224C49458BB}"/>
                <c:ext xmlns:c16="http://schemas.microsoft.com/office/drawing/2014/chart" uri="{C3380CC4-5D6E-409C-BE32-E72D297353CC}">
                  <c16:uniqueId val="{00000064-8408-4A81-89DE-109A3D1F80A8}"/>
                </c:ext>
              </c:extLst>
            </c:dLbl>
            <c:dLbl>
              <c:idx val="99"/>
              <c:delete val="1"/>
              <c:extLst>
                <c:ext xmlns:c15="http://schemas.microsoft.com/office/drawing/2012/chart" uri="{CE6537A1-D6FC-4f65-9D91-7224C49458BB}"/>
                <c:ext xmlns:c16="http://schemas.microsoft.com/office/drawing/2014/chart" uri="{C3380CC4-5D6E-409C-BE32-E72D297353CC}">
                  <c16:uniqueId val="{00000065-8408-4A81-89DE-109A3D1F80A8}"/>
                </c:ext>
              </c:extLst>
            </c:dLbl>
            <c:dLbl>
              <c:idx val="100"/>
              <c:delete val="1"/>
              <c:extLst>
                <c:ext xmlns:c15="http://schemas.microsoft.com/office/drawing/2012/chart" uri="{CE6537A1-D6FC-4f65-9D91-7224C49458BB}"/>
                <c:ext xmlns:c16="http://schemas.microsoft.com/office/drawing/2014/chart" uri="{C3380CC4-5D6E-409C-BE32-E72D297353CC}">
                  <c16:uniqueId val="{00000066-8408-4A81-89DE-109A3D1F80A8}"/>
                </c:ext>
              </c:extLst>
            </c:dLbl>
            <c:dLbl>
              <c:idx val="101"/>
              <c:delete val="1"/>
              <c:extLst>
                <c:ext xmlns:c15="http://schemas.microsoft.com/office/drawing/2012/chart" uri="{CE6537A1-D6FC-4f65-9D91-7224C49458BB}"/>
                <c:ext xmlns:c16="http://schemas.microsoft.com/office/drawing/2014/chart" uri="{C3380CC4-5D6E-409C-BE32-E72D297353CC}">
                  <c16:uniqueId val="{00000067-8408-4A81-89DE-109A3D1F80A8}"/>
                </c:ext>
              </c:extLst>
            </c:dLbl>
            <c:dLbl>
              <c:idx val="102"/>
              <c:delete val="1"/>
              <c:extLst>
                <c:ext xmlns:c15="http://schemas.microsoft.com/office/drawing/2012/chart" uri="{CE6537A1-D6FC-4f65-9D91-7224C49458BB}"/>
                <c:ext xmlns:c16="http://schemas.microsoft.com/office/drawing/2014/chart" uri="{C3380CC4-5D6E-409C-BE32-E72D297353CC}">
                  <c16:uniqueId val="{00000068-8408-4A81-89DE-109A3D1F80A8}"/>
                </c:ext>
              </c:extLst>
            </c:dLbl>
            <c:dLbl>
              <c:idx val="103"/>
              <c:delete val="1"/>
              <c:extLst>
                <c:ext xmlns:c15="http://schemas.microsoft.com/office/drawing/2012/chart" uri="{CE6537A1-D6FC-4f65-9D91-7224C49458BB}"/>
                <c:ext xmlns:c16="http://schemas.microsoft.com/office/drawing/2014/chart" uri="{C3380CC4-5D6E-409C-BE32-E72D297353CC}">
                  <c16:uniqueId val="{00000069-8408-4A81-89DE-109A3D1F80A8}"/>
                </c:ext>
              </c:extLst>
            </c:dLbl>
            <c:dLbl>
              <c:idx val="104"/>
              <c:delete val="1"/>
              <c:extLst>
                <c:ext xmlns:c15="http://schemas.microsoft.com/office/drawing/2012/chart" uri="{CE6537A1-D6FC-4f65-9D91-7224C49458BB}"/>
                <c:ext xmlns:c16="http://schemas.microsoft.com/office/drawing/2014/chart" uri="{C3380CC4-5D6E-409C-BE32-E72D297353CC}">
                  <c16:uniqueId val="{0000006A-8408-4A81-89DE-109A3D1F80A8}"/>
                </c:ext>
              </c:extLst>
            </c:dLbl>
            <c:dLbl>
              <c:idx val="105"/>
              <c:delete val="1"/>
              <c:extLst>
                <c:ext xmlns:c15="http://schemas.microsoft.com/office/drawing/2012/chart" uri="{CE6537A1-D6FC-4f65-9D91-7224C49458BB}"/>
                <c:ext xmlns:c16="http://schemas.microsoft.com/office/drawing/2014/chart" uri="{C3380CC4-5D6E-409C-BE32-E72D297353CC}">
                  <c16:uniqueId val="{0000006B-8408-4A81-89DE-109A3D1F80A8}"/>
                </c:ext>
              </c:extLst>
            </c:dLbl>
            <c:dLbl>
              <c:idx val="106"/>
              <c:delete val="1"/>
              <c:extLst>
                <c:ext xmlns:c15="http://schemas.microsoft.com/office/drawing/2012/chart" uri="{CE6537A1-D6FC-4f65-9D91-7224C49458BB}"/>
                <c:ext xmlns:c16="http://schemas.microsoft.com/office/drawing/2014/chart" uri="{C3380CC4-5D6E-409C-BE32-E72D297353CC}">
                  <c16:uniqueId val="{0000006C-8408-4A81-89DE-109A3D1F80A8}"/>
                </c:ext>
              </c:extLst>
            </c:dLbl>
            <c:dLbl>
              <c:idx val="107"/>
              <c:delete val="1"/>
              <c:extLst>
                <c:ext xmlns:c15="http://schemas.microsoft.com/office/drawing/2012/chart" uri="{CE6537A1-D6FC-4f65-9D91-7224C49458BB}"/>
                <c:ext xmlns:c16="http://schemas.microsoft.com/office/drawing/2014/chart" uri="{C3380CC4-5D6E-409C-BE32-E72D297353CC}">
                  <c16:uniqueId val="{0000006D-8408-4A81-89DE-109A3D1F80A8}"/>
                </c:ext>
              </c:extLst>
            </c:dLbl>
            <c:dLbl>
              <c:idx val="108"/>
              <c:delete val="1"/>
              <c:extLst>
                <c:ext xmlns:c15="http://schemas.microsoft.com/office/drawing/2012/chart" uri="{CE6537A1-D6FC-4f65-9D91-7224C49458BB}"/>
                <c:ext xmlns:c16="http://schemas.microsoft.com/office/drawing/2014/chart" uri="{C3380CC4-5D6E-409C-BE32-E72D297353CC}">
                  <c16:uniqueId val="{0000006E-8408-4A81-89DE-109A3D1F80A8}"/>
                </c:ext>
              </c:extLst>
            </c:dLbl>
            <c:dLbl>
              <c:idx val="109"/>
              <c:delete val="1"/>
              <c:extLst>
                <c:ext xmlns:c15="http://schemas.microsoft.com/office/drawing/2012/chart" uri="{CE6537A1-D6FC-4f65-9D91-7224C49458BB}"/>
                <c:ext xmlns:c16="http://schemas.microsoft.com/office/drawing/2014/chart" uri="{C3380CC4-5D6E-409C-BE32-E72D297353CC}">
                  <c16:uniqueId val="{0000006F-8408-4A81-89DE-109A3D1F80A8}"/>
                </c:ext>
              </c:extLst>
            </c:dLbl>
            <c:dLbl>
              <c:idx val="110"/>
              <c:delete val="1"/>
              <c:extLst>
                <c:ext xmlns:c15="http://schemas.microsoft.com/office/drawing/2012/chart" uri="{CE6537A1-D6FC-4f65-9D91-7224C49458BB}"/>
                <c:ext xmlns:c16="http://schemas.microsoft.com/office/drawing/2014/chart" uri="{C3380CC4-5D6E-409C-BE32-E72D297353CC}">
                  <c16:uniqueId val="{00000070-8408-4A81-89DE-109A3D1F80A8}"/>
                </c:ext>
              </c:extLst>
            </c:dLbl>
            <c:dLbl>
              <c:idx val="111"/>
              <c:delete val="1"/>
              <c:extLst>
                <c:ext xmlns:c15="http://schemas.microsoft.com/office/drawing/2012/chart" uri="{CE6537A1-D6FC-4f65-9D91-7224C49458BB}"/>
                <c:ext xmlns:c16="http://schemas.microsoft.com/office/drawing/2014/chart" uri="{C3380CC4-5D6E-409C-BE32-E72D297353CC}">
                  <c16:uniqueId val="{00000071-8408-4A81-89DE-109A3D1F80A8}"/>
                </c:ext>
              </c:extLst>
            </c:dLbl>
            <c:dLbl>
              <c:idx val="112"/>
              <c:delete val="1"/>
              <c:extLst>
                <c:ext xmlns:c15="http://schemas.microsoft.com/office/drawing/2012/chart" uri="{CE6537A1-D6FC-4f65-9D91-7224C49458BB}"/>
                <c:ext xmlns:c16="http://schemas.microsoft.com/office/drawing/2014/chart" uri="{C3380CC4-5D6E-409C-BE32-E72D297353CC}">
                  <c16:uniqueId val="{00000072-8408-4A81-89DE-109A3D1F80A8}"/>
                </c:ext>
              </c:extLst>
            </c:dLbl>
            <c:dLbl>
              <c:idx val="113"/>
              <c:delete val="1"/>
              <c:extLst>
                <c:ext xmlns:c15="http://schemas.microsoft.com/office/drawing/2012/chart" uri="{CE6537A1-D6FC-4f65-9D91-7224C49458BB}"/>
                <c:ext xmlns:c16="http://schemas.microsoft.com/office/drawing/2014/chart" uri="{C3380CC4-5D6E-409C-BE32-E72D297353CC}">
                  <c16:uniqueId val="{00000073-8408-4A81-89DE-109A3D1F80A8}"/>
                </c:ext>
              </c:extLst>
            </c:dLbl>
            <c:dLbl>
              <c:idx val="114"/>
              <c:delete val="1"/>
              <c:extLst>
                <c:ext xmlns:c15="http://schemas.microsoft.com/office/drawing/2012/chart" uri="{CE6537A1-D6FC-4f65-9D91-7224C49458BB}"/>
                <c:ext xmlns:c16="http://schemas.microsoft.com/office/drawing/2014/chart" uri="{C3380CC4-5D6E-409C-BE32-E72D297353CC}">
                  <c16:uniqueId val="{00000074-8408-4A81-89DE-109A3D1F80A8}"/>
                </c:ext>
              </c:extLst>
            </c:dLbl>
            <c:dLbl>
              <c:idx val="115"/>
              <c:delete val="1"/>
              <c:extLst>
                <c:ext xmlns:c15="http://schemas.microsoft.com/office/drawing/2012/chart" uri="{CE6537A1-D6FC-4f65-9D91-7224C49458BB}"/>
                <c:ext xmlns:c16="http://schemas.microsoft.com/office/drawing/2014/chart" uri="{C3380CC4-5D6E-409C-BE32-E72D297353CC}">
                  <c16:uniqueId val="{00000075-8408-4A81-89DE-109A3D1F80A8}"/>
                </c:ext>
              </c:extLst>
            </c:dLbl>
            <c:dLbl>
              <c:idx val="116"/>
              <c:delete val="1"/>
              <c:extLst>
                <c:ext xmlns:c15="http://schemas.microsoft.com/office/drawing/2012/chart" uri="{CE6537A1-D6FC-4f65-9D91-7224C49458BB}"/>
                <c:ext xmlns:c16="http://schemas.microsoft.com/office/drawing/2014/chart" uri="{C3380CC4-5D6E-409C-BE32-E72D297353CC}">
                  <c16:uniqueId val="{00000076-8408-4A81-89DE-109A3D1F80A8}"/>
                </c:ext>
              </c:extLst>
            </c:dLbl>
            <c:dLbl>
              <c:idx val="117"/>
              <c:delete val="1"/>
              <c:extLst>
                <c:ext xmlns:c15="http://schemas.microsoft.com/office/drawing/2012/chart" uri="{CE6537A1-D6FC-4f65-9D91-7224C49458BB}"/>
                <c:ext xmlns:c16="http://schemas.microsoft.com/office/drawing/2014/chart" uri="{C3380CC4-5D6E-409C-BE32-E72D297353CC}">
                  <c16:uniqueId val="{00000077-8408-4A81-89DE-109A3D1F80A8}"/>
                </c:ext>
              </c:extLst>
            </c:dLbl>
            <c:dLbl>
              <c:idx val="118"/>
              <c:delete val="1"/>
              <c:extLst>
                <c:ext xmlns:c15="http://schemas.microsoft.com/office/drawing/2012/chart" uri="{CE6537A1-D6FC-4f65-9D91-7224C49458BB}"/>
                <c:ext xmlns:c16="http://schemas.microsoft.com/office/drawing/2014/chart" uri="{C3380CC4-5D6E-409C-BE32-E72D297353CC}">
                  <c16:uniqueId val="{00000078-8408-4A81-89DE-109A3D1F80A8}"/>
                </c:ext>
              </c:extLst>
            </c:dLbl>
            <c:dLbl>
              <c:idx val="119"/>
              <c:delete val="1"/>
              <c:extLst>
                <c:ext xmlns:c15="http://schemas.microsoft.com/office/drawing/2012/chart" uri="{CE6537A1-D6FC-4f65-9D91-7224C49458BB}"/>
                <c:ext xmlns:c16="http://schemas.microsoft.com/office/drawing/2014/chart" uri="{C3380CC4-5D6E-409C-BE32-E72D297353CC}">
                  <c16:uniqueId val="{00000079-8408-4A81-89DE-109A3D1F80A8}"/>
                </c:ext>
              </c:extLst>
            </c:dLbl>
            <c:dLbl>
              <c:idx val="120"/>
              <c:delete val="1"/>
              <c:extLst>
                <c:ext xmlns:c15="http://schemas.microsoft.com/office/drawing/2012/chart" uri="{CE6537A1-D6FC-4f65-9D91-7224C49458BB}"/>
                <c:ext xmlns:c16="http://schemas.microsoft.com/office/drawing/2014/chart" uri="{C3380CC4-5D6E-409C-BE32-E72D297353CC}">
                  <c16:uniqueId val="{0000007A-8408-4A81-89DE-109A3D1F80A8}"/>
                </c:ext>
              </c:extLst>
            </c:dLbl>
            <c:dLbl>
              <c:idx val="121"/>
              <c:delete val="1"/>
              <c:extLst>
                <c:ext xmlns:c15="http://schemas.microsoft.com/office/drawing/2012/chart" uri="{CE6537A1-D6FC-4f65-9D91-7224C49458BB}"/>
                <c:ext xmlns:c16="http://schemas.microsoft.com/office/drawing/2014/chart" uri="{C3380CC4-5D6E-409C-BE32-E72D297353CC}">
                  <c16:uniqueId val="{0000007B-8408-4A81-89DE-109A3D1F80A8}"/>
                </c:ext>
              </c:extLst>
            </c:dLbl>
            <c:dLbl>
              <c:idx val="122"/>
              <c:delete val="1"/>
              <c:extLst>
                <c:ext xmlns:c15="http://schemas.microsoft.com/office/drawing/2012/chart" uri="{CE6537A1-D6FC-4f65-9D91-7224C49458BB}"/>
                <c:ext xmlns:c16="http://schemas.microsoft.com/office/drawing/2014/chart" uri="{C3380CC4-5D6E-409C-BE32-E72D297353CC}">
                  <c16:uniqueId val="{0000007C-8408-4A81-89DE-109A3D1F80A8}"/>
                </c:ext>
              </c:extLst>
            </c:dLbl>
            <c:dLbl>
              <c:idx val="123"/>
              <c:delete val="1"/>
              <c:extLst>
                <c:ext xmlns:c15="http://schemas.microsoft.com/office/drawing/2012/chart" uri="{CE6537A1-D6FC-4f65-9D91-7224C49458BB}"/>
                <c:ext xmlns:c16="http://schemas.microsoft.com/office/drawing/2014/chart" uri="{C3380CC4-5D6E-409C-BE32-E72D297353CC}">
                  <c16:uniqueId val="{0000007D-8408-4A81-89DE-109A3D1F80A8}"/>
                </c:ext>
              </c:extLst>
            </c:dLbl>
            <c:dLbl>
              <c:idx val="124"/>
              <c:delete val="1"/>
              <c:extLst>
                <c:ext xmlns:c15="http://schemas.microsoft.com/office/drawing/2012/chart" uri="{CE6537A1-D6FC-4f65-9D91-7224C49458BB}"/>
                <c:ext xmlns:c16="http://schemas.microsoft.com/office/drawing/2014/chart" uri="{C3380CC4-5D6E-409C-BE32-E72D297353CC}">
                  <c16:uniqueId val="{0000007E-8408-4A81-89DE-109A3D1F80A8}"/>
                </c:ext>
              </c:extLst>
            </c:dLbl>
            <c:dLbl>
              <c:idx val="125"/>
              <c:delete val="1"/>
              <c:extLst>
                <c:ext xmlns:c15="http://schemas.microsoft.com/office/drawing/2012/chart" uri="{CE6537A1-D6FC-4f65-9D91-7224C49458BB}"/>
                <c:ext xmlns:c16="http://schemas.microsoft.com/office/drawing/2014/chart" uri="{C3380CC4-5D6E-409C-BE32-E72D297353CC}">
                  <c16:uniqueId val="{0000007F-8408-4A81-89DE-109A3D1F80A8}"/>
                </c:ext>
              </c:extLst>
            </c:dLbl>
            <c:dLbl>
              <c:idx val="126"/>
              <c:delete val="1"/>
              <c:extLst>
                <c:ext xmlns:c15="http://schemas.microsoft.com/office/drawing/2012/chart" uri="{CE6537A1-D6FC-4f65-9D91-7224C49458BB}"/>
                <c:ext xmlns:c16="http://schemas.microsoft.com/office/drawing/2014/chart" uri="{C3380CC4-5D6E-409C-BE32-E72D297353CC}">
                  <c16:uniqueId val="{00000080-8408-4A81-89DE-109A3D1F80A8}"/>
                </c:ext>
              </c:extLst>
            </c:dLbl>
            <c:dLbl>
              <c:idx val="127"/>
              <c:delete val="1"/>
              <c:extLst>
                <c:ext xmlns:c15="http://schemas.microsoft.com/office/drawing/2012/chart" uri="{CE6537A1-D6FC-4f65-9D91-7224C49458BB}"/>
                <c:ext xmlns:c16="http://schemas.microsoft.com/office/drawing/2014/chart" uri="{C3380CC4-5D6E-409C-BE32-E72D297353CC}">
                  <c16:uniqueId val="{00000081-8408-4A81-89DE-109A3D1F80A8}"/>
                </c:ext>
              </c:extLst>
            </c:dLbl>
            <c:dLbl>
              <c:idx val="128"/>
              <c:delete val="1"/>
              <c:extLst>
                <c:ext xmlns:c15="http://schemas.microsoft.com/office/drawing/2012/chart" uri="{CE6537A1-D6FC-4f65-9D91-7224C49458BB}"/>
                <c:ext xmlns:c16="http://schemas.microsoft.com/office/drawing/2014/chart" uri="{C3380CC4-5D6E-409C-BE32-E72D297353CC}">
                  <c16:uniqueId val="{00000082-8408-4A81-89DE-109A3D1F80A8}"/>
                </c:ext>
              </c:extLst>
            </c:dLbl>
            <c:dLbl>
              <c:idx val="129"/>
              <c:delete val="1"/>
              <c:extLst>
                <c:ext xmlns:c15="http://schemas.microsoft.com/office/drawing/2012/chart" uri="{CE6537A1-D6FC-4f65-9D91-7224C49458BB}"/>
                <c:ext xmlns:c16="http://schemas.microsoft.com/office/drawing/2014/chart" uri="{C3380CC4-5D6E-409C-BE32-E72D297353CC}">
                  <c16:uniqueId val="{00000083-8408-4A81-89DE-109A3D1F80A8}"/>
                </c:ext>
              </c:extLst>
            </c:dLbl>
            <c:dLbl>
              <c:idx val="130"/>
              <c:delete val="1"/>
              <c:extLst>
                <c:ext xmlns:c15="http://schemas.microsoft.com/office/drawing/2012/chart" uri="{CE6537A1-D6FC-4f65-9D91-7224C49458BB}"/>
                <c:ext xmlns:c16="http://schemas.microsoft.com/office/drawing/2014/chart" uri="{C3380CC4-5D6E-409C-BE32-E72D297353CC}">
                  <c16:uniqueId val="{00000084-8408-4A81-89DE-109A3D1F80A8}"/>
                </c:ext>
              </c:extLst>
            </c:dLbl>
            <c:dLbl>
              <c:idx val="131"/>
              <c:delete val="1"/>
              <c:extLst>
                <c:ext xmlns:c15="http://schemas.microsoft.com/office/drawing/2012/chart" uri="{CE6537A1-D6FC-4f65-9D91-7224C49458BB}"/>
                <c:ext xmlns:c16="http://schemas.microsoft.com/office/drawing/2014/chart" uri="{C3380CC4-5D6E-409C-BE32-E72D297353CC}">
                  <c16:uniqueId val="{00000085-8408-4A81-89DE-109A3D1F80A8}"/>
                </c:ext>
              </c:extLst>
            </c:dLbl>
            <c:dLbl>
              <c:idx val="132"/>
              <c:delete val="1"/>
              <c:extLst>
                <c:ext xmlns:c15="http://schemas.microsoft.com/office/drawing/2012/chart" uri="{CE6537A1-D6FC-4f65-9D91-7224C49458BB}"/>
                <c:ext xmlns:c16="http://schemas.microsoft.com/office/drawing/2014/chart" uri="{C3380CC4-5D6E-409C-BE32-E72D297353CC}">
                  <c16:uniqueId val="{00000086-8408-4A81-89DE-109A3D1F80A8}"/>
                </c:ext>
              </c:extLst>
            </c:dLbl>
            <c:dLbl>
              <c:idx val="133"/>
              <c:delete val="1"/>
              <c:extLst>
                <c:ext xmlns:c15="http://schemas.microsoft.com/office/drawing/2012/chart" uri="{CE6537A1-D6FC-4f65-9D91-7224C49458BB}"/>
                <c:ext xmlns:c16="http://schemas.microsoft.com/office/drawing/2014/chart" uri="{C3380CC4-5D6E-409C-BE32-E72D297353CC}">
                  <c16:uniqueId val="{00000087-8408-4A81-89DE-109A3D1F80A8}"/>
                </c:ext>
              </c:extLst>
            </c:dLbl>
            <c:dLbl>
              <c:idx val="134"/>
              <c:delete val="1"/>
              <c:extLst>
                <c:ext xmlns:c15="http://schemas.microsoft.com/office/drawing/2012/chart" uri="{CE6537A1-D6FC-4f65-9D91-7224C49458BB}"/>
                <c:ext xmlns:c16="http://schemas.microsoft.com/office/drawing/2014/chart" uri="{C3380CC4-5D6E-409C-BE32-E72D297353CC}">
                  <c16:uniqueId val="{00000088-8408-4A81-89DE-109A3D1F80A8}"/>
                </c:ext>
              </c:extLst>
            </c:dLbl>
            <c:dLbl>
              <c:idx val="135"/>
              <c:delete val="1"/>
              <c:extLst>
                <c:ext xmlns:c15="http://schemas.microsoft.com/office/drawing/2012/chart" uri="{CE6537A1-D6FC-4f65-9D91-7224C49458BB}"/>
                <c:ext xmlns:c16="http://schemas.microsoft.com/office/drawing/2014/chart" uri="{C3380CC4-5D6E-409C-BE32-E72D297353CC}">
                  <c16:uniqueId val="{00000089-8408-4A81-89DE-109A3D1F80A8}"/>
                </c:ext>
              </c:extLst>
            </c:dLbl>
            <c:dLbl>
              <c:idx val="136"/>
              <c:delete val="1"/>
              <c:extLst>
                <c:ext xmlns:c15="http://schemas.microsoft.com/office/drawing/2012/chart" uri="{CE6537A1-D6FC-4f65-9D91-7224C49458BB}"/>
                <c:ext xmlns:c16="http://schemas.microsoft.com/office/drawing/2014/chart" uri="{C3380CC4-5D6E-409C-BE32-E72D297353CC}">
                  <c16:uniqueId val="{0000008A-8408-4A81-89DE-109A3D1F80A8}"/>
                </c:ext>
              </c:extLst>
            </c:dLbl>
            <c:dLbl>
              <c:idx val="137"/>
              <c:delete val="1"/>
              <c:extLst>
                <c:ext xmlns:c15="http://schemas.microsoft.com/office/drawing/2012/chart" uri="{CE6537A1-D6FC-4f65-9D91-7224C49458BB}"/>
                <c:ext xmlns:c16="http://schemas.microsoft.com/office/drawing/2014/chart" uri="{C3380CC4-5D6E-409C-BE32-E72D297353CC}">
                  <c16:uniqueId val="{0000008B-8408-4A81-89DE-109A3D1F80A8}"/>
                </c:ext>
              </c:extLst>
            </c:dLbl>
            <c:dLbl>
              <c:idx val="138"/>
              <c:delete val="1"/>
              <c:extLst>
                <c:ext xmlns:c15="http://schemas.microsoft.com/office/drawing/2012/chart" uri="{CE6537A1-D6FC-4f65-9D91-7224C49458BB}"/>
                <c:ext xmlns:c16="http://schemas.microsoft.com/office/drawing/2014/chart" uri="{C3380CC4-5D6E-409C-BE32-E72D297353CC}">
                  <c16:uniqueId val="{0000008C-8408-4A81-89DE-109A3D1F80A8}"/>
                </c:ext>
              </c:extLst>
            </c:dLbl>
            <c:dLbl>
              <c:idx val="139"/>
              <c:delete val="1"/>
              <c:extLst>
                <c:ext xmlns:c15="http://schemas.microsoft.com/office/drawing/2012/chart" uri="{CE6537A1-D6FC-4f65-9D91-7224C49458BB}"/>
                <c:ext xmlns:c16="http://schemas.microsoft.com/office/drawing/2014/chart" uri="{C3380CC4-5D6E-409C-BE32-E72D297353CC}">
                  <c16:uniqueId val="{0000008D-8408-4A81-89DE-109A3D1F80A8}"/>
                </c:ext>
              </c:extLst>
            </c:dLbl>
            <c:dLbl>
              <c:idx val="140"/>
              <c:delete val="1"/>
              <c:extLst>
                <c:ext xmlns:c15="http://schemas.microsoft.com/office/drawing/2012/chart" uri="{CE6537A1-D6FC-4f65-9D91-7224C49458BB}"/>
                <c:ext xmlns:c16="http://schemas.microsoft.com/office/drawing/2014/chart" uri="{C3380CC4-5D6E-409C-BE32-E72D297353CC}">
                  <c16:uniqueId val="{0000008E-8408-4A81-89DE-109A3D1F80A8}"/>
                </c:ext>
              </c:extLst>
            </c:dLbl>
            <c:dLbl>
              <c:idx val="141"/>
              <c:delete val="1"/>
              <c:extLst>
                <c:ext xmlns:c15="http://schemas.microsoft.com/office/drawing/2012/chart" uri="{CE6537A1-D6FC-4f65-9D91-7224C49458BB}"/>
                <c:ext xmlns:c16="http://schemas.microsoft.com/office/drawing/2014/chart" uri="{C3380CC4-5D6E-409C-BE32-E72D297353CC}">
                  <c16:uniqueId val="{0000008F-8408-4A81-89DE-109A3D1F80A8}"/>
                </c:ext>
              </c:extLst>
            </c:dLbl>
            <c:dLbl>
              <c:idx val="142"/>
              <c:delete val="1"/>
              <c:extLst>
                <c:ext xmlns:c15="http://schemas.microsoft.com/office/drawing/2012/chart" uri="{CE6537A1-D6FC-4f65-9D91-7224C49458BB}"/>
                <c:ext xmlns:c16="http://schemas.microsoft.com/office/drawing/2014/chart" uri="{C3380CC4-5D6E-409C-BE32-E72D297353CC}">
                  <c16:uniqueId val="{00000090-8408-4A81-89DE-109A3D1F80A8}"/>
                </c:ext>
              </c:extLst>
            </c:dLbl>
            <c:dLbl>
              <c:idx val="143"/>
              <c:delete val="1"/>
              <c:extLst>
                <c:ext xmlns:c15="http://schemas.microsoft.com/office/drawing/2012/chart" uri="{CE6537A1-D6FC-4f65-9D91-7224C49458BB}"/>
                <c:ext xmlns:c16="http://schemas.microsoft.com/office/drawing/2014/chart" uri="{C3380CC4-5D6E-409C-BE32-E72D297353CC}">
                  <c16:uniqueId val="{00000091-8408-4A81-89DE-109A3D1F80A8}"/>
                </c:ext>
              </c:extLst>
            </c:dLbl>
            <c:dLbl>
              <c:idx val="144"/>
              <c:delete val="1"/>
              <c:extLst>
                <c:ext xmlns:c15="http://schemas.microsoft.com/office/drawing/2012/chart" uri="{CE6537A1-D6FC-4f65-9D91-7224C49458BB}"/>
                <c:ext xmlns:c16="http://schemas.microsoft.com/office/drawing/2014/chart" uri="{C3380CC4-5D6E-409C-BE32-E72D297353CC}">
                  <c16:uniqueId val="{00000092-8408-4A81-89DE-109A3D1F80A8}"/>
                </c:ext>
              </c:extLst>
            </c:dLbl>
            <c:dLbl>
              <c:idx val="145"/>
              <c:delete val="1"/>
              <c:extLst>
                <c:ext xmlns:c15="http://schemas.microsoft.com/office/drawing/2012/chart" uri="{CE6537A1-D6FC-4f65-9D91-7224C49458BB}"/>
                <c:ext xmlns:c16="http://schemas.microsoft.com/office/drawing/2014/chart" uri="{C3380CC4-5D6E-409C-BE32-E72D297353CC}">
                  <c16:uniqueId val="{00000093-8408-4A81-89DE-109A3D1F80A8}"/>
                </c:ext>
              </c:extLst>
            </c:dLbl>
            <c:dLbl>
              <c:idx val="146"/>
              <c:delete val="1"/>
              <c:extLst>
                <c:ext xmlns:c15="http://schemas.microsoft.com/office/drawing/2012/chart" uri="{CE6537A1-D6FC-4f65-9D91-7224C49458BB}"/>
                <c:ext xmlns:c16="http://schemas.microsoft.com/office/drawing/2014/chart" uri="{C3380CC4-5D6E-409C-BE32-E72D297353CC}">
                  <c16:uniqueId val="{00000094-8408-4A81-89DE-109A3D1F80A8}"/>
                </c:ext>
              </c:extLst>
            </c:dLbl>
            <c:dLbl>
              <c:idx val="147"/>
              <c:delete val="1"/>
              <c:extLst>
                <c:ext xmlns:c15="http://schemas.microsoft.com/office/drawing/2012/chart" uri="{CE6537A1-D6FC-4f65-9D91-7224C49458BB}"/>
                <c:ext xmlns:c16="http://schemas.microsoft.com/office/drawing/2014/chart" uri="{C3380CC4-5D6E-409C-BE32-E72D297353CC}">
                  <c16:uniqueId val="{00000095-8408-4A81-89DE-109A3D1F80A8}"/>
                </c:ext>
              </c:extLst>
            </c:dLbl>
            <c:dLbl>
              <c:idx val="148"/>
              <c:delete val="1"/>
              <c:extLst>
                <c:ext xmlns:c15="http://schemas.microsoft.com/office/drawing/2012/chart" uri="{CE6537A1-D6FC-4f65-9D91-7224C49458BB}"/>
                <c:ext xmlns:c16="http://schemas.microsoft.com/office/drawing/2014/chart" uri="{C3380CC4-5D6E-409C-BE32-E72D297353CC}">
                  <c16:uniqueId val="{00000096-8408-4A81-89DE-109A3D1F80A8}"/>
                </c:ext>
              </c:extLst>
            </c:dLbl>
            <c:dLbl>
              <c:idx val="149"/>
              <c:delete val="1"/>
              <c:extLst>
                <c:ext xmlns:c15="http://schemas.microsoft.com/office/drawing/2012/chart" uri="{CE6537A1-D6FC-4f65-9D91-7224C49458BB}"/>
                <c:ext xmlns:c16="http://schemas.microsoft.com/office/drawing/2014/chart" uri="{C3380CC4-5D6E-409C-BE32-E72D297353CC}">
                  <c16:uniqueId val="{00000097-8408-4A81-89DE-109A3D1F80A8}"/>
                </c:ext>
              </c:extLst>
            </c:dLbl>
            <c:dLbl>
              <c:idx val="150"/>
              <c:delete val="1"/>
              <c:extLst>
                <c:ext xmlns:c15="http://schemas.microsoft.com/office/drawing/2012/chart" uri="{CE6537A1-D6FC-4f65-9D91-7224C49458BB}"/>
                <c:ext xmlns:c16="http://schemas.microsoft.com/office/drawing/2014/chart" uri="{C3380CC4-5D6E-409C-BE32-E72D297353CC}">
                  <c16:uniqueId val="{00000098-8408-4A81-89DE-109A3D1F80A8}"/>
                </c:ext>
              </c:extLst>
            </c:dLbl>
            <c:dLbl>
              <c:idx val="151"/>
              <c:delete val="1"/>
              <c:extLst>
                <c:ext xmlns:c15="http://schemas.microsoft.com/office/drawing/2012/chart" uri="{CE6537A1-D6FC-4f65-9D91-7224C49458BB}"/>
                <c:ext xmlns:c16="http://schemas.microsoft.com/office/drawing/2014/chart" uri="{C3380CC4-5D6E-409C-BE32-E72D297353CC}">
                  <c16:uniqueId val="{00000099-8408-4A81-89DE-109A3D1F80A8}"/>
                </c:ext>
              </c:extLst>
            </c:dLbl>
            <c:dLbl>
              <c:idx val="152"/>
              <c:delete val="1"/>
              <c:extLst>
                <c:ext xmlns:c15="http://schemas.microsoft.com/office/drawing/2012/chart" uri="{CE6537A1-D6FC-4f65-9D91-7224C49458BB}"/>
                <c:ext xmlns:c16="http://schemas.microsoft.com/office/drawing/2014/chart" uri="{C3380CC4-5D6E-409C-BE32-E72D297353CC}">
                  <c16:uniqueId val="{0000009A-8408-4A81-89DE-109A3D1F80A8}"/>
                </c:ext>
              </c:extLst>
            </c:dLbl>
            <c:dLbl>
              <c:idx val="153"/>
              <c:delete val="1"/>
              <c:extLst>
                <c:ext xmlns:c15="http://schemas.microsoft.com/office/drawing/2012/chart" uri="{CE6537A1-D6FC-4f65-9D91-7224C49458BB}"/>
                <c:ext xmlns:c16="http://schemas.microsoft.com/office/drawing/2014/chart" uri="{C3380CC4-5D6E-409C-BE32-E72D297353CC}">
                  <c16:uniqueId val="{0000009B-8408-4A81-89DE-109A3D1F80A8}"/>
                </c:ext>
              </c:extLst>
            </c:dLbl>
            <c:dLbl>
              <c:idx val="154"/>
              <c:delete val="1"/>
              <c:extLst>
                <c:ext xmlns:c15="http://schemas.microsoft.com/office/drawing/2012/chart" uri="{CE6537A1-D6FC-4f65-9D91-7224C49458BB}"/>
                <c:ext xmlns:c16="http://schemas.microsoft.com/office/drawing/2014/chart" uri="{C3380CC4-5D6E-409C-BE32-E72D297353CC}">
                  <c16:uniqueId val="{0000009C-8408-4A81-89DE-109A3D1F80A8}"/>
                </c:ext>
              </c:extLst>
            </c:dLbl>
            <c:dLbl>
              <c:idx val="155"/>
              <c:delete val="1"/>
              <c:extLst>
                <c:ext xmlns:c15="http://schemas.microsoft.com/office/drawing/2012/chart" uri="{CE6537A1-D6FC-4f65-9D91-7224C49458BB}"/>
                <c:ext xmlns:c16="http://schemas.microsoft.com/office/drawing/2014/chart" uri="{C3380CC4-5D6E-409C-BE32-E72D297353CC}">
                  <c16:uniqueId val="{0000009D-8408-4A81-89DE-109A3D1F80A8}"/>
                </c:ext>
              </c:extLst>
            </c:dLbl>
            <c:dLbl>
              <c:idx val="156"/>
              <c:delete val="1"/>
              <c:extLst>
                <c:ext xmlns:c15="http://schemas.microsoft.com/office/drawing/2012/chart" uri="{CE6537A1-D6FC-4f65-9D91-7224C49458BB}"/>
                <c:ext xmlns:c16="http://schemas.microsoft.com/office/drawing/2014/chart" uri="{C3380CC4-5D6E-409C-BE32-E72D297353CC}">
                  <c16:uniqueId val="{0000009E-8408-4A81-89DE-109A3D1F80A8}"/>
                </c:ext>
              </c:extLst>
            </c:dLbl>
            <c:dLbl>
              <c:idx val="157"/>
              <c:delete val="1"/>
              <c:extLst>
                <c:ext xmlns:c15="http://schemas.microsoft.com/office/drawing/2012/chart" uri="{CE6537A1-D6FC-4f65-9D91-7224C49458BB}"/>
                <c:ext xmlns:c16="http://schemas.microsoft.com/office/drawing/2014/chart" uri="{C3380CC4-5D6E-409C-BE32-E72D297353CC}">
                  <c16:uniqueId val="{0000009F-8408-4A81-89DE-109A3D1F80A8}"/>
                </c:ext>
              </c:extLst>
            </c:dLbl>
            <c:dLbl>
              <c:idx val="158"/>
              <c:delete val="1"/>
              <c:extLst>
                <c:ext xmlns:c15="http://schemas.microsoft.com/office/drawing/2012/chart" uri="{CE6537A1-D6FC-4f65-9D91-7224C49458BB}"/>
                <c:ext xmlns:c16="http://schemas.microsoft.com/office/drawing/2014/chart" uri="{C3380CC4-5D6E-409C-BE32-E72D297353CC}">
                  <c16:uniqueId val="{000000A0-8408-4A81-89DE-109A3D1F80A8}"/>
                </c:ext>
              </c:extLst>
            </c:dLbl>
            <c:dLbl>
              <c:idx val="159"/>
              <c:delete val="1"/>
              <c:extLst>
                <c:ext xmlns:c15="http://schemas.microsoft.com/office/drawing/2012/chart" uri="{CE6537A1-D6FC-4f65-9D91-7224C49458BB}"/>
                <c:ext xmlns:c16="http://schemas.microsoft.com/office/drawing/2014/chart" uri="{C3380CC4-5D6E-409C-BE32-E72D297353CC}">
                  <c16:uniqueId val="{000000A1-8408-4A81-89DE-109A3D1F80A8}"/>
                </c:ext>
              </c:extLst>
            </c:dLbl>
            <c:dLbl>
              <c:idx val="160"/>
              <c:delete val="1"/>
              <c:extLst>
                <c:ext xmlns:c15="http://schemas.microsoft.com/office/drawing/2012/chart" uri="{CE6537A1-D6FC-4f65-9D91-7224C49458BB}"/>
                <c:ext xmlns:c16="http://schemas.microsoft.com/office/drawing/2014/chart" uri="{C3380CC4-5D6E-409C-BE32-E72D297353CC}">
                  <c16:uniqueId val="{000000A2-8408-4A81-89DE-109A3D1F80A8}"/>
                </c:ext>
              </c:extLst>
            </c:dLbl>
            <c:dLbl>
              <c:idx val="161"/>
              <c:delete val="1"/>
              <c:extLst>
                <c:ext xmlns:c15="http://schemas.microsoft.com/office/drawing/2012/chart" uri="{CE6537A1-D6FC-4f65-9D91-7224C49458BB}"/>
                <c:ext xmlns:c16="http://schemas.microsoft.com/office/drawing/2014/chart" uri="{C3380CC4-5D6E-409C-BE32-E72D297353CC}">
                  <c16:uniqueId val="{000000A3-8408-4A81-89DE-109A3D1F80A8}"/>
                </c:ext>
              </c:extLst>
            </c:dLbl>
            <c:dLbl>
              <c:idx val="162"/>
              <c:delete val="1"/>
              <c:extLst>
                <c:ext xmlns:c15="http://schemas.microsoft.com/office/drawing/2012/chart" uri="{CE6537A1-D6FC-4f65-9D91-7224C49458BB}"/>
                <c:ext xmlns:c16="http://schemas.microsoft.com/office/drawing/2014/chart" uri="{C3380CC4-5D6E-409C-BE32-E72D297353CC}">
                  <c16:uniqueId val="{000000A4-8408-4A81-89DE-109A3D1F80A8}"/>
                </c:ext>
              </c:extLst>
            </c:dLbl>
            <c:dLbl>
              <c:idx val="163"/>
              <c:delete val="1"/>
              <c:extLst>
                <c:ext xmlns:c15="http://schemas.microsoft.com/office/drawing/2012/chart" uri="{CE6537A1-D6FC-4f65-9D91-7224C49458BB}"/>
                <c:ext xmlns:c16="http://schemas.microsoft.com/office/drawing/2014/chart" uri="{C3380CC4-5D6E-409C-BE32-E72D297353CC}">
                  <c16:uniqueId val="{000000A5-8408-4A81-89DE-109A3D1F80A8}"/>
                </c:ext>
              </c:extLst>
            </c:dLbl>
            <c:dLbl>
              <c:idx val="164"/>
              <c:delete val="1"/>
              <c:extLst>
                <c:ext xmlns:c15="http://schemas.microsoft.com/office/drawing/2012/chart" uri="{CE6537A1-D6FC-4f65-9D91-7224C49458BB}"/>
                <c:ext xmlns:c16="http://schemas.microsoft.com/office/drawing/2014/chart" uri="{C3380CC4-5D6E-409C-BE32-E72D297353CC}">
                  <c16:uniqueId val="{000000A6-8408-4A81-89DE-109A3D1F80A8}"/>
                </c:ext>
              </c:extLst>
            </c:dLbl>
            <c:dLbl>
              <c:idx val="165"/>
              <c:delete val="1"/>
              <c:extLst>
                <c:ext xmlns:c15="http://schemas.microsoft.com/office/drawing/2012/chart" uri="{CE6537A1-D6FC-4f65-9D91-7224C49458BB}"/>
                <c:ext xmlns:c16="http://schemas.microsoft.com/office/drawing/2014/chart" uri="{C3380CC4-5D6E-409C-BE32-E72D297353CC}">
                  <c16:uniqueId val="{000000A7-8408-4A81-89DE-109A3D1F80A8}"/>
                </c:ext>
              </c:extLst>
            </c:dLbl>
            <c:dLbl>
              <c:idx val="166"/>
              <c:delete val="1"/>
              <c:extLst>
                <c:ext xmlns:c15="http://schemas.microsoft.com/office/drawing/2012/chart" uri="{CE6537A1-D6FC-4f65-9D91-7224C49458BB}"/>
                <c:ext xmlns:c16="http://schemas.microsoft.com/office/drawing/2014/chart" uri="{C3380CC4-5D6E-409C-BE32-E72D297353CC}">
                  <c16:uniqueId val="{000000A8-8408-4A81-89DE-109A3D1F80A8}"/>
                </c:ext>
              </c:extLst>
            </c:dLbl>
            <c:dLbl>
              <c:idx val="167"/>
              <c:layout>
                <c:manualLayout>
                  <c:x val="0"/>
                  <c:y val="-1.53846153846153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A9-8408-4A81-89DE-109A3D1F80A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[OSW_Weekly_Output_ss.xlsx]OSW_CF!$T$3:$T$170</c:f>
              <c:numCache>
                <c:formatCode>General</c:formatCode>
                <c:ptCount val="168"/>
                <c:pt idx="0">
                  <c:v>6098</c:v>
                </c:pt>
                <c:pt idx="1">
                  <c:v>6098</c:v>
                </c:pt>
                <c:pt idx="2">
                  <c:v>6098</c:v>
                </c:pt>
                <c:pt idx="3">
                  <c:v>6098</c:v>
                </c:pt>
                <c:pt idx="4">
                  <c:v>6098</c:v>
                </c:pt>
                <c:pt idx="5">
                  <c:v>6098</c:v>
                </c:pt>
                <c:pt idx="6">
                  <c:v>6098</c:v>
                </c:pt>
                <c:pt idx="7">
                  <c:v>6098</c:v>
                </c:pt>
                <c:pt idx="8">
                  <c:v>6098</c:v>
                </c:pt>
                <c:pt idx="9">
                  <c:v>6098</c:v>
                </c:pt>
                <c:pt idx="10">
                  <c:v>6098</c:v>
                </c:pt>
                <c:pt idx="11">
                  <c:v>6098</c:v>
                </c:pt>
                <c:pt idx="12">
                  <c:v>6098</c:v>
                </c:pt>
                <c:pt idx="13">
                  <c:v>6098</c:v>
                </c:pt>
                <c:pt idx="14">
                  <c:v>6098</c:v>
                </c:pt>
                <c:pt idx="15">
                  <c:v>6098</c:v>
                </c:pt>
                <c:pt idx="16">
                  <c:v>6098</c:v>
                </c:pt>
                <c:pt idx="17">
                  <c:v>6098</c:v>
                </c:pt>
                <c:pt idx="18">
                  <c:v>6098</c:v>
                </c:pt>
                <c:pt idx="19">
                  <c:v>6098</c:v>
                </c:pt>
                <c:pt idx="20">
                  <c:v>6098</c:v>
                </c:pt>
                <c:pt idx="21">
                  <c:v>6098</c:v>
                </c:pt>
                <c:pt idx="22">
                  <c:v>6098</c:v>
                </c:pt>
                <c:pt idx="23">
                  <c:v>6098</c:v>
                </c:pt>
                <c:pt idx="24">
                  <c:v>6098</c:v>
                </c:pt>
                <c:pt idx="25">
                  <c:v>6098</c:v>
                </c:pt>
                <c:pt idx="26">
                  <c:v>6098</c:v>
                </c:pt>
                <c:pt idx="27">
                  <c:v>6098</c:v>
                </c:pt>
                <c:pt idx="28">
                  <c:v>6098</c:v>
                </c:pt>
                <c:pt idx="29">
                  <c:v>6098</c:v>
                </c:pt>
                <c:pt idx="30">
                  <c:v>6098</c:v>
                </c:pt>
                <c:pt idx="31">
                  <c:v>6098</c:v>
                </c:pt>
                <c:pt idx="32">
                  <c:v>6098</c:v>
                </c:pt>
                <c:pt idx="33">
                  <c:v>6098</c:v>
                </c:pt>
                <c:pt idx="34">
                  <c:v>6098</c:v>
                </c:pt>
                <c:pt idx="35">
                  <c:v>6098</c:v>
                </c:pt>
                <c:pt idx="36">
                  <c:v>6098</c:v>
                </c:pt>
                <c:pt idx="37">
                  <c:v>6098</c:v>
                </c:pt>
                <c:pt idx="38">
                  <c:v>6098</c:v>
                </c:pt>
                <c:pt idx="39">
                  <c:v>6098</c:v>
                </c:pt>
                <c:pt idx="40">
                  <c:v>6098</c:v>
                </c:pt>
                <c:pt idx="41">
                  <c:v>6098</c:v>
                </c:pt>
                <c:pt idx="42">
                  <c:v>6098</c:v>
                </c:pt>
                <c:pt idx="43">
                  <c:v>6098</c:v>
                </c:pt>
                <c:pt idx="44">
                  <c:v>6098</c:v>
                </c:pt>
                <c:pt idx="45">
                  <c:v>6098</c:v>
                </c:pt>
                <c:pt idx="46">
                  <c:v>6098</c:v>
                </c:pt>
                <c:pt idx="47">
                  <c:v>6098</c:v>
                </c:pt>
                <c:pt idx="48">
                  <c:v>6098</c:v>
                </c:pt>
                <c:pt idx="49">
                  <c:v>6098</c:v>
                </c:pt>
                <c:pt idx="50">
                  <c:v>6098</c:v>
                </c:pt>
                <c:pt idx="51">
                  <c:v>6098</c:v>
                </c:pt>
                <c:pt idx="52">
                  <c:v>6098</c:v>
                </c:pt>
                <c:pt idx="53">
                  <c:v>6098</c:v>
                </c:pt>
                <c:pt idx="54">
                  <c:v>6098</c:v>
                </c:pt>
                <c:pt idx="55">
                  <c:v>6098</c:v>
                </c:pt>
                <c:pt idx="56">
                  <c:v>6098</c:v>
                </c:pt>
                <c:pt idx="57">
                  <c:v>6098</c:v>
                </c:pt>
                <c:pt idx="58">
                  <c:v>6098</c:v>
                </c:pt>
                <c:pt idx="59">
                  <c:v>6098</c:v>
                </c:pt>
                <c:pt idx="60">
                  <c:v>6098</c:v>
                </c:pt>
                <c:pt idx="61">
                  <c:v>6098</c:v>
                </c:pt>
                <c:pt idx="62">
                  <c:v>6098</c:v>
                </c:pt>
                <c:pt idx="63">
                  <c:v>6098</c:v>
                </c:pt>
                <c:pt idx="64">
                  <c:v>6098</c:v>
                </c:pt>
                <c:pt idx="65">
                  <c:v>6098</c:v>
                </c:pt>
                <c:pt idx="66">
                  <c:v>6098</c:v>
                </c:pt>
                <c:pt idx="67">
                  <c:v>6098</c:v>
                </c:pt>
                <c:pt idx="68">
                  <c:v>6098</c:v>
                </c:pt>
                <c:pt idx="69">
                  <c:v>6098</c:v>
                </c:pt>
                <c:pt idx="70">
                  <c:v>6098</c:v>
                </c:pt>
                <c:pt idx="71">
                  <c:v>6098</c:v>
                </c:pt>
                <c:pt idx="72">
                  <c:v>6098</c:v>
                </c:pt>
                <c:pt idx="73">
                  <c:v>6098</c:v>
                </c:pt>
                <c:pt idx="74">
                  <c:v>6098</c:v>
                </c:pt>
                <c:pt idx="75">
                  <c:v>6098</c:v>
                </c:pt>
                <c:pt idx="76">
                  <c:v>6098</c:v>
                </c:pt>
                <c:pt idx="77">
                  <c:v>6098</c:v>
                </c:pt>
                <c:pt idx="78">
                  <c:v>6098</c:v>
                </c:pt>
                <c:pt idx="79">
                  <c:v>6098</c:v>
                </c:pt>
                <c:pt idx="80">
                  <c:v>6098</c:v>
                </c:pt>
                <c:pt idx="81">
                  <c:v>6098</c:v>
                </c:pt>
                <c:pt idx="82">
                  <c:v>6098</c:v>
                </c:pt>
                <c:pt idx="83">
                  <c:v>6098</c:v>
                </c:pt>
                <c:pt idx="84">
                  <c:v>6098</c:v>
                </c:pt>
                <c:pt idx="85">
                  <c:v>6098</c:v>
                </c:pt>
                <c:pt idx="86">
                  <c:v>6098</c:v>
                </c:pt>
                <c:pt idx="87">
                  <c:v>6098</c:v>
                </c:pt>
                <c:pt idx="88">
                  <c:v>6098</c:v>
                </c:pt>
                <c:pt idx="89">
                  <c:v>6098</c:v>
                </c:pt>
                <c:pt idx="90">
                  <c:v>6098</c:v>
                </c:pt>
                <c:pt idx="91">
                  <c:v>6098</c:v>
                </c:pt>
                <c:pt idx="92">
                  <c:v>6098</c:v>
                </c:pt>
                <c:pt idx="93">
                  <c:v>6098</c:v>
                </c:pt>
                <c:pt idx="94">
                  <c:v>6098</c:v>
                </c:pt>
                <c:pt idx="95">
                  <c:v>6098</c:v>
                </c:pt>
                <c:pt idx="96">
                  <c:v>6098</c:v>
                </c:pt>
                <c:pt idx="97">
                  <c:v>6098</c:v>
                </c:pt>
                <c:pt idx="98">
                  <c:v>6098</c:v>
                </c:pt>
                <c:pt idx="99">
                  <c:v>6098</c:v>
                </c:pt>
                <c:pt idx="100">
                  <c:v>6098</c:v>
                </c:pt>
                <c:pt idx="101">
                  <c:v>6098</c:v>
                </c:pt>
                <c:pt idx="102">
                  <c:v>6098</c:v>
                </c:pt>
                <c:pt idx="103">
                  <c:v>6098</c:v>
                </c:pt>
                <c:pt idx="104">
                  <c:v>6098</c:v>
                </c:pt>
                <c:pt idx="105">
                  <c:v>6098</c:v>
                </c:pt>
                <c:pt idx="106">
                  <c:v>6098</c:v>
                </c:pt>
                <c:pt idx="107">
                  <c:v>6098</c:v>
                </c:pt>
                <c:pt idx="108">
                  <c:v>6098</c:v>
                </c:pt>
                <c:pt idx="109">
                  <c:v>6098</c:v>
                </c:pt>
                <c:pt idx="110">
                  <c:v>6098</c:v>
                </c:pt>
                <c:pt idx="111">
                  <c:v>6098</c:v>
                </c:pt>
                <c:pt idx="112">
                  <c:v>6098</c:v>
                </c:pt>
                <c:pt idx="113">
                  <c:v>6098</c:v>
                </c:pt>
                <c:pt idx="114">
                  <c:v>6098</c:v>
                </c:pt>
                <c:pt idx="115">
                  <c:v>6098</c:v>
                </c:pt>
                <c:pt idx="116">
                  <c:v>6098</c:v>
                </c:pt>
                <c:pt idx="117">
                  <c:v>6098</c:v>
                </c:pt>
                <c:pt idx="118">
                  <c:v>6098</c:v>
                </c:pt>
                <c:pt idx="119">
                  <c:v>6098</c:v>
                </c:pt>
                <c:pt idx="120">
                  <c:v>6098</c:v>
                </c:pt>
                <c:pt idx="121">
                  <c:v>6098</c:v>
                </c:pt>
                <c:pt idx="122">
                  <c:v>6098</c:v>
                </c:pt>
                <c:pt idx="123">
                  <c:v>6098</c:v>
                </c:pt>
                <c:pt idx="124">
                  <c:v>6098</c:v>
                </c:pt>
                <c:pt idx="125">
                  <c:v>6098</c:v>
                </c:pt>
                <c:pt idx="126">
                  <c:v>6098</c:v>
                </c:pt>
                <c:pt idx="127">
                  <c:v>6098</c:v>
                </c:pt>
                <c:pt idx="128">
                  <c:v>6098</c:v>
                </c:pt>
                <c:pt idx="129">
                  <c:v>6098</c:v>
                </c:pt>
                <c:pt idx="130">
                  <c:v>6098</c:v>
                </c:pt>
                <c:pt idx="131">
                  <c:v>6098</c:v>
                </c:pt>
                <c:pt idx="132">
                  <c:v>6098</c:v>
                </c:pt>
                <c:pt idx="133">
                  <c:v>6098</c:v>
                </c:pt>
                <c:pt idx="134">
                  <c:v>6098</c:v>
                </c:pt>
                <c:pt idx="135">
                  <c:v>6098</c:v>
                </c:pt>
                <c:pt idx="136">
                  <c:v>6098</c:v>
                </c:pt>
                <c:pt idx="137">
                  <c:v>6098</c:v>
                </c:pt>
                <c:pt idx="138">
                  <c:v>6098</c:v>
                </c:pt>
                <c:pt idx="139">
                  <c:v>6098</c:v>
                </c:pt>
                <c:pt idx="140">
                  <c:v>6098</c:v>
                </c:pt>
                <c:pt idx="141">
                  <c:v>6098</c:v>
                </c:pt>
                <c:pt idx="142">
                  <c:v>6098</c:v>
                </c:pt>
                <c:pt idx="143">
                  <c:v>6098</c:v>
                </c:pt>
                <c:pt idx="144">
                  <c:v>6098</c:v>
                </c:pt>
                <c:pt idx="145">
                  <c:v>6098</c:v>
                </c:pt>
                <c:pt idx="146">
                  <c:v>6098</c:v>
                </c:pt>
                <c:pt idx="147">
                  <c:v>6098</c:v>
                </c:pt>
                <c:pt idx="148">
                  <c:v>6098</c:v>
                </c:pt>
                <c:pt idx="149">
                  <c:v>6098</c:v>
                </c:pt>
                <c:pt idx="150">
                  <c:v>6098</c:v>
                </c:pt>
                <c:pt idx="151">
                  <c:v>6098</c:v>
                </c:pt>
                <c:pt idx="152">
                  <c:v>6098</c:v>
                </c:pt>
                <c:pt idx="153">
                  <c:v>6098</c:v>
                </c:pt>
                <c:pt idx="154">
                  <c:v>6098</c:v>
                </c:pt>
                <c:pt idx="155">
                  <c:v>6098</c:v>
                </c:pt>
                <c:pt idx="156">
                  <c:v>6098</c:v>
                </c:pt>
                <c:pt idx="157">
                  <c:v>6098</c:v>
                </c:pt>
                <c:pt idx="158">
                  <c:v>6098</c:v>
                </c:pt>
                <c:pt idx="159">
                  <c:v>6098</c:v>
                </c:pt>
                <c:pt idx="160">
                  <c:v>6098</c:v>
                </c:pt>
                <c:pt idx="161">
                  <c:v>6098</c:v>
                </c:pt>
                <c:pt idx="162">
                  <c:v>6098</c:v>
                </c:pt>
                <c:pt idx="163">
                  <c:v>6098</c:v>
                </c:pt>
                <c:pt idx="164">
                  <c:v>6098</c:v>
                </c:pt>
                <c:pt idx="165">
                  <c:v>6098</c:v>
                </c:pt>
                <c:pt idx="166">
                  <c:v>6098</c:v>
                </c:pt>
                <c:pt idx="167">
                  <c:v>6098</c:v>
                </c:pt>
              </c:numCache>
            </c:numRef>
          </c:val>
          <c:smooth val="0"/>
          <c:extLst>
            <c:ext xmlns:c16="http://schemas.microsoft.com/office/drawing/2014/chart" uri="{C3380CC4-5D6E-409C-BE32-E72D297353CC}">
              <c16:uniqueId val="{000000AA-8408-4A81-89DE-109A3D1F80A8}"/>
            </c:ext>
          </c:extLst>
        </c:ser>
        <c:ser>
          <c:idx val="3"/>
          <c:order val="3"/>
          <c:spPr>
            <a:ln w="6350" cap="rnd">
              <a:solidFill>
                <a:schemeClr val="accent2"/>
              </a:solidFill>
              <a:round/>
            </a:ln>
            <a:effectLst/>
          </c:spPr>
          <c:marker>
            <c:symbol val="none"/>
          </c:marker>
          <c:dLbls>
            <c:dLbl>
              <c:idx val="13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AB-8408-4A81-89DE-109A3D1F80A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[OSW_Weekly_Output_ss.xlsx]OSW_CF!$S$3:$S$170</c:f>
              <c:numCache>
                <c:formatCode>0</c:formatCode>
                <c:ptCount val="168"/>
                <c:pt idx="0">
                  <c:v>3238</c:v>
                </c:pt>
                <c:pt idx="1">
                  <c:v>3066</c:v>
                </c:pt>
                <c:pt idx="2">
                  <c:v>3061</c:v>
                </c:pt>
                <c:pt idx="3">
                  <c:v>1577</c:v>
                </c:pt>
                <c:pt idx="4">
                  <c:v>1760</c:v>
                </c:pt>
                <c:pt idx="5">
                  <c:v>2185</c:v>
                </c:pt>
                <c:pt idx="6">
                  <c:v>3237</c:v>
                </c:pt>
                <c:pt idx="7">
                  <c:v>3508</c:v>
                </c:pt>
                <c:pt idx="8">
                  <c:v>3148</c:v>
                </c:pt>
                <c:pt idx="9">
                  <c:v>1805</c:v>
                </c:pt>
                <c:pt idx="10">
                  <c:v>3129</c:v>
                </c:pt>
                <c:pt idx="11">
                  <c:v>4293</c:v>
                </c:pt>
                <c:pt idx="12">
                  <c:v>3948</c:v>
                </c:pt>
                <c:pt idx="13">
                  <c:v>4138</c:v>
                </c:pt>
                <c:pt idx="14">
                  <c:v>4319</c:v>
                </c:pt>
                <c:pt idx="15">
                  <c:v>4740</c:v>
                </c:pt>
                <c:pt idx="16">
                  <c:v>4647</c:v>
                </c:pt>
                <c:pt idx="17">
                  <c:v>4656</c:v>
                </c:pt>
                <c:pt idx="18">
                  <c:v>4186</c:v>
                </c:pt>
                <c:pt idx="19">
                  <c:v>2815</c:v>
                </c:pt>
                <c:pt idx="20">
                  <c:v>4093</c:v>
                </c:pt>
                <c:pt idx="21">
                  <c:v>3087</c:v>
                </c:pt>
                <c:pt idx="22">
                  <c:v>2573</c:v>
                </c:pt>
                <c:pt idx="23">
                  <c:v>2833</c:v>
                </c:pt>
                <c:pt idx="24">
                  <c:v>3131</c:v>
                </c:pt>
                <c:pt idx="25">
                  <c:v>2853</c:v>
                </c:pt>
                <c:pt idx="26">
                  <c:v>2821</c:v>
                </c:pt>
                <c:pt idx="27">
                  <c:v>1997</c:v>
                </c:pt>
                <c:pt idx="28">
                  <c:v>1754</c:v>
                </c:pt>
                <c:pt idx="29">
                  <c:v>1765</c:v>
                </c:pt>
                <c:pt idx="30">
                  <c:v>1625</c:v>
                </c:pt>
                <c:pt idx="31">
                  <c:v>1453</c:v>
                </c:pt>
                <c:pt idx="32">
                  <c:v>1347</c:v>
                </c:pt>
                <c:pt idx="33">
                  <c:v>1249</c:v>
                </c:pt>
                <c:pt idx="34">
                  <c:v>1475</c:v>
                </c:pt>
                <c:pt idx="35">
                  <c:v>2034</c:v>
                </c:pt>
                <c:pt idx="36">
                  <c:v>2618</c:v>
                </c:pt>
                <c:pt idx="37">
                  <c:v>2928</c:v>
                </c:pt>
                <c:pt idx="38">
                  <c:v>2733</c:v>
                </c:pt>
                <c:pt idx="39">
                  <c:v>2932</c:v>
                </c:pt>
                <c:pt idx="40">
                  <c:v>3212</c:v>
                </c:pt>
                <c:pt idx="41">
                  <c:v>3431</c:v>
                </c:pt>
                <c:pt idx="42">
                  <c:v>3694</c:v>
                </c:pt>
                <c:pt idx="43">
                  <c:v>4115</c:v>
                </c:pt>
                <c:pt idx="44">
                  <c:v>3766</c:v>
                </c:pt>
                <c:pt idx="45">
                  <c:v>3288</c:v>
                </c:pt>
                <c:pt idx="46">
                  <c:v>2747</c:v>
                </c:pt>
                <c:pt idx="47">
                  <c:v>2300</c:v>
                </c:pt>
                <c:pt idx="48">
                  <c:v>1887</c:v>
                </c:pt>
                <c:pt idx="49">
                  <c:v>1363</c:v>
                </c:pt>
                <c:pt idx="50">
                  <c:v>965</c:v>
                </c:pt>
                <c:pt idx="51">
                  <c:v>709</c:v>
                </c:pt>
                <c:pt idx="52">
                  <c:v>441</c:v>
                </c:pt>
                <c:pt idx="53">
                  <c:v>263</c:v>
                </c:pt>
                <c:pt idx="54">
                  <c:v>255</c:v>
                </c:pt>
                <c:pt idx="55">
                  <c:v>289</c:v>
                </c:pt>
                <c:pt idx="56">
                  <c:v>315</c:v>
                </c:pt>
                <c:pt idx="57">
                  <c:v>363</c:v>
                </c:pt>
                <c:pt idx="58">
                  <c:v>545</c:v>
                </c:pt>
                <c:pt idx="59">
                  <c:v>955</c:v>
                </c:pt>
                <c:pt idx="60">
                  <c:v>1331</c:v>
                </c:pt>
                <c:pt idx="61">
                  <c:v>1867</c:v>
                </c:pt>
                <c:pt idx="62">
                  <c:v>2483</c:v>
                </c:pt>
                <c:pt idx="63">
                  <c:v>2890</c:v>
                </c:pt>
                <c:pt idx="64">
                  <c:v>2966</c:v>
                </c:pt>
                <c:pt idx="65">
                  <c:v>2833</c:v>
                </c:pt>
                <c:pt idx="66">
                  <c:v>2897</c:v>
                </c:pt>
                <c:pt idx="67">
                  <c:v>2798</c:v>
                </c:pt>
                <c:pt idx="68">
                  <c:v>2693</c:v>
                </c:pt>
                <c:pt idx="69">
                  <c:v>2526</c:v>
                </c:pt>
                <c:pt idx="70">
                  <c:v>2476</c:v>
                </c:pt>
                <c:pt idx="71">
                  <c:v>2606</c:v>
                </c:pt>
                <c:pt idx="72">
                  <c:v>2338</c:v>
                </c:pt>
                <c:pt idx="73">
                  <c:v>1917</c:v>
                </c:pt>
                <c:pt idx="74">
                  <c:v>2040</c:v>
                </c:pt>
                <c:pt idx="75">
                  <c:v>1597</c:v>
                </c:pt>
                <c:pt idx="76">
                  <c:v>1277</c:v>
                </c:pt>
                <c:pt idx="77">
                  <c:v>952</c:v>
                </c:pt>
                <c:pt idx="78">
                  <c:v>781</c:v>
                </c:pt>
                <c:pt idx="79">
                  <c:v>951</c:v>
                </c:pt>
                <c:pt idx="80">
                  <c:v>1168</c:v>
                </c:pt>
                <c:pt idx="81">
                  <c:v>2295</c:v>
                </c:pt>
                <c:pt idx="82">
                  <c:v>3353</c:v>
                </c:pt>
                <c:pt idx="83">
                  <c:v>4538</c:v>
                </c:pt>
                <c:pt idx="84">
                  <c:v>4961</c:v>
                </c:pt>
                <c:pt idx="85">
                  <c:v>5218</c:v>
                </c:pt>
                <c:pt idx="86">
                  <c:v>5259</c:v>
                </c:pt>
                <c:pt idx="87">
                  <c:v>5404</c:v>
                </c:pt>
                <c:pt idx="88">
                  <c:v>5504</c:v>
                </c:pt>
                <c:pt idx="89">
                  <c:v>5407</c:v>
                </c:pt>
                <c:pt idx="90">
                  <c:v>5030</c:v>
                </c:pt>
                <c:pt idx="91">
                  <c:v>4967</c:v>
                </c:pt>
                <c:pt idx="92">
                  <c:v>4866</c:v>
                </c:pt>
                <c:pt idx="93">
                  <c:v>4888</c:v>
                </c:pt>
                <c:pt idx="94">
                  <c:v>4795</c:v>
                </c:pt>
                <c:pt idx="95">
                  <c:v>5107</c:v>
                </c:pt>
                <c:pt idx="96">
                  <c:v>4893</c:v>
                </c:pt>
                <c:pt idx="97">
                  <c:v>4710</c:v>
                </c:pt>
                <c:pt idx="98">
                  <c:v>4402</c:v>
                </c:pt>
                <c:pt idx="99">
                  <c:v>4174</c:v>
                </c:pt>
                <c:pt idx="100">
                  <c:v>3678</c:v>
                </c:pt>
                <c:pt idx="101">
                  <c:v>3207</c:v>
                </c:pt>
                <c:pt idx="102">
                  <c:v>2779</c:v>
                </c:pt>
                <c:pt idx="103">
                  <c:v>2288</c:v>
                </c:pt>
                <c:pt idx="104">
                  <c:v>1919</c:v>
                </c:pt>
                <c:pt idx="105">
                  <c:v>1721</c:v>
                </c:pt>
                <c:pt idx="106">
                  <c:v>1800</c:v>
                </c:pt>
                <c:pt idx="107">
                  <c:v>1911</c:v>
                </c:pt>
                <c:pt idx="108">
                  <c:v>1915</c:v>
                </c:pt>
                <c:pt idx="109">
                  <c:v>1926</c:v>
                </c:pt>
                <c:pt idx="110">
                  <c:v>2183</c:v>
                </c:pt>
                <c:pt idx="111">
                  <c:v>2949</c:v>
                </c:pt>
                <c:pt idx="112">
                  <c:v>2936</c:v>
                </c:pt>
                <c:pt idx="113">
                  <c:v>3292</c:v>
                </c:pt>
                <c:pt idx="114">
                  <c:v>3736</c:v>
                </c:pt>
                <c:pt idx="115">
                  <c:v>3773</c:v>
                </c:pt>
                <c:pt idx="116">
                  <c:v>3706</c:v>
                </c:pt>
                <c:pt idx="117">
                  <c:v>3834</c:v>
                </c:pt>
                <c:pt idx="118">
                  <c:v>3367</c:v>
                </c:pt>
                <c:pt idx="119">
                  <c:v>2804</c:v>
                </c:pt>
                <c:pt idx="120">
                  <c:v>2480</c:v>
                </c:pt>
                <c:pt idx="121">
                  <c:v>2350</c:v>
                </c:pt>
                <c:pt idx="122">
                  <c:v>2293</c:v>
                </c:pt>
                <c:pt idx="123">
                  <c:v>2370</c:v>
                </c:pt>
                <c:pt idx="124">
                  <c:v>2445</c:v>
                </c:pt>
                <c:pt idx="125">
                  <c:v>2781</c:v>
                </c:pt>
                <c:pt idx="126">
                  <c:v>2793</c:v>
                </c:pt>
                <c:pt idx="127">
                  <c:v>3506</c:v>
                </c:pt>
                <c:pt idx="128">
                  <c:v>4044</c:v>
                </c:pt>
                <c:pt idx="129">
                  <c:v>4722</c:v>
                </c:pt>
                <c:pt idx="130">
                  <c:v>5144</c:v>
                </c:pt>
                <c:pt idx="131">
                  <c:v>5303</c:v>
                </c:pt>
                <c:pt idx="132">
                  <c:v>5558</c:v>
                </c:pt>
                <c:pt idx="133">
                  <c:v>5602</c:v>
                </c:pt>
                <c:pt idx="134">
                  <c:v>5512</c:v>
                </c:pt>
                <c:pt idx="135">
                  <c:v>4630</c:v>
                </c:pt>
                <c:pt idx="136">
                  <c:v>2950</c:v>
                </c:pt>
                <c:pt idx="137">
                  <c:v>1710</c:v>
                </c:pt>
                <c:pt idx="138">
                  <c:v>1190</c:v>
                </c:pt>
                <c:pt idx="139">
                  <c:v>878</c:v>
                </c:pt>
                <c:pt idx="140">
                  <c:v>812</c:v>
                </c:pt>
                <c:pt idx="141">
                  <c:v>156</c:v>
                </c:pt>
                <c:pt idx="142">
                  <c:v>327</c:v>
                </c:pt>
                <c:pt idx="143">
                  <c:v>486</c:v>
                </c:pt>
                <c:pt idx="144">
                  <c:v>822</c:v>
                </c:pt>
                <c:pt idx="145">
                  <c:v>823</c:v>
                </c:pt>
                <c:pt idx="146">
                  <c:v>610</c:v>
                </c:pt>
                <c:pt idx="147">
                  <c:v>493</c:v>
                </c:pt>
                <c:pt idx="148">
                  <c:v>498</c:v>
                </c:pt>
                <c:pt idx="149">
                  <c:v>385</c:v>
                </c:pt>
                <c:pt idx="150">
                  <c:v>173</c:v>
                </c:pt>
                <c:pt idx="151">
                  <c:v>69</c:v>
                </c:pt>
                <c:pt idx="152">
                  <c:v>10</c:v>
                </c:pt>
                <c:pt idx="153">
                  <c:v>1</c:v>
                </c:pt>
                <c:pt idx="154">
                  <c:v>5</c:v>
                </c:pt>
                <c:pt idx="155">
                  <c:v>38</c:v>
                </c:pt>
                <c:pt idx="156">
                  <c:v>116</c:v>
                </c:pt>
                <c:pt idx="157">
                  <c:v>233</c:v>
                </c:pt>
                <c:pt idx="158">
                  <c:v>298</c:v>
                </c:pt>
                <c:pt idx="159">
                  <c:v>341</c:v>
                </c:pt>
                <c:pt idx="160">
                  <c:v>373</c:v>
                </c:pt>
                <c:pt idx="161">
                  <c:v>420</c:v>
                </c:pt>
                <c:pt idx="162">
                  <c:v>494</c:v>
                </c:pt>
                <c:pt idx="163">
                  <c:v>584</c:v>
                </c:pt>
                <c:pt idx="164">
                  <c:v>528</c:v>
                </c:pt>
                <c:pt idx="165">
                  <c:v>649</c:v>
                </c:pt>
                <c:pt idx="166">
                  <c:v>409</c:v>
                </c:pt>
                <c:pt idx="167">
                  <c:v>384</c:v>
                </c:pt>
              </c:numCache>
            </c:numRef>
          </c:val>
          <c:smooth val="0"/>
          <c:extLst>
            <c:ext xmlns:c16="http://schemas.microsoft.com/office/drawing/2014/chart" uri="{C3380CC4-5D6E-409C-BE32-E72D297353CC}">
              <c16:uniqueId val="{000000AC-8408-4A81-89DE-109A3D1F80A8}"/>
            </c:ext>
          </c:extLst>
        </c:ser>
        <c:dLbls>
          <c:showLegendKey val="0"/>
          <c:showVal val="0"/>
          <c:showCatName val="0"/>
          <c:showSerName val="0"/>
          <c:showPercent val="0"/>
          <c:showBubbleSize val="0"/>
        </c:dLbls>
        <c:marker val="1"/>
        <c:smooth val="0"/>
        <c:axId val="505000527"/>
        <c:axId val="504999279"/>
      </c:lineChart>
      <c:catAx>
        <c:axId val="505000527"/>
        <c:scaling>
          <c:orientation val="minMax"/>
        </c:scaling>
        <c:delete val="0"/>
        <c:axPos val="b"/>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4999279"/>
        <c:crosses val="autoZero"/>
        <c:auto val="1"/>
        <c:lblAlgn val="ctr"/>
        <c:lblOffset val="100"/>
        <c:tickLblSkip val="24"/>
        <c:noMultiLvlLbl val="0"/>
      </c:catAx>
      <c:valAx>
        <c:axId val="504999279"/>
        <c:scaling>
          <c:orientation val="minMax"/>
          <c:max val="6500"/>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000527"/>
        <c:crossesAt val="1"/>
        <c:crossBetween val="between"/>
        <c:majorUnit val="500"/>
      </c:valAx>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'[OSW_Weekly_Output_ss.xlsx]Event_%_Base'!$P$1</c:f>
          <c:strCache>
            <c:ptCount val="1"/>
            <c:pt idx="0">
              <c:v>Off-Shore Wind Output 70x30 Base Load Case - Highest Event % Week (08/11, 34%)</c:v>
            </c:pt>
          </c:strCache>
        </c:strRef>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areaChart>
        <c:grouping val="stacked"/>
        <c:varyColors val="0"/>
        <c:ser>
          <c:idx val="0"/>
          <c:order val="0"/>
          <c:tx>
            <c:strRef>
              <c:f>'[OSW_Weekly_Output_ss.xlsx]Event_%_Base'!$Q$2</c:f>
              <c:strCache>
                <c:ptCount val="1"/>
                <c:pt idx="0">
                  <c:v>NY_J_OSW</c:v>
                </c:pt>
              </c:strCache>
            </c:strRef>
          </c:tx>
          <c:spPr>
            <a:solidFill>
              <a:srgbClr val="005392"/>
            </a:solidFill>
            <a:ln>
              <a:noFill/>
            </a:ln>
            <a:effectLst/>
          </c:spPr>
          <c:val>
            <c:numRef>
              <c:f>'[OSW_Weekly_Output_ss.xlsx]Event_%_Base'!$Q$3:$Q$170</c:f>
              <c:numCache>
                <c:formatCode>0</c:formatCode>
                <c:ptCount val="168"/>
                <c:pt idx="0">
                  <c:v>909</c:v>
                </c:pt>
                <c:pt idx="1">
                  <c:v>926</c:v>
                </c:pt>
                <c:pt idx="2">
                  <c:v>1060</c:v>
                </c:pt>
                <c:pt idx="3">
                  <c:v>1139</c:v>
                </c:pt>
                <c:pt idx="4">
                  <c:v>1147</c:v>
                </c:pt>
                <c:pt idx="5">
                  <c:v>1285</c:v>
                </c:pt>
                <c:pt idx="6">
                  <c:v>1110</c:v>
                </c:pt>
                <c:pt idx="7">
                  <c:v>837</c:v>
                </c:pt>
                <c:pt idx="8">
                  <c:v>674</c:v>
                </c:pt>
                <c:pt idx="9">
                  <c:v>740</c:v>
                </c:pt>
                <c:pt idx="10">
                  <c:v>907</c:v>
                </c:pt>
                <c:pt idx="11">
                  <c:v>928</c:v>
                </c:pt>
                <c:pt idx="12">
                  <c:v>830</c:v>
                </c:pt>
                <c:pt idx="13">
                  <c:v>713</c:v>
                </c:pt>
                <c:pt idx="14">
                  <c:v>630</c:v>
                </c:pt>
                <c:pt idx="15">
                  <c:v>463</c:v>
                </c:pt>
                <c:pt idx="16">
                  <c:v>491</c:v>
                </c:pt>
                <c:pt idx="17">
                  <c:v>805</c:v>
                </c:pt>
                <c:pt idx="18">
                  <c:v>1059</c:v>
                </c:pt>
                <c:pt idx="19">
                  <c:v>1136</c:v>
                </c:pt>
                <c:pt idx="20">
                  <c:v>1330</c:v>
                </c:pt>
                <c:pt idx="21">
                  <c:v>1183</c:v>
                </c:pt>
                <c:pt idx="22">
                  <c:v>1034</c:v>
                </c:pt>
                <c:pt idx="23">
                  <c:v>1078</c:v>
                </c:pt>
                <c:pt idx="24">
                  <c:v>1199</c:v>
                </c:pt>
                <c:pt idx="25">
                  <c:v>1055</c:v>
                </c:pt>
                <c:pt idx="26">
                  <c:v>991</c:v>
                </c:pt>
                <c:pt idx="27">
                  <c:v>778</c:v>
                </c:pt>
                <c:pt idx="28">
                  <c:v>639</c:v>
                </c:pt>
                <c:pt idx="29">
                  <c:v>544</c:v>
                </c:pt>
                <c:pt idx="30">
                  <c:v>516</c:v>
                </c:pt>
                <c:pt idx="31">
                  <c:v>580</c:v>
                </c:pt>
                <c:pt idx="32">
                  <c:v>544</c:v>
                </c:pt>
                <c:pt idx="33">
                  <c:v>644</c:v>
                </c:pt>
                <c:pt idx="34">
                  <c:v>652</c:v>
                </c:pt>
                <c:pt idx="35">
                  <c:v>530</c:v>
                </c:pt>
                <c:pt idx="36">
                  <c:v>545</c:v>
                </c:pt>
                <c:pt idx="37">
                  <c:v>626</c:v>
                </c:pt>
                <c:pt idx="38">
                  <c:v>754</c:v>
                </c:pt>
                <c:pt idx="39">
                  <c:v>1368</c:v>
                </c:pt>
                <c:pt idx="40">
                  <c:v>2323</c:v>
                </c:pt>
                <c:pt idx="41">
                  <c:v>2468</c:v>
                </c:pt>
                <c:pt idx="42">
                  <c:v>2389</c:v>
                </c:pt>
                <c:pt idx="43">
                  <c:v>2682.8</c:v>
                </c:pt>
                <c:pt idx="44">
                  <c:v>2072</c:v>
                </c:pt>
                <c:pt idx="45">
                  <c:v>154</c:v>
                </c:pt>
                <c:pt idx="46">
                  <c:v>2</c:v>
                </c:pt>
                <c:pt idx="47">
                  <c:v>180</c:v>
                </c:pt>
                <c:pt idx="48">
                  <c:v>751</c:v>
                </c:pt>
                <c:pt idx="49">
                  <c:v>898</c:v>
                </c:pt>
                <c:pt idx="50">
                  <c:v>719</c:v>
                </c:pt>
                <c:pt idx="51">
                  <c:v>763</c:v>
                </c:pt>
                <c:pt idx="52">
                  <c:v>873</c:v>
                </c:pt>
                <c:pt idx="53">
                  <c:v>1176</c:v>
                </c:pt>
                <c:pt idx="54">
                  <c:v>922</c:v>
                </c:pt>
                <c:pt idx="55">
                  <c:v>677</c:v>
                </c:pt>
                <c:pt idx="56">
                  <c:v>608</c:v>
                </c:pt>
                <c:pt idx="57">
                  <c:v>499</c:v>
                </c:pt>
                <c:pt idx="58">
                  <c:v>285</c:v>
                </c:pt>
                <c:pt idx="59">
                  <c:v>201</c:v>
                </c:pt>
                <c:pt idx="60">
                  <c:v>319</c:v>
                </c:pt>
                <c:pt idx="61">
                  <c:v>418</c:v>
                </c:pt>
                <c:pt idx="62">
                  <c:v>462</c:v>
                </c:pt>
                <c:pt idx="63">
                  <c:v>486</c:v>
                </c:pt>
                <c:pt idx="64">
                  <c:v>674</c:v>
                </c:pt>
                <c:pt idx="65">
                  <c:v>1229</c:v>
                </c:pt>
                <c:pt idx="66">
                  <c:v>819</c:v>
                </c:pt>
                <c:pt idx="67">
                  <c:v>948</c:v>
                </c:pt>
                <c:pt idx="68">
                  <c:v>1153</c:v>
                </c:pt>
                <c:pt idx="69">
                  <c:v>815</c:v>
                </c:pt>
                <c:pt idx="70">
                  <c:v>759</c:v>
                </c:pt>
                <c:pt idx="71">
                  <c:v>868</c:v>
                </c:pt>
                <c:pt idx="72">
                  <c:v>1043</c:v>
                </c:pt>
                <c:pt idx="73">
                  <c:v>1114</c:v>
                </c:pt>
                <c:pt idx="74">
                  <c:v>1213</c:v>
                </c:pt>
                <c:pt idx="75">
                  <c:v>1084</c:v>
                </c:pt>
                <c:pt idx="76">
                  <c:v>930</c:v>
                </c:pt>
                <c:pt idx="77">
                  <c:v>933</c:v>
                </c:pt>
                <c:pt idx="78">
                  <c:v>934</c:v>
                </c:pt>
                <c:pt idx="79">
                  <c:v>914</c:v>
                </c:pt>
                <c:pt idx="80">
                  <c:v>1136</c:v>
                </c:pt>
                <c:pt idx="81">
                  <c:v>1508</c:v>
                </c:pt>
                <c:pt idx="82">
                  <c:v>1249</c:v>
                </c:pt>
                <c:pt idx="83">
                  <c:v>752</c:v>
                </c:pt>
                <c:pt idx="84">
                  <c:v>575</c:v>
                </c:pt>
                <c:pt idx="85">
                  <c:v>804</c:v>
                </c:pt>
                <c:pt idx="86">
                  <c:v>843</c:v>
                </c:pt>
                <c:pt idx="87">
                  <c:v>573</c:v>
                </c:pt>
                <c:pt idx="88">
                  <c:v>375</c:v>
                </c:pt>
                <c:pt idx="89">
                  <c:v>269</c:v>
                </c:pt>
                <c:pt idx="90">
                  <c:v>544</c:v>
                </c:pt>
                <c:pt idx="91">
                  <c:v>685</c:v>
                </c:pt>
                <c:pt idx="92">
                  <c:v>692</c:v>
                </c:pt>
                <c:pt idx="93">
                  <c:v>805</c:v>
                </c:pt>
                <c:pt idx="94">
                  <c:v>986</c:v>
                </c:pt>
                <c:pt idx="95">
                  <c:v>1061</c:v>
                </c:pt>
                <c:pt idx="96">
                  <c:v>1342</c:v>
                </c:pt>
                <c:pt idx="97">
                  <c:v>1686</c:v>
                </c:pt>
                <c:pt idx="98">
                  <c:v>1892</c:v>
                </c:pt>
                <c:pt idx="99">
                  <c:v>1866</c:v>
                </c:pt>
                <c:pt idx="100">
                  <c:v>1789</c:v>
                </c:pt>
                <c:pt idx="101">
                  <c:v>1560</c:v>
                </c:pt>
                <c:pt idx="102">
                  <c:v>1739</c:v>
                </c:pt>
                <c:pt idx="103">
                  <c:v>1557</c:v>
                </c:pt>
                <c:pt idx="104">
                  <c:v>1396</c:v>
                </c:pt>
                <c:pt idx="105">
                  <c:v>1410</c:v>
                </c:pt>
                <c:pt idx="106">
                  <c:v>1343</c:v>
                </c:pt>
                <c:pt idx="107">
                  <c:v>1436</c:v>
                </c:pt>
                <c:pt idx="108">
                  <c:v>1197</c:v>
                </c:pt>
                <c:pt idx="109">
                  <c:v>1045</c:v>
                </c:pt>
                <c:pt idx="110">
                  <c:v>958</c:v>
                </c:pt>
                <c:pt idx="111">
                  <c:v>988</c:v>
                </c:pt>
                <c:pt idx="112">
                  <c:v>957</c:v>
                </c:pt>
                <c:pt idx="113">
                  <c:v>754</c:v>
                </c:pt>
                <c:pt idx="114">
                  <c:v>608</c:v>
                </c:pt>
                <c:pt idx="115">
                  <c:v>479</c:v>
                </c:pt>
                <c:pt idx="116">
                  <c:v>287</c:v>
                </c:pt>
                <c:pt idx="117">
                  <c:v>146</c:v>
                </c:pt>
                <c:pt idx="118">
                  <c:v>89</c:v>
                </c:pt>
                <c:pt idx="119">
                  <c:v>53</c:v>
                </c:pt>
                <c:pt idx="120">
                  <c:v>7</c:v>
                </c:pt>
                <c:pt idx="121">
                  <c:v>1</c:v>
                </c:pt>
                <c:pt idx="122">
                  <c:v>0</c:v>
                </c:pt>
                <c:pt idx="123">
                  <c:v>1</c:v>
                </c:pt>
                <c:pt idx="124">
                  <c:v>0</c:v>
                </c:pt>
                <c:pt idx="125">
                  <c:v>0</c:v>
                </c:pt>
                <c:pt idx="126">
                  <c:v>0</c:v>
                </c:pt>
                <c:pt idx="127">
                  <c:v>0</c:v>
                </c:pt>
                <c:pt idx="128">
                  <c:v>0</c:v>
                </c:pt>
                <c:pt idx="129">
                  <c:v>2</c:v>
                </c:pt>
                <c:pt idx="130">
                  <c:v>5</c:v>
                </c:pt>
                <c:pt idx="131">
                  <c:v>18</c:v>
                </c:pt>
                <c:pt idx="132">
                  <c:v>67</c:v>
                </c:pt>
                <c:pt idx="133">
                  <c:v>210</c:v>
                </c:pt>
                <c:pt idx="134">
                  <c:v>271</c:v>
                </c:pt>
                <c:pt idx="135">
                  <c:v>296</c:v>
                </c:pt>
                <c:pt idx="136">
                  <c:v>319</c:v>
                </c:pt>
                <c:pt idx="137">
                  <c:v>439</c:v>
                </c:pt>
                <c:pt idx="138">
                  <c:v>462</c:v>
                </c:pt>
                <c:pt idx="139">
                  <c:v>440</c:v>
                </c:pt>
                <c:pt idx="140">
                  <c:v>370</c:v>
                </c:pt>
                <c:pt idx="141">
                  <c:v>332</c:v>
                </c:pt>
                <c:pt idx="142">
                  <c:v>288</c:v>
                </c:pt>
                <c:pt idx="143">
                  <c:v>193</c:v>
                </c:pt>
                <c:pt idx="144">
                  <c:v>139</c:v>
                </c:pt>
                <c:pt idx="145">
                  <c:v>122</c:v>
                </c:pt>
                <c:pt idx="146">
                  <c:v>115</c:v>
                </c:pt>
                <c:pt idx="147">
                  <c:v>119</c:v>
                </c:pt>
                <c:pt idx="148">
                  <c:v>106</c:v>
                </c:pt>
                <c:pt idx="149">
                  <c:v>40</c:v>
                </c:pt>
                <c:pt idx="150">
                  <c:v>8</c:v>
                </c:pt>
                <c:pt idx="151">
                  <c:v>0</c:v>
                </c:pt>
                <c:pt idx="152">
                  <c:v>0</c:v>
                </c:pt>
                <c:pt idx="153">
                  <c:v>6</c:v>
                </c:pt>
                <c:pt idx="154">
                  <c:v>56</c:v>
                </c:pt>
                <c:pt idx="155">
                  <c:v>176</c:v>
                </c:pt>
                <c:pt idx="156">
                  <c:v>372</c:v>
                </c:pt>
                <c:pt idx="157">
                  <c:v>674</c:v>
                </c:pt>
                <c:pt idx="158">
                  <c:v>844</c:v>
                </c:pt>
                <c:pt idx="159">
                  <c:v>728</c:v>
                </c:pt>
                <c:pt idx="160">
                  <c:v>863</c:v>
                </c:pt>
                <c:pt idx="161">
                  <c:v>943</c:v>
                </c:pt>
                <c:pt idx="162">
                  <c:v>981</c:v>
                </c:pt>
                <c:pt idx="163">
                  <c:v>864</c:v>
                </c:pt>
                <c:pt idx="164">
                  <c:v>695</c:v>
                </c:pt>
                <c:pt idx="165">
                  <c:v>581</c:v>
                </c:pt>
                <c:pt idx="166">
                  <c:v>416</c:v>
                </c:pt>
                <c:pt idx="167">
                  <c:v>336</c:v>
                </c:pt>
              </c:numCache>
            </c:numRef>
          </c:val>
          <c:extLst>
            <c:ext xmlns:c16="http://schemas.microsoft.com/office/drawing/2014/chart" uri="{C3380CC4-5D6E-409C-BE32-E72D297353CC}">
              <c16:uniqueId val="{00000000-DCB7-4F66-BBD7-DA07D7EF512C}"/>
            </c:ext>
          </c:extLst>
        </c:ser>
        <c:ser>
          <c:idx val="1"/>
          <c:order val="1"/>
          <c:tx>
            <c:strRef>
              <c:f>'[OSW_Weekly_Output_ss.xlsx]Event_%_Base'!$R$2</c:f>
              <c:strCache>
                <c:ptCount val="1"/>
                <c:pt idx="0">
                  <c:v>NY_K_OSW</c:v>
                </c:pt>
              </c:strCache>
            </c:strRef>
          </c:tx>
          <c:spPr>
            <a:solidFill>
              <a:srgbClr val="00A7E2"/>
            </a:solidFill>
            <a:ln>
              <a:noFill/>
            </a:ln>
            <a:effectLst/>
          </c:spPr>
          <c:val>
            <c:numRef>
              <c:f>'[OSW_Weekly_Output_ss.xlsx]Event_%_Base'!$R$3:$R$170</c:f>
              <c:numCache>
                <c:formatCode>0</c:formatCode>
                <c:ptCount val="168"/>
                <c:pt idx="0">
                  <c:v>131</c:v>
                </c:pt>
                <c:pt idx="1">
                  <c:v>109</c:v>
                </c:pt>
                <c:pt idx="2">
                  <c:v>120</c:v>
                </c:pt>
                <c:pt idx="3">
                  <c:v>112</c:v>
                </c:pt>
                <c:pt idx="4">
                  <c:v>144</c:v>
                </c:pt>
                <c:pt idx="5">
                  <c:v>161</c:v>
                </c:pt>
                <c:pt idx="6">
                  <c:v>239</c:v>
                </c:pt>
                <c:pt idx="7">
                  <c:v>305</c:v>
                </c:pt>
                <c:pt idx="8">
                  <c:v>329</c:v>
                </c:pt>
                <c:pt idx="9">
                  <c:v>378</c:v>
                </c:pt>
                <c:pt idx="10">
                  <c:v>447</c:v>
                </c:pt>
                <c:pt idx="11">
                  <c:v>446</c:v>
                </c:pt>
                <c:pt idx="12">
                  <c:v>446</c:v>
                </c:pt>
                <c:pt idx="13">
                  <c:v>460</c:v>
                </c:pt>
                <c:pt idx="14">
                  <c:v>476</c:v>
                </c:pt>
                <c:pt idx="15">
                  <c:v>461</c:v>
                </c:pt>
                <c:pt idx="16">
                  <c:v>430</c:v>
                </c:pt>
                <c:pt idx="17">
                  <c:v>463</c:v>
                </c:pt>
                <c:pt idx="18">
                  <c:v>468</c:v>
                </c:pt>
                <c:pt idx="19">
                  <c:v>439</c:v>
                </c:pt>
                <c:pt idx="20">
                  <c:v>461</c:v>
                </c:pt>
                <c:pt idx="21">
                  <c:v>450</c:v>
                </c:pt>
                <c:pt idx="22">
                  <c:v>413</c:v>
                </c:pt>
                <c:pt idx="23">
                  <c:v>353</c:v>
                </c:pt>
                <c:pt idx="24">
                  <c:v>377</c:v>
                </c:pt>
                <c:pt idx="25">
                  <c:v>311</c:v>
                </c:pt>
                <c:pt idx="26">
                  <c:v>377</c:v>
                </c:pt>
                <c:pt idx="27">
                  <c:v>405</c:v>
                </c:pt>
                <c:pt idx="28">
                  <c:v>435</c:v>
                </c:pt>
                <c:pt idx="29">
                  <c:v>443</c:v>
                </c:pt>
                <c:pt idx="30">
                  <c:v>498</c:v>
                </c:pt>
                <c:pt idx="31">
                  <c:v>479</c:v>
                </c:pt>
                <c:pt idx="32">
                  <c:v>573</c:v>
                </c:pt>
                <c:pt idx="33">
                  <c:v>667</c:v>
                </c:pt>
                <c:pt idx="34">
                  <c:v>891</c:v>
                </c:pt>
                <c:pt idx="35">
                  <c:v>1075</c:v>
                </c:pt>
                <c:pt idx="36">
                  <c:v>1297</c:v>
                </c:pt>
                <c:pt idx="37">
                  <c:v>1365</c:v>
                </c:pt>
                <c:pt idx="38">
                  <c:v>1397</c:v>
                </c:pt>
                <c:pt idx="39">
                  <c:v>1449</c:v>
                </c:pt>
                <c:pt idx="40">
                  <c:v>1484</c:v>
                </c:pt>
                <c:pt idx="41">
                  <c:v>1693</c:v>
                </c:pt>
                <c:pt idx="42">
                  <c:v>1658</c:v>
                </c:pt>
                <c:pt idx="43">
                  <c:v>1620</c:v>
                </c:pt>
                <c:pt idx="44">
                  <c:v>1378</c:v>
                </c:pt>
                <c:pt idx="45">
                  <c:v>1237.5999999999999</c:v>
                </c:pt>
                <c:pt idx="46">
                  <c:v>1047</c:v>
                </c:pt>
                <c:pt idx="47">
                  <c:v>594</c:v>
                </c:pt>
                <c:pt idx="48">
                  <c:v>118</c:v>
                </c:pt>
                <c:pt idx="49">
                  <c:v>107</c:v>
                </c:pt>
                <c:pt idx="50">
                  <c:v>206</c:v>
                </c:pt>
                <c:pt idx="51">
                  <c:v>265</c:v>
                </c:pt>
                <c:pt idx="52">
                  <c:v>188</c:v>
                </c:pt>
                <c:pt idx="53">
                  <c:v>220</c:v>
                </c:pt>
                <c:pt idx="54">
                  <c:v>251</c:v>
                </c:pt>
                <c:pt idx="55">
                  <c:v>140</c:v>
                </c:pt>
                <c:pt idx="56">
                  <c:v>44</c:v>
                </c:pt>
                <c:pt idx="57">
                  <c:v>23</c:v>
                </c:pt>
                <c:pt idx="58">
                  <c:v>27</c:v>
                </c:pt>
                <c:pt idx="59">
                  <c:v>48</c:v>
                </c:pt>
                <c:pt idx="60">
                  <c:v>149</c:v>
                </c:pt>
                <c:pt idx="61">
                  <c:v>191</c:v>
                </c:pt>
                <c:pt idx="62">
                  <c:v>113</c:v>
                </c:pt>
                <c:pt idx="63">
                  <c:v>150</c:v>
                </c:pt>
                <c:pt idx="64">
                  <c:v>80</c:v>
                </c:pt>
                <c:pt idx="65">
                  <c:v>84</c:v>
                </c:pt>
                <c:pt idx="66">
                  <c:v>80</c:v>
                </c:pt>
                <c:pt idx="67">
                  <c:v>57</c:v>
                </c:pt>
                <c:pt idx="68">
                  <c:v>95</c:v>
                </c:pt>
                <c:pt idx="69">
                  <c:v>42</c:v>
                </c:pt>
                <c:pt idx="70">
                  <c:v>25</c:v>
                </c:pt>
                <c:pt idx="71">
                  <c:v>56</c:v>
                </c:pt>
                <c:pt idx="72">
                  <c:v>148</c:v>
                </c:pt>
                <c:pt idx="73">
                  <c:v>188</c:v>
                </c:pt>
                <c:pt idx="74">
                  <c:v>239</c:v>
                </c:pt>
                <c:pt idx="75">
                  <c:v>230</c:v>
                </c:pt>
                <c:pt idx="76">
                  <c:v>226</c:v>
                </c:pt>
                <c:pt idx="77">
                  <c:v>173</c:v>
                </c:pt>
                <c:pt idx="78">
                  <c:v>223</c:v>
                </c:pt>
                <c:pt idx="79">
                  <c:v>228</c:v>
                </c:pt>
                <c:pt idx="80">
                  <c:v>164</c:v>
                </c:pt>
                <c:pt idx="81">
                  <c:v>137</c:v>
                </c:pt>
                <c:pt idx="82">
                  <c:v>122</c:v>
                </c:pt>
                <c:pt idx="83">
                  <c:v>182</c:v>
                </c:pt>
                <c:pt idx="84">
                  <c:v>269</c:v>
                </c:pt>
                <c:pt idx="85">
                  <c:v>271</c:v>
                </c:pt>
                <c:pt idx="86">
                  <c:v>280</c:v>
                </c:pt>
                <c:pt idx="87">
                  <c:v>293</c:v>
                </c:pt>
                <c:pt idx="88">
                  <c:v>278</c:v>
                </c:pt>
                <c:pt idx="89">
                  <c:v>305</c:v>
                </c:pt>
                <c:pt idx="90">
                  <c:v>341</c:v>
                </c:pt>
                <c:pt idx="91">
                  <c:v>319</c:v>
                </c:pt>
                <c:pt idx="92">
                  <c:v>307</c:v>
                </c:pt>
                <c:pt idx="93">
                  <c:v>310</c:v>
                </c:pt>
                <c:pt idx="94">
                  <c:v>341</c:v>
                </c:pt>
                <c:pt idx="95">
                  <c:v>407</c:v>
                </c:pt>
                <c:pt idx="96">
                  <c:v>392</c:v>
                </c:pt>
                <c:pt idx="97">
                  <c:v>361</c:v>
                </c:pt>
                <c:pt idx="98">
                  <c:v>396</c:v>
                </c:pt>
                <c:pt idx="99">
                  <c:v>510</c:v>
                </c:pt>
                <c:pt idx="100">
                  <c:v>617</c:v>
                </c:pt>
                <c:pt idx="101">
                  <c:v>714</c:v>
                </c:pt>
                <c:pt idx="102">
                  <c:v>786</c:v>
                </c:pt>
                <c:pt idx="103">
                  <c:v>806</c:v>
                </c:pt>
                <c:pt idx="104">
                  <c:v>772</c:v>
                </c:pt>
                <c:pt idx="105">
                  <c:v>760</c:v>
                </c:pt>
                <c:pt idx="106">
                  <c:v>710</c:v>
                </c:pt>
                <c:pt idx="107">
                  <c:v>779</c:v>
                </c:pt>
                <c:pt idx="108">
                  <c:v>673</c:v>
                </c:pt>
                <c:pt idx="109">
                  <c:v>561</c:v>
                </c:pt>
                <c:pt idx="110">
                  <c:v>597</c:v>
                </c:pt>
                <c:pt idx="111">
                  <c:v>554</c:v>
                </c:pt>
                <c:pt idx="112">
                  <c:v>540</c:v>
                </c:pt>
                <c:pt idx="113">
                  <c:v>496</c:v>
                </c:pt>
                <c:pt idx="114">
                  <c:v>411</c:v>
                </c:pt>
                <c:pt idx="115">
                  <c:v>341</c:v>
                </c:pt>
                <c:pt idx="116">
                  <c:v>242</c:v>
                </c:pt>
                <c:pt idx="117">
                  <c:v>203</c:v>
                </c:pt>
                <c:pt idx="118">
                  <c:v>173</c:v>
                </c:pt>
                <c:pt idx="119">
                  <c:v>121</c:v>
                </c:pt>
                <c:pt idx="120">
                  <c:v>86</c:v>
                </c:pt>
                <c:pt idx="121">
                  <c:v>101</c:v>
                </c:pt>
                <c:pt idx="122">
                  <c:v>90</c:v>
                </c:pt>
                <c:pt idx="123">
                  <c:v>116</c:v>
                </c:pt>
                <c:pt idx="124">
                  <c:v>90</c:v>
                </c:pt>
                <c:pt idx="125">
                  <c:v>77</c:v>
                </c:pt>
                <c:pt idx="126">
                  <c:v>52</c:v>
                </c:pt>
                <c:pt idx="127">
                  <c:v>22</c:v>
                </c:pt>
                <c:pt idx="128">
                  <c:v>18</c:v>
                </c:pt>
                <c:pt idx="129">
                  <c:v>0</c:v>
                </c:pt>
                <c:pt idx="130">
                  <c:v>1</c:v>
                </c:pt>
                <c:pt idx="131">
                  <c:v>3</c:v>
                </c:pt>
                <c:pt idx="132">
                  <c:v>7</c:v>
                </c:pt>
                <c:pt idx="133">
                  <c:v>19</c:v>
                </c:pt>
                <c:pt idx="134">
                  <c:v>38</c:v>
                </c:pt>
                <c:pt idx="135">
                  <c:v>43</c:v>
                </c:pt>
                <c:pt idx="136">
                  <c:v>49</c:v>
                </c:pt>
                <c:pt idx="137">
                  <c:v>77</c:v>
                </c:pt>
                <c:pt idx="138">
                  <c:v>69</c:v>
                </c:pt>
                <c:pt idx="139">
                  <c:v>104</c:v>
                </c:pt>
                <c:pt idx="140">
                  <c:v>90</c:v>
                </c:pt>
                <c:pt idx="141">
                  <c:v>67</c:v>
                </c:pt>
                <c:pt idx="142">
                  <c:v>66</c:v>
                </c:pt>
                <c:pt idx="143">
                  <c:v>74</c:v>
                </c:pt>
                <c:pt idx="144">
                  <c:v>77</c:v>
                </c:pt>
                <c:pt idx="145">
                  <c:v>61</c:v>
                </c:pt>
                <c:pt idx="146">
                  <c:v>63</c:v>
                </c:pt>
                <c:pt idx="147">
                  <c:v>78</c:v>
                </c:pt>
                <c:pt idx="148">
                  <c:v>62</c:v>
                </c:pt>
                <c:pt idx="149">
                  <c:v>77</c:v>
                </c:pt>
                <c:pt idx="150">
                  <c:v>52</c:v>
                </c:pt>
                <c:pt idx="151">
                  <c:v>51</c:v>
                </c:pt>
                <c:pt idx="152">
                  <c:v>51</c:v>
                </c:pt>
                <c:pt idx="153">
                  <c:v>58</c:v>
                </c:pt>
                <c:pt idx="154">
                  <c:v>94</c:v>
                </c:pt>
                <c:pt idx="155">
                  <c:v>162</c:v>
                </c:pt>
                <c:pt idx="156">
                  <c:v>281</c:v>
                </c:pt>
                <c:pt idx="157">
                  <c:v>464</c:v>
                </c:pt>
                <c:pt idx="158">
                  <c:v>550</c:v>
                </c:pt>
                <c:pt idx="159">
                  <c:v>569</c:v>
                </c:pt>
                <c:pt idx="160">
                  <c:v>472</c:v>
                </c:pt>
                <c:pt idx="161">
                  <c:v>464</c:v>
                </c:pt>
                <c:pt idx="162">
                  <c:v>507</c:v>
                </c:pt>
                <c:pt idx="163">
                  <c:v>442</c:v>
                </c:pt>
                <c:pt idx="164">
                  <c:v>407</c:v>
                </c:pt>
                <c:pt idx="165">
                  <c:v>365</c:v>
                </c:pt>
                <c:pt idx="166">
                  <c:v>346</c:v>
                </c:pt>
                <c:pt idx="167">
                  <c:v>292</c:v>
                </c:pt>
              </c:numCache>
            </c:numRef>
          </c:val>
          <c:extLst>
            <c:ext xmlns:c16="http://schemas.microsoft.com/office/drawing/2014/chart" uri="{C3380CC4-5D6E-409C-BE32-E72D297353CC}">
              <c16:uniqueId val="{00000001-DCB7-4F66-BBD7-DA07D7EF512C}"/>
            </c:ext>
          </c:extLst>
        </c:ser>
        <c:dLbls>
          <c:showLegendKey val="0"/>
          <c:showVal val="0"/>
          <c:showCatName val="0"/>
          <c:showSerName val="0"/>
          <c:showPercent val="0"/>
          <c:showBubbleSize val="0"/>
        </c:dLbls>
        <c:axId val="505000527"/>
        <c:axId val="504999279"/>
      </c:areaChart>
      <c:lineChart>
        <c:grouping val="standard"/>
        <c:varyColors val="0"/>
        <c:ser>
          <c:idx val="2"/>
          <c:order val="2"/>
          <c:tx>
            <c:strRef>
              <c:f>'[OSW_Weekly_Output_ss.xlsx]Event_%_Base'!$T$2</c:f>
              <c:strCache>
                <c:ptCount val="1"/>
                <c:pt idx="0">
                  <c:v>Nameplate</c:v>
                </c:pt>
              </c:strCache>
            </c:strRef>
          </c:tx>
          <c:spPr>
            <a:ln w="28575" cap="rnd">
              <a:solidFill>
                <a:schemeClr val="tx1"/>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2-DCB7-4F66-BBD7-DA07D7EF512C}"/>
                </c:ext>
              </c:extLst>
            </c:dLbl>
            <c:dLbl>
              <c:idx val="1"/>
              <c:delete val="1"/>
              <c:extLst>
                <c:ext xmlns:c15="http://schemas.microsoft.com/office/drawing/2012/chart" uri="{CE6537A1-D6FC-4f65-9D91-7224C49458BB}"/>
                <c:ext xmlns:c16="http://schemas.microsoft.com/office/drawing/2014/chart" uri="{C3380CC4-5D6E-409C-BE32-E72D297353CC}">
                  <c16:uniqueId val="{00000003-DCB7-4F66-BBD7-DA07D7EF512C}"/>
                </c:ext>
              </c:extLst>
            </c:dLbl>
            <c:dLbl>
              <c:idx val="2"/>
              <c:delete val="1"/>
              <c:extLst>
                <c:ext xmlns:c15="http://schemas.microsoft.com/office/drawing/2012/chart" uri="{CE6537A1-D6FC-4f65-9D91-7224C49458BB}"/>
                <c:ext xmlns:c16="http://schemas.microsoft.com/office/drawing/2014/chart" uri="{C3380CC4-5D6E-409C-BE32-E72D297353CC}">
                  <c16:uniqueId val="{00000004-DCB7-4F66-BBD7-DA07D7EF512C}"/>
                </c:ext>
              </c:extLst>
            </c:dLbl>
            <c:dLbl>
              <c:idx val="3"/>
              <c:delete val="1"/>
              <c:extLst>
                <c:ext xmlns:c15="http://schemas.microsoft.com/office/drawing/2012/chart" uri="{CE6537A1-D6FC-4f65-9D91-7224C49458BB}"/>
                <c:ext xmlns:c16="http://schemas.microsoft.com/office/drawing/2014/chart" uri="{C3380CC4-5D6E-409C-BE32-E72D297353CC}">
                  <c16:uniqueId val="{00000005-DCB7-4F66-BBD7-DA07D7EF512C}"/>
                </c:ext>
              </c:extLst>
            </c:dLbl>
            <c:dLbl>
              <c:idx val="4"/>
              <c:delete val="1"/>
              <c:extLst>
                <c:ext xmlns:c15="http://schemas.microsoft.com/office/drawing/2012/chart" uri="{CE6537A1-D6FC-4f65-9D91-7224C49458BB}"/>
                <c:ext xmlns:c16="http://schemas.microsoft.com/office/drawing/2014/chart" uri="{C3380CC4-5D6E-409C-BE32-E72D297353CC}">
                  <c16:uniqueId val="{00000006-DCB7-4F66-BBD7-DA07D7EF512C}"/>
                </c:ext>
              </c:extLst>
            </c:dLbl>
            <c:dLbl>
              <c:idx val="5"/>
              <c:delete val="1"/>
              <c:extLst>
                <c:ext xmlns:c15="http://schemas.microsoft.com/office/drawing/2012/chart" uri="{CE6537A1-D6FC-4f65-9D91-7224C49458BB}"/>
                <c:ext xmlns:c16="http://schemas.microsoft.com/office/drawing/2014/chart" uri="{C3380CC4-5D6E-409C-BE32-E72D297353CC}">
                  <c16:uniqueId val="{00000007-DCB7-4F66-BBD7-DA07D7EF512C}"/>
                </c:ext>
              </c:extLst>
            </c:dLbl>
            <c:dLbl>
              <c:idx val="6"/>
              <c:delete val="1"/>
              <c:extLst>
                <c:ext xmlns:c15="http://schemas.microsoft.com/office/drawing/2012/chart" uri="{CE6537A1-D6FC-4f65-9D91-7224C49458BB}"/>
                <c:ext xmlns:c16="http://schemas.microsoft.com/office/drawing/2014/chart" uri="{C3380CC4-5D6E-409C-BE32-E72D297353CC}">
                  <c16:uniqueId val="{00000008-DCB7-4F66-BBD7-DA07D7EF512C}"/>
                </c:ext>
              </c:extLst>
            </c:dLbl>
            <c:dLbl>
              <c:idx val="7"/>
              <c:delete val="1"/>
              <c:extLst>
                <c:ext xmlns:c15="http://schemas.microsoft.com/office/drawing/2012/chart" uri="{CE6537A1-D6FC-4f65-9D91-7224C49458BB}"/>
                <c:ext xmlns:c16="http://schemas.microsoft.com/office/drawing/2014/chart" uri="{C3380CC4-5D6E-409C-BE32-E72D297353CC}">
                  <c16:uniqueId val="{00000009-DCB7-4F66-BBD7-DA07D7EF512C}"/>
                </c:ext>
              </c:extLst>
            </c:dLbl>
            <c:dLbl>
              <c:idx val="8"/>
              <c:delete val="1"/>
              <c:extLst>
                <c:ext xmlns:c15="http://schemas.microsoft.com/office/drawing/2012/chart" uri="{CE6537A1-D6FC-4f65-9D91-7224C49458BB}"/>
                <c:ext xmlns:c16="http://schemas.microsoft.com/office/drawing/2014/chart" uri="{C3380CC4-5D6E-409C-BE32-E72D297353CC}">
                  <c16:uniqueId val="{0000000A-DCB7-4F66-BBD7-DA07D7EF512C}"/>
                </c:ext>
              </c:extLst>
            </c:dLbl>
            <c:dLbl>
              <c:idx val="9"/>
              <c:delete val="1"/>
              <c:extLst>
                <c:ext xmlns:c15="http://schemas.microsoft.com/office/drawing/2012/chart" uri="{CE6537A1-D6FC-4f65-9D91-7224C49458BB}"/>
                <c:ext xmlns:c16="http://schemas.microsoft.com/office/drawing/2014/chart" uri="{C3380CC4-5D6E-409C-BE32-E72D297353CC}">
                  <c16:uniqueId val="{0000000B-DCB7-4F66-BBD7-DA07D7EF512C}"/>
                </c:ext>
              </c:extLst>
            </c:dLbl>
            <c:dLbl>
              <c:idx val="10"/>
              <c:delete val="1"/>
              <c:extLst>
                <c:ext xmlns:c15="http://schemas.microsoft.com/office/drawing/2012/chart" uri="{CE6537A1-D6FC-4f65-9D91-7224C49458BB}"/>
                <c:ext xmlns:c16="http://schemas.microsoft.com/office/drawing/2014/chart" uri="{C3380CC4-5D6E-409C-BE32-E72D297353CC}">
                  <c16:uniqueId val="{0000000C-DCB7-4F66-BBD7-DA07D7EF512C}"/>
                </c:ext>
              </c:extLst>
            </c:dLbl>
            <c:dLbl>
              <c:idx val="11"/>
              <c:delete val="1"/>
              <c:extLst>
                <c:ext xmlns:c15="http://schemas.microsoft.com/office/drawing/2012/chart" uri="{CE6537A1-D6FC-4f65-9D91-7224C49458BB}"/>
                <c:ext xmlns:c16="http://schemas.microsoft.com/office/drawing/2014/chart" uri="{C3380CC4-5D6E-409C-BE32-E72D297353CC}">
                  <c16:uniqueId val="{0000000D-DCB7-4F66-BBD7-DA07D7EF512C}"/>
                </c:ext>
              </c:extLst>
            </c:dLbl>
            <c:dLbl>
              <c:idx val="12"/>
              <c:delete val="1"/>
              <c:extLst>
                <c:ext xmlns:c15="http://schemas.microsoft.com/office/drawing/2012/chart" uri="{CE6537A1-D6FC-4f65-9D91-7224C49458BB}"/>
                <c:ext xmlns:c16="http://schemas.microsoft.com/office/drawing/2014/chart" uri="{C3380CC4-5D6E-409C-BE32-E72D297353CC}">
                  <c16:uniqueId val="{0000000E-DCB7-4F66-BBD7-DA07D7EF512C}"/>
                </c:ext>
              </c:extLst>
            </c:dLbl>
            <c:dLbl>
              <c:idx val="13"/>
              <c:delete val="1"/>
              <c:extLst>
                <c:ext xmlns:c15="http://schemas.microsoft.com/office/drawing/2012/chart" uri="{CE6537A1-D6FC-4f65-9D91-7224C49458BB}"/>
                <c:ext xmlns:c16="http://schemas.microsoft.com/office/drawing/2014/chart" uri="{C3380CC4-5D6E-409C-BE32-E72D297353CC}">
                  <c16:uniqueId val="{0000000F-DCB7-4F66-BBD7-DA07D7EF512C}"/>
                </c:ext>
              </c:extLst>
            </c:dLbl>
            <c:dLbl>
              <c:idx val="14"/>
              <c:delete val="1"/>
              <c:extLst>
                <c:ext xmlns:c15="http://schemas.microsoft.com/office/drawing/2012/chart" uri="{CE6537A1-D6FC-4f65-9D91-7224C49458BB}"/>
                <c:ext xmlns:c16="http://schemas.microsoft.com/office/drawing/2014/chart" uri="{C3380CC4-5D6E-409C-BE32-E72D297353CC}">
                  <c16:uniqueId val="{00000010-DCB7-4F66-BBD7-DA07D7EF512C}"/>
                </c:ext>
              </c:extLst>
            </c:dLbl>
            <c:dLbl>
              <c:idx val="15"/>
              <c:delete val="1"/>
              <c:extLst>
                <c:ext xmlns:c15="http://schemas.microsoft.com/office/drawing/2012/chart" uri="{CE6537A1-D6FC-4f65-9D91-7224C49458BB}"/>
                <c:ext xmlns:c16="http://schemas.microsoft.com/office/drawing/2014/chart" uri="{C3380CC4-5D6E-409C-BE32-E72D297353CC}">
                  <c16:uniqueId val="{00000011-DCB7-4F66-BBD7-DA07D7EF512C}"/>
                </c:ext>
              </c:extLst>
            </c:dLbl>
            <c:dLbl>
              <c:idx val="16"/>
              <c:delete val="1"/>
              <c:extLst>
                <c:ext xmlns:c15="http://schemas.microsoft.com/office/drawing/2012/chart" uri="{CE6537A1-D6FC-4f65-9D91-7224C49458BB}"/>
                <c:ext xmlns:c16="http://schemas.microsoft.com/office/drawing/2014/chart" uri="{C3380CC4-5D6E-409C-BE32-E72D297353CC}">
                  <c16:uniqueId val="{00000012-DCB7-4F66-BBD7-DA07D7EF512C}"/>
                </c:ext>
              </c:extLst>
            </c:dLbl>
            <c:dLbl>
              <c:idx val="17"/>
              <c:delete val="1"/>
              <c:extLst>
                <c:ext xmlns:c15="http://schemas.microsoft.com/office/drawing/2012/chart" uri="{CE6537A1-D6FC-4f65-9D91-7224C49458BB}"/>
                <c:ext xmlns:c16="http://schemas.microsoft.com/office/drawing/2014/chart" uri="{C3380CC4-5D6E-409C-BE32-E72D297353CC}">
                  <c16:uniqueId val="{00000013-DCB7-4F66-BBD7-DA07D7EF512C}"/>
                </c:ext>
              </c:extLst>
            </c:dLbl>
            <c:dLbl>
              <c:idx val="18"/>
              <c:delete val="1"/>
              <c:extLst>
                <c:ext xmlns:c15="http://schemas.microsoft.com/office/drawing/2012/chart" uri="{CE6537A1-D6FC-4f65-9D91-7224C49458BB}"/>
                <c:ext xmlns:c16="http://schemas.microsoft.com/office/drawing/2014/chart" uri="{C3380CC4-5D6E-409C-BE32-E72D297353CC}">
                  <c16:uniqueId val="{00000014-DCB7-4F66-BBD7-DA07D7EF512C}"/>
                </c:ext>
              </c:extLst>
            </c:dLbl>
            <c:dLbl>
              <c:idx val="19"/>
              <c:delete val="1"/>
              <c:extLst>
                <c:ext xmlns:c15="http://schemas.microsoft.com/office/drawing/2012/chart" uri="{CE6537A1-D6FC-4f65-9D91-7224C49458BB}"/>
                <c:ext xmlns:c16="http://schemas.microsoft.com/office/drawing/2014/chart" uri="{C3380CC4-5D6E-409C-BE32-E72D297353CC}">
                  <c16:uniqueId val="{00000015-DCB7-4F66-BBD7-DA07D7EF512C}"/>
                </c:ext>
              </c:extLst>
            </c:dLbl>
            <c:dLbl>
              <c:idx val="20"/>
              <c:delete val="1"/>
              <c:extLst>
                <c:ext xmlns:c15="http://schemas.microsoft.com/office/drawing/2012/chart" uri="{CE6537A1-D6FC-4f65-9D91-7224C49458BB}"/>
                <c:ext xmlns:c16="http://schemas.microsoft.com/office/drawing/2014/chart" uri="{C3380CC4-5D6E-409C-BE32-E72D297353CC}">
                  <c16:uniqueId val="{00000016-DCB7-4F66-BBD7-DA07D7EF512C}"/>
                </c:ext>
              </c:extLst>
            </c:dLbl>
            <c:dLbl>
              <c:idx val="21"/>
              <c:delete val="1"/>
              <c:extLst>
                <c:ext xmlns:c15="http://schemas.microsoft.com/office/drawing/2012/chart" uri="{CE6537A1-D6FC-4f65-9D91-7224C49458BB}"/>
                <c:ext xmlns:c16="http://schemas.microsoft.com/office/drawing/2014/chart" uri="{C3380CC4-5D6E-409C-BE32-E72D297353CC}">
                  <c16:uniqueId val="{00000017-DCB7-4F66-BBD7-DA07D7EF512C}"/>
                </c:ext>
              </c:extLst>
            </c:dLbl>
            <c:dLbl>
              <c:idx val="22"/>
              <c:delete val="1"/>
              <c:extLst>
                <c:ext xmlns:c15="http://schemas.microsoft.com/office/drawing/2012/chart" uri="{CE6537A1-D6FC-4f65-9D91-7224C49458BB}"/>
                <c:ext xmlns:c16="http://schemas.microsoft.com/office/drawing/2014/chart" uri="{C3380CC4-5D6E-409C-BE32-E72D297353CC}">
                  <c16:uniqueId val="{00000018-DCB7-4F66-BBD7-DA07D7EF512C}"/>
                </c:ext>
              </c:extLst>
            </c:dLbl>
            <c:dLbl>
              <c:idx val="23"/>
              <c:delete val="1"/>
              <c:extLst>
                <c:ext xmlns:c15="http://schemas.microsoft.com/office/drawing/2012/chart" uri="{CE6537A1-D6FC-4f65-9D91-7224C49458BB}"/>
                <c:ext xmlns:c16="http://schemas.microsoft.com/office/drawing/2014/chart" uri="{C3380CC4-5D6E-409C-BE32-E72D297353CC}">
                  <c16:uniqueId val="{00000019-DCB7-4F66-BBD7-DA07D7EF512C}"/>
                </c:ext>
              </c:extLst>
            </c:dLbl>
            <c:dLbl>
              <c:idx val="24"/>
              <c:delete val="1"/>
              <c:extLst>
                <c:ext xmlns:c15="http://schemas.microsoft.com/office/drawing/2012/chart" uri="{CE6537A1-D6FC-4f65-9D91-7224C49458BB}"/>
                <c:ext xmlns:c16="http://schemas.microsoft.com/office/drawing/2014/chart" uri="{C3380CC4-5D6E-409C-BE32-E72D297353CC}">
                  <c16:uniqueId val="{0000001A-DCB7-4F66-BBD7-DA07D7EF512C}"/>
                </c:ext>
              </c:extLst>
            </c:dLbl>
            <c:dLbl>
              <c:idx val="25"/>
              <c:delete val="1"/>
              <c:extLst>
                <c:ext xmlns:c15="http://schemas.microsoft.com/office/drawing/2012/chart" uri="{CE6537A1-D6FC-4f65-9D91-7224C49458BB}"/>
                <c:ext xmlns:c16="http://schemas.microsoft.com/office/drawing/2014/chart" uri="{C3380CC4-5D6E-409C-BE32-E72D297353CC}">
                  <c16:uniqueId val="{0000001B-DCB7-4F66-BBD7-DA07D7EF512C}"/>
                </c:ext>
              </c:extLst>
            </c:dLbl>
            <c:dLbl>
              <c:idx val="26"/>
              <c:delete val="1"/>
              <c:extLst>
                <c:ext xmlns:c15="http://schemas.microsoft.com/office/drawing/2012/chart" uri="{CE6537A1-D6FC-4f65-9D91-7224C49458BB}"/>
                <c:ext xmlns:c16="http://schemas.microsoft.com/office/drawing/2014/chart" uri="{C3380CC4-5D6E-409C-BE32-E72D297353CC}">
                  <c16:uniqueId val="{0000001C-DCB7-4F66-BBD7-DA07D7EF512C}"/>
                </c:ext>
              </c:extLst>
            </c:dLbl>
            <c:dLbl>
              <c:idx val="27"/>
              <c:delete val="1"/>
              <c:extLst>
                <c:ext xmlns:c15="http://schemas.microsoft.com/office/drawing/2012/chart" uri="{CE6537A1-D6FC-4f65-9D91-7224C49458BB}"/>
                <c:ext xmlns:c16="http://schemas.microsoft.com/office/drawing/2014/chart" uri="{C3380CC4-5D6E-409C-BE32-E72D297353CC}">
                  <c16:uniqueId val="{0000001D-DCB7-4F66-BBD7-DA07D7EF512C}"/>
                </c:ext>
              </c:extLst>
            </c:dLbl>
            <c:dLbl>
              <c:idx val="28"/>
              <c:delete val="1"/>
              <c:extLst>
                <c:ext xmlns:c15="http://schemas.microsoft.com/office/drawing/2012/chart" uri="{CE6537A1-D6FC-4f65-9D91-7224C49458BB}"/>
                <c:ext xmlns:c16="http://schemas.microsoft.com/office/drawing/2014/chart" uri="{C3380CC4-5D6E-409C-BE32-E72D297353CC}">
                  <c16:uniqueId val="{0000001E-DCB7-4F66-BBD7-DA07D7EF512C}"/>
                </c:ext>
              </c:extLst>
            </c:dLbl>
            <c:dLbl>
              <c:idx val="29"/>
              <c:delete val="1"/>
              <c:extLst>
                <c:ext xmlns:c15="http://schemas.microsoft.com/office/drawing/2012/chart" uri="{CE6537A1-D6FC-4f65-9D91-7224C49458BB}"/>
                <c:ext xmlns:c16="http://schemas.microsoft.com/office/drawing/2014/chart" uri="{C3380CC4-5D6E-409C-BE32-E72D297353CC}">
                  <c16:uniqueId val="{0000001F-DCB7-4F66-BBD7-DA07D7EF512C}"/>
                </c:ext>
              </c:extLst>
            </c:dLbl>
            <c:dLbl>
              <c:idx val="30"/>
              <c:delete val="1"/>
              <c:extLst>
                <c:ext xmlns:c15="http://schemas.microsoft.com/office/drawing/2012/chart" uri="{CE6537A1-D6FC-4f65-9D91-7224C49458BB}"/>
                <c:ext xmlns:c16="http://schemas.microsoft.com/office/drawing/2014/chart" uri="{C3380CC4-5D6E-409C-BE32-E72D297353CC}">
                  <c16:uniqueId val="{00000020-DCB7-4F66-BBD7-DA07D7EF512C}"/>
                </c:ext>
              </c:extLst>
            </c:dLbl>
            <c:dLbl>
              <c:idx val="31"/>
              <c:delete val="1"/>
              <c:extLst>
                <c:ext xmlns:c15="http://schemas.microsoft.com/office/drawing/2012/chart" uri="{CE6537A1-D6FC-4f65-9D91-7224C49458BB}"/>
                <c:ext xmlns:c16="http://schemas.microsoft.com/office/drawing/2014/chart" uri="{C3380CC4-5D6E-409C-BE32-E72D297353CC}">
                  <c16:uniqueId val="{00000021-DCB7-4F66-BBD7-DA07D7EF512C}"/>
                </c:ext>
              </c:extLst>
            </c:dLbl>
            <c:dLbl>
              <c:idx val="32"/>
              <c:delete val="1"/>
              <c:extLst>
                <c:ext xmlns:c15="http://schemas.microsoft.com/office/drawing/2012/chart" uri="{CE6537A1-D6FC-4f65-9D91-7224C49458BB}"/>
                <c:ext xmlns:c16="http://schemas.microsoft.com/office/drawing/2014/chart" uri="{C3380CC4-5D6E-409C-BE32-E72D297353CC}">
                  <c16:uniqueId val="{00000022-DCB7-4F66-BBD7-DA07D7EF512C}"/>
                </c:ext>
              </c:extLst>
            </c:dLbl>
            <c:dLbl>
              <c:idx val="33"/>
              <c:delete val="1"/>
              <c:extLst>
                <c:ext xmlns:c15="http://schemas.microsoft.com/office/drawing/2012/chart" uri="{CE6537A1-D6FC-4f65-9D91-7224C49458BB}"/>
                <c:ext xmlns:c16="http://schemas.microsoft.com/office/drawing/2014/chart" uri="{C3380CC4-5D6E-409C-BE32-E72D297353CC}">
                  <c16:uniqueId val="{00000023-DCB7-4F66-BBD7-DA07D7EF512C}"/>
                </c:ext>
              </c:extLst>
            </c:dLbl>
            <c:dLbl>
              <c:idx val="34"/>
              <c:delete val="1"/>
              <c:extLst>
                <c:ext xmlns:c15="http://schemas.microsoft.com/office/drawing/2012/chart" uri="{CE6537A1-D6FC-4f65-9D91-7224C49458BB}"/>
                <c:ext xmlns:c16="http://schemas.microsoft.com/office/drawing/2014/chart" uri="{C3380CC4-5D6E-409C-BE32-E72D297353CC}">
                  <c16:uniqueId val="{00000024-DCB7-4F66-BBD7-DA07D7EF512C}"/>
                </c:ext>
              </c:extLst>
            </c:dLbl>
            <c:dLbl>
              <c:idx val="35"/>
              <c:delete val="1"/>
              <c:extLst>
                <c:ext xmlns:c15="http://schemas.microsoft.com/office/drawing/2012/chart" uri="{CE6537A1-D6FC-4f65-9D91-7224C49458BB}"/>
                <c:ext xmlns:c16="http://schemas.microsoft.com/office/drawing/2014/chart" uri="{C3380CC4-5D6E-409C-BE32-E72D297353CC}">
                  <c16:uniqueId val="{00000025-DCB7-4F66-BBD7-DA07D7EF512C}"/>
                </c:ext>
              </c:extLst>
            </c:dLbl>
            <c:dLbl>
              <c:idx val="36"/>
              <c:delete val="1"/>
              <c:extLst>
                <c:ext xmlns:c15="http://schemas.microsoft.com/office/drawing/2012/chart" uri="{CE6537A1-D6FC-4f65-9D91-7224C49458BB}"/>
                <c:ext xmlns:c16="http://schemas.microsoft.com/office/drawing/2014/chart" uri="{C3380CC4-5D6E-409C-BE32-E72D297353CC}">
                  <c16:uniqueId val="{00000026-DCB7-4F66-BBD7-DA07D7EF512C}"/>
                </c:ext>
              </c:extLst>
            </c:dLbl>
            <c:dLbl>
              <c:idx val="37"/>
              <c:delete val="1"/>
              <c:extLst>
                <c:ext xmlns:c15="http://schemas.microsoft.com/office/drawing/2012/chart" uri="{CE6537A1-D6FC-4f65-9D91-7224C49458BB}"/>
                <c:ext xmlns:c16="http://schemas.microsoft.com/office/drawing/2014/chart" uri="{C3380CC4-5D6E-409C-BE32-E72D297353CC}">
                  <c16:uniqueId val="{00000027-DCB7-4F66-BBD7-DA07D7EF512C}"/>
                </c:ext>
              </c:extLst>
            </c:dLbl>
            <c:dLbl>
              <c:idx val="38"/>
              <c:delete val="1"/>
              <c:extLst>
                <c:ext xmlns:c15="http://schemas.microsoft.com/office/drawing/2012/chart" uri="{CE6537A1-D6FC-4f65-9D91-7224C49458BB}"/>
                <c:ext xmlns:c16="http://schemas.microsoft.com/office/drawing/2014/chart" uri="{C3380CC4-5D6E-409C-BE32-E72D297353CC}">
                  <c16:uniqueId val="{00000028-DCB7-4F66-BBD7-DA07D7EF512C}"/>
                </c:ext>
              </c:extLst>
            </c:dLbl>
            <c:dLbl>
              <c:idx val="39"/>
              <c:delete val="1"/>
              <c:extLst>
                <c:ext xmlns:c15="http://schemas.microsoft.com/office/drawing/2012/chart" uri="{CE6537A1-D6FC-4f65-9D91-7224C49458BB}"/>
                <c:ext xmlns:c16="http://schemas.microsoft.com/office/drawing/2014/chart" uri="{C3380CC4-5D6E-409C-BE32-E72D297353CC}">
                  <c16:uniqueId val="{00000029-DCB7-4F66-BBD7-DA07D7EF512C}"/>
                </c:ext>
              </c:extLst>
            </c:dLbl>
            <c:dLbl>
              <c:idx val="40"/>
              <c:delete val="1"/>
              <c:extLst>
                <c:ext xmlns:c15="http://schemas.microsoft.com/office/drawing/2012/chart" uri="{CE6537A1-D6FC-4f65-9D91-7224C49458BB}"/>
                <c:ext xmlns:c16="http://schemas.microsoft.com/office/drawing/2014/chart" uri="{C3380CC4-5D6E-409C-BE32-E72D297353CC}">
                  <c16:uniqueId val="{0000002A-DCB7-4F66-BBD7-DA07D7EF512C}"/>
                </c:ext>
              </c:extLst>
            </c:dLbl>
            <c:dLbl>
              <c:idx val="41"/>
              <c:delete val="1"/>
              <c:extLst>
                <c:ext xmlns:c15="http://schemas.microsoft.com/office/drawing/2012/chart" uri="{CE6537A1-D6FC-4f65-9D91-7224C49458BB}"/>
                <c:ext xmlns:c16="http://schemas.microsoft.com/office/drawing/2014/chart" uri="{C3380CC4-5D6E-409C-BE32-E72D297353CC}">
                  <c16:uniqueId val="{0000002B-DCB7-4F66-BBD7-DA07D7EF512C}"/>
                </c:ext>
              </c:extLst>
            </c:dLbl>
            <c:dLbl>
              <c:idx val="42"/>
              <c:delete val="1"/>
              <c:extLst>
                <c:ext xmlns:c15="http://schemas.microsoft.com/office/drawing/2012/chart" uri="{CE6537A1-D6FC-4f65-9D91-7224C49458BB}"/>
                <c:ext xmlns:c16="http://schemas.microsoft.com/office/drawing/2014/chart" uri="{C3380CC4-5D6E-409C-BE32-E72D297353CC}">
                  <c16:uniqueId val="{0000002C-DCB7-4F66-BBD7-DA07D7EF512C}"/>
                </c:ext>
              </c:extLst>
            </c:dLbl>
            <c:dLbl>
              <c:idx val="43"/>
              <c:delete val="1"/>
              <c:extLst>
                <c:ext xmlns:c15="http://schemas.microsoft.com/office/drawing/2012/chart" uri="{CE6537A1-D6FC-4f65-9D91-7224C49458BB}"/>
                <c:ext xmlns:c16="http://schemas.microsoft.com/office/drawing/2014/chart" uri="{C3380CC4-5D6E-409C-BE32-E72D297353CC}">
                  <c16:uniqueId val="{0000002D-DCB7-4F66-BBD7-DA07D7EF512C}"/>
                </c:ext>
              </c:extLst>
            </c:dLbl>
            <c:dLbl>
              <c:idx val="44"/>
              <c:delete val="1"/>
              <c:extLst>
                <c:ext xmlns:c15="http://schemas.microsoft.com/office/drawing/2012/chart" uri="{CE6537A1-D6FC-4f65-9D91-7224C49458BB}"/>
                <c:ext xmlns:c16="http://schemas.microsoft.com/office/drawing/2014/chart" uri="{C3380CC4-5D6E-409C-BE32-E72D297353CC}">
                  <c16:uniqueId val="{0000002E-DCB7-4F66-BBD7-DA07D7EF512C}"/>
                </c:ext>
              </c:extLst>
            </c:dLbl>
            <c:dLbl>
              <c:idx val="45"/>
              <c:delete val="1"/>
              <c:extLst>
                <c:ext xmlns:c15="http://schemas.microsoft.com/office/drawing/2012/chart" uri="{CE6537A1-D6FC-4f65-9D91-7224C49458BB}"/>
                <c:ext xmlns:c16="http://schemas.microsoft.com/office/drawing/2014/chart" uri="{C3380CC4-5D6E-409C-BE32-E72D297353CC}">
                  <c16:uniqueId val="{0000002F-DCB7-4F66-BBD7-DA07D7EF512C}"/>
                </c:ext>
              </c:extLst>
            </c:dLbl>
            <c:dLbl>
              <c:idx val="46"/>
              <c:delete val="1"/>
              <c:extLst>
                <c:ext xmlns:c15="http://schemas.microsoft.com/office/drawing/2012/chart" uri="{CE6537A1-D6FC-4f65-9D91-7224C49458BB}"/>
                <c:ext xmlns:c16="http://schemas.microsoft.com/office/drawing/2014/chart" uri="{C3380CC4-5D6E-409C-BE32-E72D297353CC}">
                  <c16:uniqueId val="{00000030-DCB7-4F66-BBD7-DA07D7EF512C}"/>
                </c:ext>
              </c:extLst>
            </c:dLbl>
            <c:dLbl>
              <c:idx val="47"/>
              <c:delete val="1"/>
              <c:extLst>
                <c:ext xmlns:c15="http://schemas.microsoft.com/office/drawing/2012/chart" uri="{CE6537A1-D6FC-4f65-9D91-7224C49458BB}"/>
                <c:ext xmlns:c16="http://schemas.microsoft.com/office/drawing/2014/chart" uri="{C3380CC4-5D6E-409C-BE32-E72D297353CC}">
                  <c16:uniqueId val="{00000031-DCB7-4F66-BBD7-DA07D7EF512C}"/>
                </c:ext>
              </c:extLst>
            </c:dLbl>
            <c:dLbl>
              <c:idx val="48"/>
              <c:delete val="1"/>
              <c:extLst>
                <c:ext xmlns:c15="http://schemas.microsoft.com/office/drawing/2012/chart" uri="{CE6537A1-D6FC-4f65-9D91-7224C49458BB}"/>
                <c:ext xmlns:c16="http://schemas.microsoft.com/office/drawing/2014/chart" uri="{C3380CC4-5D6E-409C-BE32-E72D297353CC}">
                  <c16:uniqueId val="{00000032-DCB7-4F66-BBD7-DA07D7EF512C}"/>
                </c:ext>
              </c:extLst>
            </c:dLbl>
            <c:dLbl>
              <c:idx val="49"/>
              <c:delete val="1"/>
              <c:extLst>
                <c:ext xmlns:c15="http://schemas.microsoft.com/office/drawing/2012/chart" uri="{CE6537A1-D6FC-4f65-9D91-7224C49458BB}"/>
                <c:ext xmlns:c16="http://schemas.microsoft.com/office/drawing/2014/chart" uri="{C3380CC4-5D6E-409C-BE32-E72D297353CC}">
                  <c16:uniqueId val="{00000033-DCB7-4F66-BBD7-DA07D7EF512C}"/>
                </c:ext>
              </c:extLst>
            </c:dLbl>
            <c:dLbl>
              <c:idx val="50"/>
              <c:delete val="1"/>
              <c:extLst>
                <c:ext xmlns:c15="http://schemas.microsoft.com/office/drawing/2012/chart" uri="{CE6537A1-D6FC-4f65-9D91-7224C49458BB}"/>
                <c:ext xmlns:c16="http://schemas.microsoft.com/office/drawing/2014/chart" uri="{C3380CC4-5D6E-409C-BE32-E72D297353CC}">
                  <c16:uniqueId val="{00000034-DCB7-4F66-BBD7-DA07D7EF512C}"/>
                </c:ext>
              </c:extLst>
            </c:dLbl>
            <c:dLbl>
              <c:idx val="51"/>
              <c:delete val="1"/>
              <c:extLst>
                <c:ext xmlns:c15="http://schemas.microsoft.com/office/drawing/2012/chart" uri="{CE6537A1-D6FC-4f65-9D91-7224C49458BB}"/>
                <c:ext xmlns:c16="http://schemas.microsoft.com/office/drawing/2014/chart" uri="{C3380CC4-5D6E-409C-BE32-E72D297353CC}">
                  <c16:uniqueId val="{00000035-DCB7-4F66-BBD7-DA07D7EF512C}"/>
                </c:ext>
              </c:extLst>
            </c:dLbl>
            <c:dLbl>
              <c:idx val="52"/>
              <c:delete val="1"/>
              <c:extLst>
                <c:ext xmlns:c15="http://schemas.microsoft.com/office/drawing/2012/chart" uri="{CE6537A1-D6FC-4f65-9D91-7224C49458BB}"/>
                <c:ext xmlns:c16="http://schemas.microsoft.com/office/drawing/2014/chart" uri="{C3380CC4-5D6E-409C-BE32-E72D297353CC}">
                  <c16:uniqueId val="{00000036-DCB7-4F66-BBD7-DA07D7EF512C}"/>
                </c:ext>
              </c:extLst>
            </c:dLbl>
            <c:dLbl>
              <c:idx val="53"/>
              <c:delete val="1"/>
              <c:extLst>
                <c:ext xmlns:c15="http://schemas.microsoft.com/office/drawing/2012/chart" uri="{CE6537A1-D6FC-4f65-9D91-7224C49458BB}"/>
                <c:ext xmlns:c16="http://schemas.microsoft.com/office/drawing/2014/chart" uri="{C3380CC4-5D6E-409C-BE32-E72D297353CC}">
                  <c16:uniqueId val="{00000037-DCB7-4F66-BBD7-DA07D7EF512C}"/>
                </c:ext>
              </c:extLst>
            </c:dLbl>
            <c:dLbl>
              <c:idx val="54"/>
              <c:delete val="1"/>
              <c:extLst>
                <c:ext xmlns:c15="http://schemas.microsoft.com/office/drawing/2012/chart" uri="{CE6537A1-D6FC-4f65-9D91-7224C49458BB}"/>
                <c:ext xmlns:c16="http://schemas.microsoft.com/office/drawing/2014/chart" uri="{C3380CC4-5D6E-409C-BE32-E72D297353CC}">
                  <c16:uniqueId val="{00000038-DCB7-4F66-BBD7-DA07D7EF512C}"/>
                </c:ext>
              </c:extLst>
            </c:dLbl>
            <c:dLbl>
              <c:idx val="55"/>
              <c:delete val="1"/>
              <c:extLst>
                <c:ext xmlns:c15="http://schemas.microsoft.com/office/drawing/2012/chart" uri="{CE6537A1-D6FC-4f65-9D91-7224C49458BB}"/>
                <c:ext xmlns:c16="http://schemas.microsoft.com/office/drawing/2014/chart" uri="{C3380CC4-5D6E-409C-BE32-E72D297353CC}">
                  <c16:uniqueId val="{00000039-DCB7-4F66-BBD7-DA07D7EF512C}"/>
                </c:ext>
              </c:extLst>
            </c:dLbl>
            <c:dLbl>
              <c:idx val="56"/>
              <c:delete val="1"/>
              <c:extLst>
                <c:ext xmlns:c15="http://schemas.microsoft.com/office/drawing/2012/chart" uri="{CE6537A1-D6FC-4f65-9D91-7224C49458BB}"/>
                <c:ext xmlns:c16="http://schemas.microsoft.com/office/drawing/2014/chart" uri="{C3380CC4-5D6E-409C-BE32-E72D297353CC}">
                  <c16:uniqueId val="{0000003A-DCB7-4F66-BBD7-DA07D7EF512C}"/>
                </c:ext>
              </c:extLst>
            </c:dLbl>
            <c:dLbl>
              <c:idx val="57"/>
              <c:delete val="1"/>
              <c:extLst>
                <c:ext xmlns:c15="http://schemas.microsoft.com/office/drawing/2012/chart" uri="{CE6537A1-D6FC-4f65-9D91-7224C49458BB}"/>
                <c:ext xmlns:c16="http://schemas.microsoft.com/office/drawing/2014/chart" uri="{C3380CC4-5D6E-409C-BE32-E72D297353CC}">
                  <c16:uniqueId val="{0000003B-DCB7-4F66-BBD7-DA07D7EF512C}"/>
                </c:ext>
              </c:extLst>
            </c:dLbl>
            <c:dLbl>
              <c:idx val="58"/>
              <c:delete val="1"/>
              <c:extLst>
                <c:ext xmlns:c15="http://schemas.microsoft.com/office/drawing/2012/chart" uri="{CE6537A1-D6FC-4f65-9D91-7224C49458BB}"/>
                <c:ext xmlns:c16="http://schemas.microsoft.com/office/drawing/2014/chart" uri="{C3380CC4-5D6E-409C-BE32-E72D297353CC}">
                  <c16:uniqueId val="{0000003C-DCB7-4F66-BBD7-DA07D7EF512C}"/>
                </c:ext>
              </c:extLst>
            </c:dLbl>
            <c:dLbl>
              <c:idx val="59"/>
              <c:delete val="1"/>
              <c:extLst>
                <c:ext xmlns:c15="http://schemas.microsoft.com/office/drawing/2012/chart" uri="{CE6537A1-D6FC-4f65-9D91-7224C49458BB}"/>
                <c:ext xmlns:c16="http://schemas.microsoft.com/office/drawing/2014/chart" uri="{C3380CC4-5D6E-409C-BE32-E72D297353CC}">
                  <c16:uniqueId val="{0000003D-DCB7-4F66-BBD7-DA07D7EF512C}"/>
                </c:ext>
              </c:extLst>
            </c:dLbl>
            <c:dLbl>
              <c:idx val="60"/>
              <c:delete val="1"/>
              <c:extLst>
                <c:ext xmlns:c15="http://schemas.microsoft.com/office/drawing/2012/chart" uri="{CE6537A1-D6FC-4f65-9D91-7224C49458BB}"/>
                <c:ext xmlns:c16="http://schemas.microsoft.com/office/drawing/2014/chart" uri="{C3380CC4-5D6E-409C-BE32-E72D297353CC}">
                  <c16:uniqueId val="{0000003E-DCB7-4F66-BBD7-DA07D7EF512C}"/>
                </c:ext>
              </c:extLst>
            </c:dLbl>
            <c:dLbl>
              <c:idx val="61"/>
              <c:delete val="1"/>
              <c:extLst>
                <c:ext xmlns:c15="http://schemas.microsoft.com/office/drawing/2012/chart" uri="{CE6537A1-D6FC-4f65-9D91-7224C49458BB}"/>
                <c:ext xmlns:c16="http://schemas.microsoft.com/office/drawing/2014/chart" uri="{C3380CC4-5D6E-409C-BE32-E72D297353CC}">
                  <c16:uniqueId val="{0000003F-DCB7-4F66-BBD7-DA07D7EF512C}"/>
                </c:ext>
              </c:extLst>
            </c:dLbl>
            <c:dLbl>
              <c:idx val="62"/>
              <c:delete val="1"/>
              <c:extLst>
                <c:ext xmlns:c15="http://schemas.microsoft.com/office/drawing/2012/chart" uri="{CE6537A1-D6FC-4f65-9D91-7224C49458BB}"/>
                <c:ext xmlns:c16="http://schemas.microsoft.com/office/drawing/2014/chart" uri="{C3380CC4-5D6E-409C-BE32-E72D297353CC}">
                  <c16:uniqueId val="{00000040-DCB7-4F66-BBD7-DA07D7EF512C}"/>
                </c:ext>
              </c:extLst>
            </c:dLbl>
            <c:dLbl>
              <c:idx val="63"/>
              <c:delete val="1"/>
              <c:extLst>
                <c:ext xmlns:c15="http://schemas.microsoft.com/office/drawing/2012/chart" uri="{CE6537A1-D6FC-4f65-9D91-7224C49458BB}"/>
                <c:ext xmlns:c16="http://schemas.microsoft.com/office/drawing/2014/chart" uri="{C3380CC4-5D6E-409C-BE32-E72D297353CC}">
                  <c16:uniqueId val="{00000041-DCB7-4F66-BBD7-DA07D7EF512C}"/>
                </c:ext>
              </c:extLst>
            </c:dLbl>
            <c:dLbl>
              <c:idx val="64"/>
              <c:delete val="1"/>
              <c:extLst>
                <c:ext xmlns:c15="http://schemas.microsoft.com/office/drawing/2012/chart" uri="{CE6537A1-D6FC-4f65-9D91-7224C49458BB}"/>
                <c:ext xmlns:c16="http://schemas.microsoft.com/office/drawing/2014/chart" uri="{C3380CC4-5D6E-409C-BE32-E72D297353CC}">
                  <c16:uniqueId val="{00000042-DCB7-4F66-BBD7-DA07D7EF512C}"/>
                </c:ext>
              </c:extLst>
            </c:dLbl>
            <c:dLbl>
              <c:idx val="65"/>
              <c:delete val="1"/>
              <c:extLst>
                <c:ext xmlns:c15="http://schemas.microsoft.com/office/drawing/2012/chart" uri="{CE6537A1-D6FC-4f65-9D91-7224C49458BB}"/>
                <c:ext xmlns:c16="http://schemas.microsoft.com/office/drawing/2014/chart" uri="{C3380CC4-5D6E-409C-BE32-E72D297353CC}">
                  <c16:uniqueId val="{00000043-DCB7-4F66-BBD7-DA07D7EF512C}"/>
                </c:ext>
              </c:extLst>
            </c:dLbl>
            <c:dLbl>
              <c:idx val="66"/>
              <c:delete val="1"/>
              <c:extLst>
                <c:ext xmlns:c15="http://schemas.microsoft.com/office/drawing/2012/chart" uri="{CE6537A1-D6FC-4f65-9D91-7224C49458BB}"/>
                <c:ext xmlns:c16="http://schemas.microsoft.com/office/drawing/2014/chart" uri="{C3380CC4-5D6E-409C-BE32-E72D297353CC}">
                  <c16:uniqueId val="{00000044-DCB7-4F66-BBD7-DA07D7EF512C}"/>
                </c:ext>
              </c:extLst>
            </c:dLbl>
            <c:dLbl>
              <c:idx val="67"/>
              <c:delete val="1"/>
              <c:extLst>
                <c:ext xmlns:c15="http://schemas.microsoft.com/office/drawing/2012/chart" uri="{CE6537A1-D6FC-4f65-9D91-7224C49458BB}"/>
                <c:ext xmlns:c16="http://schemas.microsoft.com/office/drawing/2014/chart" uri="{C3380CC4-5D6E-409C-BE32-E72D297353CC}">
                  <c16:uniqueId val="{00000045-DCB7-4F66-BBD7-DA07D7EF512C}"/>
                </c:ext>
              </c:extLst>
            </c:dLbl>
            <c:dLbl>
              <c:idx val="68"/>
              <c:delete val="1"/>
              <c:extLst>
                <c:ext xmlns:c15="http://schemas.microsoft.com/office/drawing/2012/chart" uri="{CE6537A1-D6FC-4f65-9D91-7224C49458BB}"/>
                <c:ext xmlns:c16="http://schemas.microsoft.com/office/drawing/2014/chart" uri="{C3380CC4-5D6E-409C-BE32-E72D297353CC}">
                  <c16:uniqueId val="{00000046-DCB7-4F66-BBD7-DA07D7EF512C}"/>
                </c:ext>
              </c:extLst>
            </c:dLbl>
            <c:dLbl>
              <c:idx val="69"/>
              <c:delete val="1"/>
              <c:extLst>
                <c:ext xmlns:c15="http://schemas.microsoft.com/office/drawing/2012/chart" uri="{CE6537A1-D6FC-4f65-9D91-7224C49458BB}"/>
                <c:ext xmlns:c16="http://schemas.microsoft.com/office/drawing/2014/chart" uri="{C3380CC4-5D6E-409C-BE32-E72D297353CC}">
                  <c16:uniqueId val="{00000047-DCB7-4F66-BBD7-DA07D7EF512C}"/>
                </c:ext>
              </c:extLst>
            </c:dLbl>
            <c:dLbl>
              <c:idx val="70"/>
              <c:delete val="1"/>
              <c:extLst>
                <c:ext xmlns:c15="http://schemas.microsoft.com/office/drawing/2012/chart" uri="{CE6537A1-D6FC-4f65-9D91-7224C49458BB}"/>
                <c:ext xmlns:c16="http://schemas.microsoft.com/office/drawing/2014/chart" uri="{C3380CC4-5D6E-409C-BE32-E72D297353CC}">
                  <c16:uniqueId val="{00000048-DCB7-4F66-BBD7-DA07D7EF512C}"/>
                </c:ext>
              </c:extLst>
            </c:dLbl>
            <c:dLbl>
              <c:idx val="71"/>
              <c:delete val="1"/>
              <c:extLst>
                <c:ext xmlns:c15="http://schemas.microsoft.com/office/drawing/2012/chart" uri="{CE6537A1-D6FC-4f65-9D91-7224C49458BB}"/>
                <c:ext xmlns:c16="http://schemas.microsoft.com/office/drawing/2014/chart" uri="{C3380CC4-5D6E-409C-BE32-E72D297353CC}">
                  <c16:uniqueId val="{00000049-DCB7-4F66-BBD7-DA07D7EF512C}"/>
                </c:ext>
              </c:extLst>
            </c:dLbl>
            <c:dLbl>
              <c:idx val="72"/>
              <c:delete val="1"/>
              <c:extLst>
                <c:ext xmlns:c15="http://schemas.microsoft.com/office/drawing/2012/chart" uri="{CE6537A1-D6FC-4f65-9D91-7224C49458BB}"/>
                <c:ext xmlns:c16="http://schemas.microsoft.com/office/drawing/2014/chart" uri="{C3380CC4-5D6E-409C-BE32-E72D297353CC}">
                  <c16:uniqueId val="{0000004A-DCB7-4F66-BBD7-DA07D7EF512C}"/>
                </c:ext>
              </c:extLst>
            </c:dLbl>
            <c:dLbl>
              <c:idx val="73"/>
              <c:delete val="1"/>
              <c:extLst>
                <c:ext xmlns:c15="http://schemas.microsoft.com/office/drawing/2012/chart" uri="{CE6537A1-D6FC-4f65-9D91-7224C49458BB}"/>
                <c:ext xmlns:c16="http://schemas.microsoft.com/office/drawing/2014/chart" uri="{C3380CC4-5D6E-409C-BE32-E72D297353CC}">
                  <c16:uniqueId val="{0000004B-DCB7-4F66-BBD7-DA07D7EF512C}"/>
                </c:ext>
              </c:extLst>
            </c:dLbl>
            <c:dLbl>
              <c:idx val="74"/>
              <c:delete val="1"/>
              <c:extLst>
                <c:ext xmlns:c15="http://schemas.microsoft.com/office/drawing/2012/chart" uri="{CE6537A1-D6FC-4f65-9D91-7224C49458BB}"/>
                <c:ext xmlns:c16="http://schemas.microsoft.com/office/drawing/2014/chart" uri="{C3380CC4-5D6E-409C-BE32-E72D297353CC}">
                  <c16:uniqueId val="{0000004C-DCB7-4F66-BBD7-DA07D7EF512C}"/>
                </c:ext>
              </c:extLst>
            </c:dLbl>
            <c:dLbl>
              <c:idx val="75"/>
              <c:delete val="1"/>
              <c:extLst>
                <c:ext xmlns:c15="http://schemas.microsoft.com/office/drawing/2012/chart" uri="{CE6537A1-D6FC-4f65-9D91-7224C49458BB}"/>
                <c:ext xmlns:c16="http://schemas.microsoft.com/office/drawing/2014/chart" uri="{C3380CC4-5D6E-409C-BE32-E72D297353CC}">
                  <c16:uniqueId val="{0000004D-DCB7-4F66-BBD7-DA07D7EF512C}"/>
                </c:ext>
              </c:extLst>
            </c:dLbl>
            <c:dLbl>
              <c:idx val="76"/>
              <c:delete val="1"/>
              <c:extLst>
                <c:ext xmlns:c15="http://schemas.microsoft.com/office/drawing/2012/chart" uri="{CE6537A1-D6FC-4f65-9D91-7224C49458BB}"/>
                <c:ext xmlns:c16="http://schemas.microsoft.com/office/drawing/2014/chart" uri="{C3380CC4-5D6E-409C-BE32-E72D297353CC}">
                  <c16:uniqueId val="{0000004E-DCB7-4F66-BBD7-DA07D7EF512C}"/>
                </c:ext>
              </c:extLst>
            </c:dLbl>
            <c:dLbl>
              <c:idx val="77"/>
              <c:delete val="1"/>
              <c:extLst>
                <c:ext xmlns:c15="http://schemas.microsoft.com/office/drawing/2012/chart" uri="{CE6537A1-D6FC-4f65-9D91-7224C49458BB}"/>
                <c:ext xmlns:c16="http://schemas.microsoft.com/office/drawing/2014/chart" uri="{C3380CC4-5D6E-409C-BE32-E72D297353CC}">
                  <c16:uniqueId val="{0000004F-DCB7-4F66-BBD7-DA07D7EF512C}"/>
                </c:ext>
              </c:extLst>
            </c:dLbl>
            <c:dLbl>
              <c:idx val="78"/>
              <c:delete val="1"/>
              <c:extLst>
                <c:ext xmlns:c15="http://schemas.microsoft.com/office/drawing/2012/chart" uri="{CE6537A1-D6FC-4f65-9D91-7224C49458BB}"/>
                <c:ext xmlns:c16="http://schemas.microsoft.com/office/drawing/2014/chart" uri="{C3380CC4-5D6E-409C-BE32-E72D297353CC}">
                  <c16:uniqueId val="{00000050-DCB7-4F66-BBD7-DA07D7EF512C}"/>
                </c:ext>
              </c:extLst>
            </c:dLbl>
            <c:dLbl>
              <c:idx val="79"/>
              <c:delete val="1"/>
              <c:extLst>
                <c:ext xmlns:c15="http://schemas.microsoft.com/office/drawing/2012/chart" uri="{CE6537A1-D6FC-4f65-9D91-7224C49458BB}"/>
                <c:ext xmlns:c16="http://schemas.microsoft.com/office/drawing/2014/chart" uri="{C3380CC4-5D6E-409C-BE32-E72D297353CC}">
                  <c16:uniqueId val="{00000051-DCB7-4F66-BBD7-DA07D7EF512C}"/>
                </c:ext>
              </c:extLst>
            </c:dLbl>
            <c:dLbl>
              <c:idx val="80"/>
              <c:delete val="1"/>
              <c:extLst>
                <c:ext xmlns:c15="http://schemas.microsoft.com/office/drawing/2012/chart" uri="{CE6537A1-D6FC-4f65-9D91-7224C49458BB}"/>
                <c:ext xmlns:c16="http://schemas.microsoft.com/office/drawing/2014/chart" uri="{C3380CC4-5D6E-409C-BE32-E72D297353CC}">
                  <c16:uniqueId val="{00000052-DCB7-4F66-BBD7-DA07D7EF512C}"/>
                </c:ext>
              </c:extLst>
            </c:dLbl>
            <c:dLbl>
              <c:idx val="81"/>
              <c:delete val="1"/>
              <c:extLst>
                <c:ext xmlns:c15="http://schemas.microsoft.com/office/drawing/2012/chart" uri="{CE6537A1-D6FC-4f65-9D91-7224C49458BB}"/>
                <c:ext xmlns:c16="http://schemas.microsoft.com/office/drawing/2014/chart" uri="{C3380CC4-5D6E-409C-BE32-E72D297353CC}">
                  <c16:uniqueId val="{00000053-DCB7-4F66-BBD7-DA07D7EF512C}"/>
                </c:ext>
              </c:extLst>
            </c:dLbl>
            <c:dLbl>
              <c:idx val="82"/>
              <c:delete val="1"/>
              <c:extLst>
                <c:ext xmlns:c15="http://schemas.microsoft.com/office/drawing/2012/chart" uri="{CE6537A1-D6FC-4f65-9D91-7224C49458BB}"/>
                <c:ext xmlns:c16="http://schemas.microsoft.com/office/drawing/2014/chart" uri="{C3380CC4-5D6E-409C-BE32-E72D297353CC}">
                  <c16:uniqueId val="{00000054-DCB7-4F66-BBD7-DA07D7EF512C}"/>
                </c:ext>
              </c:extLst>
            </c:dLbl>
            <c:dLbl>
              <c:idx val="83"/>
              <c:delete val="1"/>
              <c:extLst>
                <c:ext xmlns:c15="http://schemas.microsoft.com/office/drawing/2012/chart" uri="{CE6537A1-D6FC-4f65-9D91-7224C49458BB}"/>
                <c:ext xmlns:c16="http://schemas.microsoft.com/office/drawing/2014/chart" uri="{C3380CC4-5D6E-409C-BE32-E72D297353CC}">
                  <c16:uniqueId val="{00000055-DCB7-4F66-BBD7-DA07D7EF512C}"/>
                </c:ext>
              </c:extLst>
            </c:dLbl>
            <c:dLbl>
              <c:idx val="84"/>
              <c:delete val="1"/>
              <c:extLst>
                <c:ext xmlns:c15="http://schemas.microsoft.com/office/drawing/2012/chart" uri="{CE6537A1-D6FC-4f65-9D91-7224C49458BB}"/>
                <c:ext xmlns:c16="http://schemas.microsoft.com/office/drawing/2014/chart" uri="{C3380CC4-5D6E-409C-BE32-E72D297353CC}">
                  <c16:uniqueId val="{00000056-DCB7-4F66-BBD7-DA07D7EF512C}"/>
                </c:ext>
              </c:extLst>
            </c:dLbl>
            <c:dLbl>
              <c:idx val="85"/>
              <c:delete val="1"/>
              <c:extLst>
                <c:ext xmlns:c15="http://schemas.microsoft.com/office/drawing/2012/chart" uri="{CE6537A1-D6FC-4f65-9D91-7224C49458BB}"/>
                <c:ext xmlns:c16="http://schemas.microsoft.com/office/drawing/2014/chart" uri="{C3380CC4-5D6E-409C-BE32-E72D297353CC}">
                  <c16:uniqueId val="{00000057-DCB7-4F66-BBD7-DA07D7EF512C}"/>
                </c:ext>
              </c:extLst>
            </c:dLbl>
            <c:dLbl>
              <c:idx val="86"/>
              <c:delete val="1"/>
              <c:extLst>
                <c:ext xmlns:c15="http://schemas.microsoft.com/office/drawing/2012/chart" uri="{CE6537A1-D6FC-4f65-9D91-7224C49458BB}"/>
                <c:ext xmlns:c16="http://schemas.microsoft.com/office/drawing/2014/chart" uri="{C3380CC4-5D6E-409C-BE32-E72D297353CC}">
                  <c16:uniqueId val="{00000058-DCB7-4F66-BBD7-DA07D7EF512C}"/>
                </c:ext>
              </c:extLst>
            </c:dLbl>
            <c:dLbl>
              <c:idx val="87"/>
              <c:delete val="1"/>
              <c:extLst>
                <c:ext xmlns:c15="http://schemas.microsoft.com/office/drawing/2012/chart" uri="{CE6537A1-D6FC-4f65-9D91-7224C49458BB}"/>
                <c:ext xmlns:c16="http://schemas.microsoft.com/office/drawing/2014/chart" uri="{C3380CC4-5D6E-409C-BE32-E72D297353CC}">
                  <c16:uniqueId val="{00000059-DCB7-4F66-BBD7-DA07D7EF512C}"/>
                </c:ext>
              </c:extLst>
            </c:dLbl>
            <c:dLbl>
              <c:idx val="88"/>
              <c:delete val="1"/>
              <c:extLst>
                <c:ext xmlns:c15="http://schemas.microsoft.com/office/drawing/2012/chart" uri="{CE6537A1-D6FC-4f65-9D91-7224C49458BB}"/>
                <c:ext xmlns:c16="http://schemas.microsoft.com/office/drawing/2014/chart" uri="{C3380CC4-5D6E-409C-BE32-E72D297353CC}">
                  <c16:uniqueId val="{0000005A-DCB7-4F66-BBD7-DA07D7EF512C}"/>
                </c:ext>
              </c:extLst>
            </c:dLbl>
            <c:dLbl>
              <c:idx val="89"/>
              <c:delete val="1"/>
              <c:extLst>
                <c:ext xmlns:c15="http://schemas.microsoft.com/office/drawing/2012/chart" uri="{CE6537A1-D6FC-4f65-9D91-7224C49458BB}"/>
                <c:ext xmlns:c16="http://schemas.microsoft.com/office/drawing/2014/chart" uri="{C3380CC4-5D6E-409C-BE32-E72D297353CC}">
                  <c16:uniqueId val="{0000005B-DCB7-4F66-BBD7-DA07D7EF512C}"/>
                </c:ext>
              </c:extLst>
            </c:dLbl>
            <c:dLbl>
              <c:idx val="90"/>
              <c:delete val="1"/>
              <c:extLst>
                <c:ext xmlns:c15="http://schemas.microsoft.com/office/drawing/2012/chart" uri="{CE6537A1-D6FC-4f65-9D91-7224C49458BB}"/>
                <c:ext xmlns:c16="http://schemas.microsoft.com/office/drawing/2014/chart" uri="{C3380CC4-5D6E-409C-BE32-E72D297353CC}">
                  <c16:uniqueId val="{0000005C-DCB7-4F66-BBD7-DA07D7EF512C}"/>
                </c:ext>
              </c:extLst>
            </c:dLbl>
            <c:dLbl>
              <c:idx val="91"/>
              <c:delete val="1"/>
              <c:extLst>
                <c:ext xmlns:c15="http://schemas.microsoft.com/office/drawing/2012/chart" uri="{CE6537A1-D6FC-4f65-9D91-7224C49458BB}"/>
                <c:ext xmlns:c16="http://schemas.microsoft.com/office/drawing/2014/chart" uri="{C3380CC4-5D6E-409C-BE32-E72D297353CC}">
                  <c16:uniqueId val="{0000005D-DCB7-4F66-BBD7-DA07D7EF512C}"/>
                </c:ext>
              </c:extLst>
            </c:dLbl>
            <c:dLbl>
              <c:idx val="92"/>
              <c:delete val="1"/>
              <c:extLst>
                <c:ext xmlns:c15="http://schemas.microsoft.com/office/drawing/2012/chart" uri="{CE6537A1-D6FC-4f65-9D91-7224C49458BB}"/>
                <c:ext xmlns:c16="http://schemas.microsoft.com/office/drawing/2014/chart" uri="{C3380CC4-5D6E-409C-BE32-E72D297353CC}">
                  <c16:uniqueId val="{0000005E-DCB7-4F66-BBD7-DA07D7EF512C}"/>
                </c:ext>
              </c:extLst>
            </c:dLbl>
            <c:dLbl>
              <c:idx val="93"/>
              <c:delete val="1"/>
              <c:extLst>
                <c:ext xmlns:c15="http://schemas.microsoft.com/office/drawing/2012/chart" uri="{CE6537A1-D6FC-4f65-9D91-7224C49458BB}"/>
                <c:ext xmlns:c16="http://schemas.microsoft.com/office/drawing/2014/chart" uri="{C3380CC4-5D6E-409C-BE32-E72D297353CC}">
                  <c16:uniqueId val="{0000005F-DCB7-4F66-BBD7-DA07D7EF512C}"/>
                </c:ext>
              </c:extLst>
            </c:dLbl>
            <c:dLbl>
              <c:idx val="94"/>
              <c:delete val="1"/>
              <c:extLst>
                <c:ext xmlns:c15="http://schemas.microsoft.com/office/drawing/2012/chart" uri="{CE6537A1-D6FC-4f65-9D91-7224C49458BB}"/>
                <c:ext xmlns:c16="http://schemas.microsoft.com/office/drawing/2014/chart" uri="{C3380CC4-5D6E-409C-BE32-E72D297353CC}">
                  <c16:uniqueId val="{00000060-DCB7-4F66-BBD7-DA07D7EF512C}"/>
                </c:ext>
              </c:extLst>
            </c:dLbl>
            <c:dLbl>
              <c:idx val="95"/>
              <c:delete val="1"/>
              <c:extLst>
                <c:ext xmlns:c15="http://schemas.microsoft.com/office/drawing/2012/chart" uri="{CE6537A1-D6FC-4f65-9D91-7224C49458BB}"/>
                <c:ext xmlns:c16="http://schemas.microsoft.com/office/drawing/2014/chart" uri="{C3380CC4-5D6E-409C-BE32-E72D297353CC}">
                  <c16:uniqueId val="{00000061-DCB7-4F66-BBD7-DA07D7EF512C}"/>
                </c:ext>
              </c:extLst>
            </c:dLbl>
            <c:dLbl>
              <c:idx val="96"/>
              <c:delete val="1"/>
              <c:extLst>
                <c:ext xmlns:c15="http://schemas.microsoft.com/office/drawing/2012/chart" uri="{CE6537A1-D6FC-4f65-9D91-7224C49458BB}"/>
                <c:ext xmlns:c16="http://schemas.microsoft.com/office/drawing/2014/chart" uri="{C3380CC4-5D6E-409C-BE32-E72D297353CC}">
                  <c16:uniqueId val="{00000062-DCB7-4F66-BBD7-DA07D7EF512C}"/>
                </c:ext>
              </c:extLst>
            </c:dLbl>
            <c:dLbl>
              <c:idx val="97"/>
              <c:delete val="1"/>
              <c:extLst>
                <c:ext xmlns:c15="http://schemas.microsoft.com/office/drawing/2012/chart" uri="{CE6537A1-D6FC-4f65-9D91-7224C49458BB}"/>
                <c:ext xmlns:c16="http://schemas.microsoft.com/office/drawing/2014/chart" uri="{C3380CC4-5D6E-409C-BE32-E72D297353CC}">
                  <c16:uniqueId val="{00000063-DCB7-4F66-BBD7-DA07D7EF512C}"/>
                </c:ext>
              </c:extLst>
            </c:dLbl>
            <c:dLbl>
              <c:idx val="98"/>
              <c:delete val="1"/>
              <c:extLst>
                <c:ext xmlns:c15="http://schemas.microsoft.com/office/drawing/2012/chart" uri="{CE6537A1-D6FC-4f65-9D91-7224C49458BB}"/>
                <c:ext xmlns:c16="http://schemas.microsoft.com/office/drawing/2014/chart" uri="{C3380CC4-5D6E-409C-BE32-E72D297353CC}">
                  <c16:uniqueId val="{00000064-DCB7-4F66-BBD7-DA07D7EF512C}"/>
                </c:ext>
              </c:extLst>
            </c:dLbl>
            <c:dLbl>
              <c:idx val="99"/>
              <c:delete val="1"/>
              <c:extLst>
                <c:ext xmlns:c15="http://schemas.microsoft.com/office/drawing/2012/chart" uri="{CE6537A1-D6FC-4f65-9D91-7224C49458BB}"/>
                <c:ext xmlns:c16="http://schemas.microsoft.com/office/drawing/2014/chart" uri="{C3380CC4-5D6E-409C-BE32-E72D297353CC}">
                  <c16:uniqueId val="{00000065-DCB7-4F66-BBD7-DA07D7EF512C}"/>
                </c:ext>
              </c:extLst>
            </c:dLbl>
            <c:dLbl>
              <c:idx val="100"/>
              <c:delete val="1"/>
              <c:extLst>
                <c:ext xmlns:c15="http://schemas.microsoft.com/office/drawing/2012/chart" uri="{CE6537A1-D6FC-4f65-9D91-7224C49458BB}"/>
                <c:ext xmlns:c16="http://schemas.microsoft.com/office/drawing/2014/chart" uri="{C3380CC4-5D6E-409C-BE32-E72D297353CC}">
                  <c16:uniqueId val="{00000066-DCB7-4F66-BBD7-DA07D7EF512C}"/>
                </c:ext>
              </c:extLst>
            </c:dLbl>
            <c:dLbl>
              <c:idx val="101"/>
              <c:delete val="1"/>
              <c:extLst>
                <c:ext xmlns:c15="http://schemas.microsoft.com/office/drawing/2012/chart" uri="{CE6537A1-D6FC-4f65-9D91-7224C49458BB}"/>
                <c:ext xmlns:c16="http://schemas.microsoft.com/office/drawing/2014/chart" uri="{C3380CC4-5D6E-409C-BE32-E72D297353CC}">
                  <c16:uniqueId val="{00000067-DCB7-4F66-BBD7-DA07D7EF512C}"/>
                </c:ext>
              </c:extLst>
            </c:dLbl>
            <c:dLbl>
              <c:idx val="102"/>
              <c:delete val="1"/>
              <c:extLst>
                <c:ext xmlns:c15="http://schemas.microsoft.com/office/drawing/2012/chart" uri="{CE6537A1-D6FC-4f65-9D91-7224C49458BB}"/>
                <c:ext xmlns:c16="http://schemas.microsoft.com/office/drawing/2014/chart" uri="{C3380CC4-5D6E-409C-BE32-E72D297353CC}">
                  <c16:uniqueId val="{00000068-DCB7-4F66-BBD7-DA07D7EF512C}"/>
                </c:ext>
              </c:extLst>
            </c:dLbl>
            <c:dLbl>
              <c:idx val="103"/>
              <c:delete val="1"/>
              <c:extLst>
                <c:ext xmlns:c15="http://schemas.microsoft.com/office/drawing/2012/chart" uri="{CE6537A1-D6FC-4f65-9D91-7224C49458BB}"/>
                <c:ext xmlns:c16="http://schemas.microsoft.com/office/drawing/2014/chart" uri="{C3380CC4-5D6E-409C-BE32-E72D297353CC}">
                  <c16:uniqueId val="{00000069-DCB7-4F66-BBD7-DA07D7EF512C}"/>
                </c:ext>
              </c:extLst>
            </c:dLbl>
            <c:dLbl>
              <c:idx val="104"/>
              <c:delete val="1"/>
              <c:extLst>
                <c:ext xmlns:c15="http://schemas.microsoft.com/office/drawing/2012/chart" uri="{CE6537A1-D6FC-4f65-9D91-7224C49458BB}"/>
                <c:ext xmlns:c16="http://schemas.microsoft.com/office/drawing/2014/chart" uri="{C3380CC4-5D6E-409C-BE32-E72D297353CC}">
                  <c16:uniqueId val="{0000006A-DCB7-4F66-BBD7-DA07D7EF512C}"/>
                </c:ext>
              </c:extLst>
            </c:dLbl>
            <c:dLbl>
              <c:idx val="105"/>
              <c:delete val="1"/>
              <c:extLst>
                <c:ext xmlns:c15="http://schemas.microsoft.com/office/drawing/2012/chart" uri="{CE6537A1-D6FC-4f65-9D91-7224C49458BB}"/>
                <c:ext xmlns:c16="http://schemas.microsoft.com/office/drawing/2014/chart" uri="{C3380CC4-5D6E-409C-BE32-E72D297353CC}">
                  <c16:uniqueId val="{0000006B-DCB7-4F66-BBD7-DA07D7EF512C}"/>
                </c:ext>
              </c:extLst>
            </c:dLbl>
            <c:dLbl>
              <c:idx val="106"/>
              <c:delete val="1"/>
              <c:extLst>
                <c:ext xmlns:c15="http://schemas.microsoft.com/office/drawing/2012/chart" uri="{CE6537A1-D6FC-4f65-9D91-7224C49458BB}"/>
                <c:ext xmlns:c16="http://schemas.microsoft.com/office/drawing/2014/chart" uri="{C3380CC4-5D6E-409C-BE32-E72D297353CC}">
                  <c16:uniqueId val="{0000006C-DCB7-4F66-BBD7-DA07D7EF512C}"/>
                </c:ext>
              </c:extLst>
            </c:dLbl>
            <c:dLbl>
              <c:idx val="107"/>
              <c:delete val="1"/>
              <c:extLst>
                <c:ext xmlns:c15="http://schemas.microsoft.com/office/drawing/2012/chart" uri="{CE6537A1-D6FC-4f65-9D91-7224C49458BB}"/>
                <c:ext xmlns:c16="http://schemas.microsoft.com/office/drawing/2014/chart" uri="{C3380CC4-5D6E-409C-BE32-E72D297353CC}">
                  <c16:uniqueId val="{0000006D-DCB7-4F66-BBD7-DA07D7EF512C}"/>
                </c:ext>
              </c:extLst>
            </c:dLbl>
            <c:dLbl>
              <c:idx val="108"/>
              <c:delete val="1"/>
              <c:extLst>
                <c:ext xmlns:c15="http://schemas.microsoft.com/office/drawing/2012/chart" uri="{CE6537A1-D6FC-4f65-9D91-7224C49458BB}"/>
                <c:ext xmlns:c16="http://schemas.microsoft.com/office/drawing/2014/chart" uri="{C3380CC4-5D6E-409C-BE32-E72D297353CC}">
                  <c16:uniqueId val="{0000006E-DCB7-4F66-BBD7-DA07D7EF512C}"/>
                </c:ext>
              </c:extLst>
            </c:dLbl>
            <c:dLbl>
              <c:idx val="109"/>
              <c:delete val="1"/>
              <c:extLst>
                <c:ext xmlns:c15="http://schemas.microsoft.com/office/drawing/2012/chart" uri="{CE6537A1-D6FC-4f65-9D91-7224C49458BB}"/>
                <c:ext xmlns:c16="http://schemas.microsoft.com/office/drawing/2014/chart" uri="{C3380CC4-5D6E-409C-BE32-E72D297353CC}">
                  <c16:uniqueId val="{0000006F-DCB7-4F66-BBD7-DA07D7EF512C}"/>
                </c:ext>
              </c:extLst>
            </c:dLbl>
            <c:dLbl>
              <c:idx val="110"/>
              <c:delete val="1"/>
              <c:extLst>
                <c:ext xmlns:c15="http://schemas.microsoft.com/office/drawing/2012/chart" uri="{CE6537A1-D6FC-4f65-9D91-7224C49458BB}"/>
                <c:ext xmlns:c16="http://schemas.microsoft.com/office/drawing/2014/chart" uri="{C3380CC4-5D6E-409C-BE32-E72D297353CC}">
                  <c16:uniqueId val="{00000070-DCB7-4F66-BBD7-DA07D7EF512C}"/>
                </c:ext>
              </c:extLst>
            </c:dLbl>
            <c:dLbl>
              <c:idx val="111"/>
              <c:delete val="1"/>
              <c:extLst>
                <c:ext xmlns:c15="http://schemas.microsoft.com/office/drawing/2012/chart" uri="{CE6537A1-D6FC-4f65-9D91-7224C49458BB}"/>
                <c:ext xmlns:c16="http://schemas.microsoft.com/office/drawing/2014/chart" uri="{C3380CC4-5D6E-409C-BE32-E72D297353CC}">
                  <c16:uniqueId val="{00000071-DCB7-4F66-BBD7-DA07D7EF512C}"/>
                </c:ext>
              </c:extLst>
            </c:dLbl>
            <c:dLbl>
              <c:idx val="112"/>
              <c:delete val="1"/>
              <c:extLst>
                <c:ext xmlns:c15="http://schemas.microsoft.com/office/drawing/2012/chart" uri="{CE6537A1-D6FC-4f65-9D91-7224C49458BB}"/>
                <c:ext xmlns:c16="http://schemas.microsoft.com/office/drawing/2014/chart" uri="{C3380CC4-5D6E-409C-BE32-E72D297353CC}">
                  <c16:uniqueId val="{00000072-DCB7-4F66-BBD7-DA07D7EF512C}"/>
                </c:ext>
              </c:extLst>
            </c:dLbl>
            <c:dLbl>
              <c:idx val="113"/>
              <c:delete val="1"/>
              <c:extLst>
                <c:ext xmlns:c15="http://schemas.microsoft.com/office/drawing/2012/chart" uri="{CE6537A1-D6FC-4f65-9D91-7224C49458BB}"/>
                <c:ext xmlns:c16="http://schemas.microsoft.com/office/drawing/2014/chart" uri="{C3380CC4-5D6E-409C-BE32-E72D297353CC}">
                  <c16:uniqueId val="{00000073-DCB7-4F66-BBD7-DA07D7EF512C}"/>
                </c:ext>
              </c:extLst>
            </c:dLbl>
            <c:dLbl>
              <c:idx val="114"/>
              <c:delete val="1"/>
              <c:extLst>
                <c:ext xmlns:c15="http://schemas.microsoft.com/office/drawing/2012/chart" uri="{CE6537A1-D6FC-4f65-9D91-7224C49458BB}"/>
                <c:ext xmlns:c16="http://schemas.microsoft.com/office/drawing/2014/chart" uri="{C3380CC4-5D6E-409C-BE32-E72D297353CC}">
                  <c16:uniqueId val="{00000074-DCB7-4F66-BBD7-DA07D7EF512C}"/>
                </c:ext>
              </c:extLst>
            </c:dLbl>
            <c:dLbl>
              <c:idx val="115"/>
              <c:delete val="1"/>
              <c:extLst>
                <c:ext xmlns:c15="http://schemas.microsoft.com/office/drawing/2012/chart" uri="{CE6537A1-D6FC-4f65-9D91-7224C49458BB}"/>
                <c:ext xmlns:c16="http://schemas.microsoft.com/office/drawing/2014/chart" uri="{C3380CC4-5D6E-409C-BE32-E72D297353CC}">
                  <c16:uniqueId val="{00000075-DCB7-4F66-BBD7-DA07D7EF512C}"/>
                </c:ext>
              </c:extLst>
            </c:dLbl>
            <c:dLbl>
              <c:idx val="116"/>
              <c:delete val="1"/>
              <c:extLst>
                <c:ext xmlns:c15="http://schemas.microsoft.com/office/drawing/2012/chart" uri="{CE6537A1-D6FC-4f65-9D91-7224C49458BB}"/>
                <c:ext xmlns:c16="http://schemas.microsoft.com/office/drawing/2014/chart" uri="{C3380CC4-5D6E-409C-BE32-E72D297353CC}">
                  <c16:uniqueId val="{00000076-DCB7-4F66-BBD7-DA07D7EF512C}"/>
                </c:ext>
              </c:extLst>
            </c:dLbl>
            <c:dLbl>
              <c:idx val="117"/>
              <c:delete val="1"/>
              <c:extLst>
                <c:ext xmlns:c15="http://schemas.microsoft.com/office/drawing/2012/chart" uri="{CE6537A1-D6FC-4f65-9D91-7224C49458BB}"/>
                <c:ext xmlns:c16="http://schemas.microsoft.com/office/drawing/2014/chart" uri="{C3380CC4-5D6E-409C-BE32-E72D297353CC}">
                  <c16:uniqueId val="{00000077-DCB7-4F66-BBD7-DA07D7EF512C}"/>
                </c:ext>
              </c:extLst>
            </c:dLbl>
            <c:dLbl>
              <c:idx val="118"/>
              <c:delete val="1"/>
              <c:extLst>
                <c:ext xmlns:c15="http://schemas.microsoft.com/office/drawing/2012/chart" uri="{CE6537A1-D6FC-4f65-9D91-7224C49458BB}"/>
                <c:ext xmlns:c16="http://schemas.microsoft.com/office/drawing/2014/chart" uri="{C3380CC4-5D6E-409C-BE32-E72D297353CC}">
                  <c16:uniqueId val="{00000078-DCB7-4F66-BBD7-DA07D7EF512C}"/>
                </c:ext>
              </c:extLst>
            </c:dLbl>
            <c:dLbl>
              <c:idx val="119"/>
              <c:delete val="1"/>
              <c:extLst>
                <c:ext xmlns:c15="http://schemas.microsoft.com/office/drawing/2012/chart" uri="{CE6537A1-D6FC-4f65-9D91-7224C49458BB}"/>
                <c:ext xmlns:c16="http://schemas.microsoft.com/office/drawing/2014/chart" uri="{C3380CC4-5D6E-409C-BE32-E72D297353CC}">
                  <c16:uniqueId val="{00000079-DCB7-4F66-BBD7-DA07D7EF512C}"/>
                </c:ext>
              </c:extLst>
            </c:dLbl>
            <c:dLbl>
              <c:idx val="120"/>
              <c:delete val="1"/>
              <c:extLst>
                <c:ext xmlns:c15="http://schemas.microsoft.com/office/drawing/2012/chart" uri="{CE6537A1-D6FC-4f65-9D91-7224C49458BB}"/>
                <c:ext xmlns:c16="http://schemas.microsoft.com/office/drawing/2014/chart" uri="{C3380CC4-5D6E-409C-BE32-E72D297353CC}">
                  <c16:uniqueId val="{0000007A-DCB7-4F66-BBD7-DA07D7EF512C}"/>
                </c:ext>
              </c:extLst>
            </c:dLbl>
            <c:dLbl>
              <c:idx val="121"/>
              <c:delete val="1"/>
              <c:extLst>
                <c:ext xmlns:c15="http://schemas.microsoft.com/office/drawing/2012/chart" uri="{CE6537A1-D6FC-4f65-9D91-7224C49458BB}"/>
                <c:ext xmlns:c16="http://schemas.microsoft.com/office/drawing/2014/chart" uri="{C3380CC4-5D6E-409C-BE32-E72D297353CC}">
                  <c16:uniqueId val="{0000007B-DCB7-4F66-BBD7-DA07D7EF512C}"/>
                </c:ext>
              </c:extLst>
            </c:dLbl>
            <c:dLbl>
              <c:idx val="122"/>
              <c:delete val="1"/>
              <c:extLst>
                <c:ext xmlns:c15="http://schemas.microsoft.com/office/drawing/2012/chart" uri="{CE6537A1-D6FC-4f65-9D91-7224C49458BB}"/>
                <c:ext xmlns:c16="http://schemas.microsoft.com/office/drawing/2014/chart" uri="{C3380CC4-5D6E-409C-BE32-E72D297353CC}">
                  <c16:uniqueId val="{0000007C-DCB7-4F66-BBD7-DA07D7EF512C}"/>
                </c:ext>
              </c:extLst>
            </c:dLbl>
            <c:dLbl>
              <c:idx val="123"/>
              <c:delete val="1"/>
              <c:extLst>
                <c:ext xmlns:c15="http://schemas.microsoft.com/office/drawing/2012/chart" uri="{CE6537A1-D6FC-4f65-9D91-7224C49458BB}"/>
                <c:ext xmlns:c16="http://schemas.microsoft.com/office/drawing/2014/chart" uri="{C3380CC4-5D6E-409C-BE32-E72D297353CC}">
                  <c16:uniqueId val="{0000007D-DCB7-4F66-BBD7-DA07D7EF512C}"/>
                </c:ext>
              </c:extLst>
            </c:dLbl>
            <c:dLbl>
              <c:idx val="124"/>
              <c:delete val="1"/>
              <c:extLst>
                <c:ext xmlns:c15="http://schemas.microsoft.com/office/drawing/2012/chart" uri="{CE6537A1-D6FC-4f65-9D91-7224C49458BB}"/>
                <c:ext xmlns:c16="http://schemas.microsoft.com/office/drawing/2014/chart" uri="{C3380CC4-5D6E-409C-BE32-E72D297353CC}">
                  <c16:uniqueId val="{0000007E-DCB7-4F66-BBD7-DA07D7EF512C}"/>
                </c:ext>
              </c:extLst>
            </c:dLbl>
            <c:dLbl>
              <c:idx val="125"/>
              <c:delete val="1"/>
              <c:extLst>
                <c:ext xmlns:c15="http://schemas.microsoft.com/office/drawing/2012/chart" uri="{CE6537A1-D6FC-4f65-9D91-7224C49458BB}"/>
                <c:ext xmlns:c16="http://schemas.microsoft.com/office/drawing/2014/chart" uri="{C3380CC4-5D6E-409C-BE32-E72D297353CC}">
                  <c16:uniqueId val="{0000007F-DCB7-4F66-BBD7-DA07D7EF512C}"/>
                </c:ext>
              </c:extLst>
            </c:dLbl>
            <c:dLbl>
              <c:idx val="126"/>
              <c:delete val="1"/>
              <c:extLst>
                <c:ext xmlns:c15="http://schemas.microsoft.com/office/drawing/2012/chart" uri="{CE6537A1-D6FC-4f65-9D91-7224C49458BB}"/>
                <c:ext xmlns:c16="http://schemas.microsoft.com/office/drawing/2014/chart" uri="{C3380CC4-5D6E-409C-BE32-E72D297353CC}">
                  <c16:uniqueId val="{00000080-DCB7-4F66-BBD7-DA07D7EF512C}"/>
                </c:ext>
              </c:extLst>
            </c:dLbl>
            <c:dLbl>
              <c:idx val="127"/>
              <c:delete val="1"/>
              <c:extLst>
                <c:ext xmlns:c15="http://schemas.microsoft.com/office/drawing/2012/chart" uri="{CE6537A1-D6FC-4f65-9D91-7224C49458BB}"/>
                <c:ext xmlns:c16="http://schemas.microsoft.com/office/drawing/2014/chart" uri="{C3380CC4-5D6E-409C-BE32-E72D297353CC}">
                  <c16:uniqueId val="{00000081-DCB7-4F66-BBD7-DA07D7EF512C}"/>
                </c:ext>
              </c:extLst>
            </c:dLbl>
            <c:dLbl>
              <c:idx val="128"/>
              <c:delete val="1"/>
              <c:extLst>
                <c:ext xmlns:c15="http://schemas.microsoft.com/office/drawing/2012/chart" uri="{CE6537A1-D6FC-4f65-9D91-7224C49458BB}"/>
                <c:ext xmlns:c16="http://schemas.microsoft.com/office/drawing/2014/chart" uri="{C3380CC4-5D6E-409C-BE32-E72D297353CC}">
                  <c16:uniqueId val="{00000082-DCB7-4F66-BBD7-DA07D7EF512C}"/>
                </c:ext>
              </c:extLst>
            </c:dLbl>
            <c:dLbl>
              <c:idx val="129"/>
              <c:delete val="1"/>
              <c:extLst>
                <c:ext xmlns:c15="http://schemas.microsoft.com/office/drawing/2012/chart" uri="{CE6537A1-D6FC-4f65-9D91-7224C49458BB}"/>
                <c:ext xmlns:c16="http://schemas.microsoft.com/office/drawing/2014/chart" uri="{C3380CC4-5D6E-409C-BE32-E72D297353CC}">
                  <c16:uniqueId val="{00000083-DCB7-4F66-BBD7-DA07D7EF512C}"/>
                </c:ext>
              </c:extLst>
            </c:dLbl>
            <c:dLbl>
              <c:idx val="130"/>
              <c:delete val="1"/>
              <c:extLst>
                <c:ext xmlns:c15="http://schemas.microsoft.com/office/drawing/2012/chart" uri="{CE6537A1-D6FC-4f65-9D91-7224C49458BB}"/>
                <c:ext xmlns:c16="http://schemas.microsoft.com/office/drawing/2014/chart" uri="{C3380CC4-5D6E-409C-BE32-E72D297353CC}">
                  <c16:uniqueId val="{00000084-DCB7-4F66-BBD7-DA07D7EF512C}"/>
                </c:ext>
              </c:extLst>
            </c:dLbl>
            <c:dLbl>
              <c:idx val="131"/>
              <c:delete val="1"/>
              <c:extLst>
                <c:ext xmlns:c15="http://schemas.microsoft.com/office/drawing/2012/chart" uri="{CE6537A1-D6FC-4f65-9D91-7224C49458BB}"/>
                <c:ext xmlns:c16="http://schemas.microsoft.com/office/drawing/2014/chart" uri="{C3380CC4-5D6E-409C-BE32-E72D297353CC}">
                  <c16:uniqueId val="{00000085-DCB7-4F66-BBD7-DA07D7EF512C}"/>
                </c:ext>
              </c:extLst>
            </c:dLbl>
            <c:dLbl>
              <c:idx val="132"/>
              <c:delete val="1"/>
              <c:extLst>
                <c:ext xmlns:c15="http://schemas.microsoft.com/office/drawing/2012/chart" uri="{CE6537A1-D6FC-4f65-9D91-7224C49458BB}"/>
                <c:ext xmlns:c16="http://schemas.microsoft.com/office/drawing/2014/chart" uri="{C3380CC4-5D6E-409C-BE32-E72D297353CC}">
                  <c16:uniqueId val="{00000086-DCB7-4F66-BBD7-DA07D7EF512C}"/>
                </c:ext>
              </c:extLst>
            </c:dLbl>
            <c:dLbl>
              <c:idx val="133"/>
              <c:delete val="1"/>
              <c:extLst>
                <c:ext xmlns:c15="http://schemas.microsoft.com/office/drawing/2012/chart" uri="{CE6537A1-D6FC-4f65-9D91-7224C49458BB}"/>
                <c:ext xmlns:c16="http://schemas.microsoft.com/office/drawing/2014/chart" uri="{C3380CC4-5D6E-409C-BE32-E72D297353CC}">
                  <c16:uniqueId val="{00000087-DCB7-4F66-BBD7-DA07D7EF512C}"/>
                </c:ext>
              </c:extLst>
            </c:dLbl>
            <c:dLbl>
              <c:idx val="134"/>
              <c:delete val="1"/>
              <c:extLst>
                <c:ext xmlns:c15="http://schemas.microsoft.com/office/drawing/2012/chart" uri="{CE6537A1-D6FC-4f65-9D91-7224C49458BB}"/>
                <c:ext xmlns:c16="http://schemas.microsoft.com/office/drawing/2014/chart" uri="{C3380CC4-5D6E-409C-BE32-E72D297353CC}">
                  <c16:uniqueId val="{00000088-DCB7-4F66-BBD7-DA07D7EF512C}"/>
                </c:ext>
              </c:extLst>
            </c:dLbl>
            <c:dLbl>
              <c:idx val="135"/>
              <c:delete val="1"/>
              <c:extLst>
                <c:ext xmlns:c15="http://schemas.microsoft.com/office/drawing/2012/chart" uri="{CE6537A1-D6FC-4f65-9D91-7224C49458BB}"/>
                <c:ext xmlns:c16="http://schemas.microsoft.com/office/drawing/2014/chart" uri="{C3380CC4-5D6E-409C-BE32-E72D297353CC}">
                  <c16:uniqueId val="{00000089-DCB7-4F66-BBD7-DA07D7EF512C}"/>
                </c:ext>
              </c:extLst>
            </c:dLbl>
            <c:dLbl>
              <c:idx val="136"/>
              <c:delete val="1"/>
              <c:extLst>
                <c:ext xmlns:c15="http://schemas.microsoft.com/office/drawing/2012/chart" uri="{CE6537A1-D6FC-4f65-9D91-7224C49458BB}"/>
                <c:ext xmlns:c16="http://schemas.microsoft.com/office/drawing/2014/chart" uri="{C3380CC4-5D6E-409C-BE32-E72D297353CC}">
                  <c16:uniqueId val="{0000008A-DCB7-4F66-BBD7-DA07D7EF512C}"/>
                </c:ext>
              </c:extLst>
            </c:dLbl>
            <c:dLbl>
              <c:idx val="137"/>
              <c:delete val="1"/>
              <c:extLst>
                <c:ext xmlns:c15="http://schemas.microsoft.com/office/drawing/2012/chart" uri="{CE6537A1-D6FC-4f65-9D91-7224C49458BB}"/>
                <c:ext xmlns:c16="http://schemas.microsoft.com/office/drawing/2014/chart" uri="{C3380CC4-5D6E-409C-BE32-E72D297353CC}">
                  <c16:uniqueId val="{0000008B-DCB7-4F66-BBD7-DA07D7EF512C}"/>
                </c:ext>
              </c:extLst>
            </c:dLbl>
            <c:dLbl>
              <c:idx val="138"/>
              <c:delete val="1"/>
              <c:extLst>
                <c:ext xmlns:c15="http://schemas.microsoft.com/office/drawing/2012/chart" uri="{CE6537A1-D6FC-4f65-9D91-7224C49458BB}"/>
                <c:ext xmlns:c16="http://schemas.microsoft.com/office/drawing/2014/chart" uri="{C3380CC4-5D6E-409C-BE32-E72D297353CC}">
                  <c16:uniqueId val="{0000008C-DCB7-4F66-BBD7-DA07D7EF512C}"/>
                </c:ext>
              </c:extLst>
            </c:dLbl>
            <c:dLbl>
              <c:idx val="139"/>
              <c:delete val="1"/>
              <c:extLst>
                <c:ext xmlns:c15="http://schemas.microsoft.com/office/drawing/2012/chart" uri="{CE6537A1-D6FC-4f65-9D91-7224C49458BB}"/>
                <c:ext xmlns:c16="http://schemas.microsoft.com/office/drawing/2014/chart" uri="{C3380CC4-5D6E-409C-BE32-E72D297353CC}">
                  <c16:uniqueId val="{0000008D-DCB7-4F66-BBD7-DA07D7EF512C}"/>
                </c:ext>
              </c:extLst>
            </c:dLbl>
            <c:dLbl>
              <c:idx val="140"/>
              <c:delete val="1"/>
              <c:extLst>
                <c:ext xmlns:c15="http://schemas.microsoft.com/office/drawing/2012/chart" uri="{CE6537A1-D6FC-4f65-9D91-7224C49458BB}"/>
                <c:ext xmlns:c16="http://schemas.microsoft.com/office/drawing/2014/chart" uri="{C3380CC4-5D6E-409C-BE32-E72D297353CC}">
                  <c16:uniqueId val="{0000008E-DCB7-4F66-BBD7-DA07D7EF512C}"/>
                </c:ext>
              </c:extLst>
            </c:dLbl>
            <c:dLbl>
              <c:idx val="141"/>
              <c:delete val="1"/>
              <c:extLst>
                <c:ext xmlns:c15="http://schemas.microsoft.com/office/drawing/2012/chart" uri="{CE6537A1-D6FC-4f65-9D91-7224C49458BB}"/>
                <c:ext xmlns:c16="http://schemas.microsoft.com/office/drawing/2014/chart" uri="{C3380CC4-5D6E-409C-BE32-E72D297353CC}">
                  <c16:uniqueId val="{0000008F-DCB7-4F66-BBD7-DA07D7EF512C}"/>
                </c:ext>
              </c:extLst>
            </c:dLbl>
            <c:dLbl>
              <c:idx val="142"/>
              <c:delete val="1"/>
              <c:extLst>
                <c:ext xmlns:c15="http://schemas.microsoft.com/office/drawing/2012/chart" uri="{CE6537A1-D6FC-4f65-9D91-7224C49458BB}"/>
                <c:ext xmlns:c16="http://schemas.microsoft.com/office/drawing/2014/chart" uri="{C3380CC4-5D6E-409C-BE32-E72D297353CC}">
                  <c16:uniqueId val="{00000090-DCB7-4F66-BBD7-DA07D7EF512C}"/>
                </c:ext>
              </c:extLst>
            </c:dLbl>
            <c:dLbl>
              <c:idx val="143"/>
              <c:delete val="1"/>
              <c:extLst>
                <c:ext xmlns:c15="http://schemas.microsoft.com/office/drawing/2012/chart" uri="{CE6537A1-D6FC-4f65-9D91-7224C49458BB}"/>
                <c:ext xmlns:c16="http://schemas.microsoft.com/office/drawing/2014/chart" uri="{C3380CC4-5D6E-409C-BE32-E72D297353CC}">
                  <c16:uniqueId val="{00000091-DCB7-4F66-BBD7-DA07D7EF512C}"/>
                </c:ext>
              </c:extLst>
            </c:dLbl>
            <c:dLbl>
              <c:idx val="144"/>
              <c:delete val="1"/>
              <c:extLst>
                <c:ext xmlns:c15="http://schemas.microsoft.com/office/drawing/2012/chart" uri="{CE6537A1-D6FC-4f65-9D91-7224C49458BB}"/>
                <c:ext xmlns:c16="http://schemas.microsoft.com/office/drawing/2014/chart" uri="{C3380CC4-5D6E-409C-BE32-E72D297353CC}">
                  <c16:uniqueId val="{00000092-DCB7-4F66-BBD7-DA07D7EF512C}"/>
                </c:ext>
              </c:extLst>
            </c:dLbl>
            <c:dLbl>
              <c:idx val="145"/>
              <c:delete val="1"/>
              <c:extLst>
                <c:ext xmlns:c15="http://schemas.microsoft.com/office/drawing/2012/chart" uri="{CE6537A1-D6FC-4f65-9D91-7224C49458BB}"/>
                <c:ext xmlns:c16="http://schemas.microsoft.com/office/drawing/2014/chart" uri="{C3380CC4-5D6E-409C-BE32-E72D297353CC}">
                  <c16:uniqueId val="{00000093-DCB7-4F66-BBD7-DA07D7EF512C}"/>
                </c:ext>
              </c:extLst>
            </c:dLbl>
            <c:dLbl>
              <c:idx val="146"/>
              <c:delete val="1"/>
              <c:extLst>
                <c:ext xmlns:c15="http://schemas.microsoft.com/office/drawing/2012/chart" uri="{CE6537A1-D6FC-4f65-9D91-7224C49458BB}"/>
                <c:ext xmlns:c16="http://schemas.microsoft.com/office/drawing/2014/chart" uri="{C3380CC4-5D6E-409C-BE32-E72D297353CC}">
                  <c16:uniqueId val="{00000094-DCB7-4F66-BBD7-DA07D7EF512C}"/>
                </c:ext>
              </c:extLst>
            </c:dLbl>
            <c:dLbl>
              <c:idx val="147"/>
              <c:delete val="1"/>
              <c:extLst>
                <c:ext xmlns:c15="http://schemas.microsoft.com/office/drawing/2012/chart" uri="{CE6537A1-D6FC-4f65-9D91-7224C49458BB}"/>
                <c:ext xmlns:c16="http://schemas.microsoft.com/office/drawing/2014/chart" uri="{C3380CC4-5D6E-409C-BE32-E72D297353CC}">
                  <c16:uniqueId val="{00000095-DCB7-4F66-BBD7-DA07D7EF512C}"/>
                </c:ext>
              </c:extLst>
            </c:dLbl>
            <c:dLbl>
              <c:idx val="148"/>
              <c:delete val="1"/>
              <c:extLst>
                <c:ext xmlns:c15="http://schemas.microsoft.com/office/drawing/2012/chart" uri="{CE6537A1-D6FC-4f65-9D91-7224C49458BB}"/>
                <c:ext xmlns:c16="http://schemas.microsoft.com/office/drawing/2014/chart" uri="{C3380CC4-5D6E-409C-BE32-E72D297353CC}">
                  <c16:uniqueId val="{00000096-DCB7-4F66-BBD7-DA07D7EF512C}"/>
                </c:ext>
              </c:extLst>
            </c:dLbl>
            <c:dLbl>
              <c:idx val="149"/>
              <c:delete val="1"/>
              <c:extLst>
                <c:ext xmlns:c15="http://schemas.microsoft.com/office/drawing/2012/chart" uri="{CE6537A1-D6FC-4f65-9D91-7224C49458BB}"/>
                <c:ext xmlns:c16="http://schemas.microsoft.com/office/drawing/2014/chart" uri="{C3380CC4-5D6E-409C-BE32-E72D297353CC}">
                  <c16:uniqueId val="{00000097-DCB7-4F66-BBD7-DA07D7EF512C}"/>
                </c:ext>
              </c:extLst>
            </c:dLbl>
            <c:dLbl>
              <c:idx val="150"/>
              <c:delete val="1"/>
              <c:extLst>
                <c:ext xmlns:c15="http://schemas.microsoft.com/office/drawing/2012/chart" uri="{CE6537A1-D6FC-4f65-9D91-7224C49458BB}"/>
                <c:ext xmlns:c16="http://schemas.microsoft.com/office/drawing/2014/chart" uri="{C3380CC4-5D6E-409C-BE32-E72D297353CC}">
                  <c16:uniqueId val="{00000098-DCB7-4F66-BBD7-DA07D7EF512C}"/>
                </c:ext>
              </c:extLst>
            </c:dLbl>
            <c:dLbl>
              <c:idx val="151"/>
              <c:delete val="1"/>
              <c:extLst>
                <c:ext xmlns:c15="http://schemas.microsoft.com/office/drawing/2012/chart" uri="{CE6537A1-D6FC-4f65-9D91-7224C49458BB}"/>
                <c:ext xmlns:c16="http://schemas.microsoft.com/office/drawing/2014/chart" uri="{C3380CC4-5D6E-409C-BE32-E72D297353CC}">
                  <c16:uniqueId val="{00000099-DCB7-4F66-BBD7-DA07D7EF512C}"/>
                </c:ext>
              </c:extLst>
            </c:dLbl>
            <c:dLbl>
              <c:idx val="152"/>
              <c:delete val="1"/>
              <c:extLst>
                <c:ext xmlns:c15="http://schemas.microsoft.com/office/drawing/2012/chart" uri="{CE6537A1-D6FC-4f65-9D91-7224C49458BB}"/>
                <c:ext xmlns:c16="http://schemas.microsoft.com/office/drawing/2014/chart" uri="{C3380CC4-5D6E-409C-BE32-E72D297353CC}">
                  <c16:uniqueId val="{0000009A-DCB7-4F66-BBD7-DA07D7EF512C}"/>
                </c:ext>
              </c:extLst>
            </c:dLbl>
            <c:dLbl>
              <c:idx val="153"/>
              <c:delete val="1"/>
              <c:extLst>
                <c:ext xmlns:c15="http://schemas.microsoft.com/office/drawing/2012/chart" uri="{CE6537A1-D6FC-4f65-9D91-7224C49458BB}"/>
                <c:ext xmlns:c16="http://schemas.microsoft.com/office/drawing/2014/chart" uri="{C3380CC4-5D6E-409C-BE32-E72D297353CC}">
                  <c16:uniqueId val="{0000009B-DCB7-4F66-BBD7-DA07D7EF512C}"/>
                </c:ext>
              </c:extLst>
            </c:dLbl>
            <c:dLbl>
              <c:idx val="154"/>
              <c:delete val="1"/>
              <c:extLst>
                <c:ext xmlns:c15="http://schemas.microsoft.com/office/drawing/2012/chart" uri="{CE6537A1-D6FC-4f65-9D91-7224C49458BB}"/>
                <c:ext xmlns:c16="http://schemas.microsoft.com/office/drawing/2014/chart" uri="{C3380CC4-5D6E-409C-BE32-E72D297353CC}">
                  <c16:uniqueId val="{0000009C-DCB7-4F66-BBD7-DA07D7EF512C}"/>
                </c:ext>
              </c:extLst>
            </c:dLbl>
            <c:dLbl>
              <c:idx val="155"/>
              <c:delete val="1"/>
              <c:extLst>
                <c:ext xmlns:c15="http://schemas.microsoft.com/office/drawing/2012/chart" uri="{CE6537A1-D6FC-4f65-9D91-7224C49458BB}"/>
                <c:ext xmlns:c16="http://schemas.microsoft.com/office/drawing/2014/chart" uri="{C3380CC4-5D6E-409C-BE32-E72D297353CC}">
                  <c16:uniqueId val="{0000009D-DCB7-4F66-BBD7-DA07D7EF512C}"/>
                </c:ext>
              </c:extLst>
            </c:dLbl>
            <c:dLbl>
              <c:idx val="156"/>
              <c:delete val="1"/>
              <c:extLst>
                <c:ext xmlns:c15="http://schemas.microsoft.com/office/drawing/2012/chart" uri="{CE6537A1-D6FC-4f65-9D91-7224C49458BB}"/>
                <c:ext xmlns:c16="http://schemas.microsoft.com/office/drawing/2014/chart" uri="{C3380CC4-5D6E-409C-BE32-E72D297353CC}">
                  <c16:uniqueId val="{0000009E-DCB7-4F66-BBD7-DA07D7EF512C}"/>
                </c:ext>
              </c:extLst>
            </c:dLbl>
            <c:dLbl>
              <c:idx val="157"/>
              <c:delete val="1"/>
              <c:extLst>
                <c:ext xmlns:c15="http://schemas.microsoft.com/office/drawing/2012/chart" uri="{CE6537A1-D6FC-4f65-9D91-7224C49458BB}"/>
                <c:ext xmlns:c16="http://schemas.microsoft.com/office/drawing/2014/chart" uri="{C3380CC4-5D6E-409C-BE32-E72D297353CC}">
                  <c16:uniqueId val="{0000009F-DCB7-4F66-BBD7-DA07D7EF512C}"/>
                </c:ext>
              </c:extLst>
            </c:dLbl>
            <c:dLbl>
              <c:idx val="158"/>
              <c:delete val="1"/>
              <c:extLst>
                <c:ext xmlns:c15="http://schemas.microsoft.com/office/drawing/2012/chart" uri="{CE6537A1-D6FC-4f65-9D91-7224C49458BB}"/>
                <c:ext xmlns:c16="http://schemas.microsoft.com/office/drawing/2014/chart" uri="{C3380CC4-5D6E-409C-BE32-E72D297353CC}">
                  <c16:uniqueId val="{000000A0-DCB7-4F66-BBD7-DA07D7EF512C}"/>
                </c:ext>
              </c:extLst>
            </c:dLbl>
            <c:dLbl>
              <c:idx val="159"/>
              <c:delete val="1"/>
              <c:extLst>
                <c:ext xmlns:c15="http://schemas.microsoft.com/office/drawing/2012/chart" uri="{CE6537A1-D6FC-4f65-9D91-7224C49458BB}"/>
                <c:ext xmlns:c16="http://schemas.microsoft.com/office/drawing/2014/chart" uri="{C3380CC4-5D6E-409C-BE32-E72D297353CC}">
                  <c16:uniqueId val="{000000A1-DCB7-4F66-BBD7-DA07D7EF512C}"/>
                </c:ext>
              </c:extLst>
            </c:dLbl>
            <c:dLbl>
              <c:idx val="160"/>
              <c:delete val="1"/>
              <c:extLst>
                <c:ext xmlns:c15="http://schemas.microsoft.com/office/drawing/2012/chart" uri="{CE6537A1-D6FC-4f65-9D91-7224C49458BB}"/>
                <c:ext xmlns:c16="http://schemas.microsoft.com/office/drawing/2014/chart" uri="{C3380CC4-5D6E-409C-BE32-E72D297353CC}">
                  <c16:uniqueId val="{000000A2-DCB7-4F66-BBD7-DA07D7EF512C}"/>
                </c:ext>
              </c:extLst>
            </c:dLbl>
            <c:dLbl>
              <c:idx val="161"/>
              <c:delete val="1"/>
              <c:extLst>
                <c:ext xmlns:c15="http://schemas.microsoft.com/office/drawing/2012/chart" uri="{CE6537A1-D6FC-4f65-9D91-7224C49458BB}"/>
                <c:ext xmlns:c16="http://schemas.microsoft.com/office/drawing/2014/chart" uri="{C3380CC4-5D6E-409C-BE32-E72D297353CC}">
                  <c16:uniqueId val="{000000A3-DCB7-4F66-BBD7-DA07D7EF512C}"/>
                </c:ext>
              </c:extLst>
            </c:dLbl>
            <c:dLbl>
              <c:idx val="162"/>
              <c:delete val="1"/>
              <c:extLst>
                <c:ext xmlns:c15="http://schemas.microsoft.com/office/drawing/2012/chart" uri="{CE6537A1-D6FC-4f65-9D91-7224C49458BB}"/>
                <c:ext xmlns:c16="http://schemas.microsoft.com/office/drawing/2014/chart" uri="{C3380CC4-5D6E-409C-BE32-E72D297353CC}">
                  <c16:uniqueId val="{000000A4-DCB7-4F66-BBD7-DA07D7EF512C}"/>
                </c:ext>
              </c:extLst>
            </c:dLbl>
            <c:dLbl>
              <c:idx val="163"/>
              <c:delete val="1"/>
              <c:extLst>
                <c:ext xmlns:c15="http://schemas.microsoft.com/office/drawing/2012/chart" uri="{CE6537A1-D6FC-4f65-9D91-7224C49458BB}"/>
                <c:ext xmlns:c16="http://schemas.microsoft.com/office/drawing/2014/chart" uri="{C3380CC4-5D6E-409C-BE32-E72D297353CC}">
                  <c16:uniqueId val="{000000A5-DCB7-4F66-BBD7-DA07D7EF512C}"/>
                </c:ext>
              </c:extLst>
            </c:dLbl>
            <c:dLbl>
              <c:idx val="164"/>
              <c:delete val="1"/>
              <c:extLst>
                <c:ext xmlns:c15="http://schemas.microsoft.com/office/drawing/2012/chart" uri="{CE6537A1-D6FC-4f65-9D91-7224C49458BB}"/>
                <c:ext xmlns:c16="http://schemas.microsoft.com/office/drawing/2014/chart" uri="{C3380CC4-5D6E-409C-BE32-E72D297353CC}">
                  <c16:uniqueId val="{000000A6-DCB7-4F66-BBD7-DA07D7EF512C}"/>
                </c:ext>
              </c:extLst>
            </c:dLbl>
            <c:dLbl>
              <c:idx val="165"/>
              <c:delete val="1"/>
              <c:extLst>
                <c:ext xmlns:c15="http://schemas.microsoft.com/office/drawing/2012/chart" uri="{CE6537A1-D6FC-4f65-9D91-7224C49458BB}"/>
                <c:ext xmlns:c16="http://schemas.microsoft.com/office/drawing/2014/chart" uri="{C3380CC4-5D6E-409C-BE32-E72D297353CC}">
                  <c16:uniqueId val="{000000A7-DCB7-4F66-BBD7-DA07D7EF512C}"/>
                </c:ext>
              </c:extLst>
            </c:dLbl>
            <c:dLbl>
              <c:idx val="166"/>
              <c:delete val="1"/>
              <c:extLst>
                <c:ext xmlns:c15="http://schemas.microsoft.com/office/drawing/2012/chart" uri="{CE6537A1-D6FC-4f65-9D91-7224C49458BB}"/>
                <c:ext xmlns:c16="http://schemas.microsoft.com/office/drawing/2014/chart" uri="{C3380CC4-5D6E-409C-BE32-E72D297353CC}">
                  <c16:uniqueId val="{000000A8-DCB7-4F66-BBD7-DA07D7EF512C}"/>
                </c:ext>
              </c:extLst>
            </c:dLbl>
            <c:dLbl>
              <c:idx val="167"/>
              <c:layout>
                <c:manualLayout>
                  <c:x val="0"/>
                  <c:y val="-1.53846153846153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A9-DCB7-4F66-BBD7-DA07D7EF512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'[OSW_Weekly_Output_ss.xlsx]Event_%_Base'!$T$3:$T$170</c:f>
              <c:numCache>
                <c:formatCode>General</c:formatCode>
                <c:ptCount val="168"/>
                <c:pt idx="0">
                  <c:v>6098</c:v>
                </c:pt>
                <c:pt idx="1">
                  <c:v>6098</c:v>
                </c:pt>
                <c:pt idx="2">
                  <c:v>6098</c:v>
                </c:pt>
                <c:pt idx="3">
                  <c:v>6098</c:v>
                </c:pt>
                <c:pt idx="4">
                  <c:v>6098</c:v>
                </c:pt>
                <c:pt idx="5">
                  <c:v>6098</c:v>
                </c:pt>
                <c:pt idx="6">
                  <c:v>6098</c:v>
                </c:pt>
                <c:pt idx="7">
                  <c:v>6098</c:v>
                </c:pt>
                <c:pt idx="8">
                  <c:v>6098</c:v>
                </c:pt>
                <c:pt idx="9">
                  <c:v>6098</c:v>
                </c:pt>
                <c:pt idx="10">
                  <c:v>6098</c:v>
                </c:pt>
                <c:pt idx="11">
                  <c:v>6098</c:v>
                </c:pt>
                <c:pt idx="12">
                  <c:v>6098</c:v>
                </c:pt>
                <c:pt idx="13">
                  <c:v>6098</c:v>
                </c:pt>
                <c:pt idx="14">
                  <c:v>6098</c:v>
                </c:pt>
                <c:pt idx="15">
                  <c:v>6098</c:v>
                </c:pt>
                <c:pt idx="16">
                  <c:v>6098</c:v>
                </c:pt>
                <c:pt idx="17">
                  <c:v>6098</c:v>
                </c:pt>
                <c:pt idx="18">
                  <c:v>6098</c:v>
                </c:pt>
                <c:pt idx="19">
                  <c:v>6098</c:v>
                </c:pt>
                <c:pt idx="20">
                  <c:v>6098</c:v>
                </c:pt>
                <c:pt idx="21">
                  <c:v>6098</c:v>
                </c:pt>
                <c:pt idx="22">
                  <c:v>6098</c:v>
                </c:pt>
                <c:pt idx="23">
                  <c:v>6098</c:v>
                </c:pt>
                <c:pt idx="24">
                  <c:v>6098</c:v>
                </c:pt>
                <c:pt idx="25">
                  <c:v>6098</c:v>
                </c:pt>
                <c:pt idx="26">
                  <c:v>6098</c:v>
                </c:pt>
                <c:pt idx="27">
                  <c:v>6098</c:v>
                </c:pt>
                <c:pt idx="28">
                  <c:v>6098</c:v>
                </c:pt>
                <c:pt idx="29">
                  <c:v>6098</c:v>
                </c:pt>
                <c:pt idx="30">
                  <c:v>6098</c:v>
                </c:pt>
                <c:pt idx="31">
                  <c:v>6098</c:v>
                </c:pt>
                <c:pt idx="32">
                  <c:v>6098</c:v>
                </c:pt>
                <c:pt idx="33">
                  <c:v>6098</c:v>
                </c:pt>
                <c:pt idx="34">
                  <c:v>6098</c:v>
                </c:pt>
                <c:pt idx="35">
                  <c:v>6098</c:v>
                </c:pt>
                <c:pt idx="36">
                  <c:v>6098</c:v>
                </c:pt>
                <c:pt idx="37">
                  <c:v>6098</c:v>
                </c:pt>
                <c:pt idx="38">
                  <c:v>6098</c:v>
                </c:pt>
                <c:pt idx="39">
                  <c:v>6098</c:v>
                </c:pt>
                <c:pt idx="40">
                  <c:v>6098</c:v>
                </c:pt>
                <c:pt idx="41">
                  <c:v>6098</c:v>
                </c:pt>
                <c:pt idx="42">
                  <c:v>6098</c:v>
                </c:pt>
                <c:pt idx="43">
                  <c:v>6098</c:v>
                </c:pt>
                <c:pt idx="44">
                  <c:v>6098</c:v>
                </c:pt>
                <c:pt idx="45">
                  <c:v>6098</c:v>
                </c:pt>
                <c:pt idx="46">
                  <c:v>6098</c:v>
                </c:pt>
                <c:pt idx="47">
                  <c:v>6098</c:v>
                </c:pt>
                <c:pt idx="48">
                  <c:v>6098</c:v>
                </c:pt>
                <c:pt idx="49">
                  <c:v>6098</c:v>
                </c:pt>
                <c:pt idx="50">
                  <c:v>6098</c:v>
                </c:pt>
                <c:pt idx="51">
                  <c:v>6098</c:v>
                </c:pt>
                <c:pt idx="52">
                  <c:v>6098</c:v>
                </c:pt>
                <c:pt idx="53">
                  <c:v>6098</c:v>
                </c:pt>
                <c:pt idx="54">
                  <c:v>6098</c:v>
                </c:pt>
                <c:pt idx="55">
                  <c:v>6098</c:v>
                </c:pt>
                <c:pt idx="56">
                  <c:v>6098</c:v>
                </c:pt>
                <c:pt idx="57">
                  <c:v>6098</c:v>
                </c:pt>
                <c:pt idx="58">
                  <c:v>6098</c:v>
                </c:pt>
                <c:pt idx="59">
                  <c:v>6098</c:v>
                </c:pt>
                <c:pt idx="60">
                  <c:v>6098</c:v>
                </c:pt>
                <c:pt idx="61">
                  <c:v>6098</c:v>
                </c:pt>
                <c:pt idx="62">
                  <c:v>6098</c:v>
                </c:pt>
                <c:pt idx="63">
                  <c:v>6098</c:v>
                </c:pt>
                <c:pt idx="64">
                  <c:v>6098</c:v>
                </c:pt>
                <c:pt idx="65">
                  <c:v>6098</c:v>
                </c:pt>
                <c:pt idx="66">
                  <c:v>6098</c:v>
                </c:pt>
                <c:pt idx="67">
                  <c:v>6098</c:v>
                </c:pt>
                <c:pt idx="68">
                  <c:v>6098</c:v>
                </c:pt>
                <c:pt idx="69">
                  <c:v>6098</c:v>
                </c:pt>
                <c:pt idx="70">
                  <c:v>6098</c:v>
                </c:pt>
                <c:pt idx="71">
                  <c:v>6098</c:v>
                </c:pt>
                <c:pt idx="72">
                  <c:v>6098</c:v>
                </c:pt>
                <c:pt idx="73">
                  <c:v>6098</c:v>
                </c:pt>
                <c:pt idx="74">
                  <c:v>6098</c:v>
                </c:pt>
                <c:pt idx="75">
                  <c:v>6098</c:v>
                </c:pt>
                <c:pt idx="76">
                  <c:v>6098</c:v>
                </c:pt>
                <c:pt idx="77">
                  <c:v>6098</c:v>
                </c:pt>
                <c:pt idx="78">
                  <c:v>6098</c:v>
                </c:pt>
                <c:pt idx="79">
                  <c:v>6098</c:v>
                </c:pt>
                <c:pt idx="80">
                  <c:v>6098</c:v>
                </c:pt>
                <c:pt idx="81">
                  <c:v>6098</c:v>
                </c:pt>
                <c:pt idx="82">
                  <c:v>6098</c:v>
                </c:pt>
                <c:pt idx="83">
                  <c:v>6098</c:v>
                </c:pt>
                <c:pt idx="84">
                  <c:v>6098</c:v>
                </c:pt>
                <c:pt idx="85">
                  <c:v>6098</c:v>
                </c:pt>
                <c:pt idx="86">
                  <c:v>6098</c:v>
                </c:pt>
                <c:pt idx="87">
                  <c:v>6098</c:v>
                </c:pt>
                <c:pt idx="88">
                  <c:v>6098</c:v>
                </c:pt>
                <c:pt idx="89">
                  <c:v>6098</c:v>
                </c:pt>
                <c:pt idx="90">
                  <c:v>6098</c:v>
                </c:pt>
                <c:pt idx="91">
                  <c:v>6098</c:v>
                </c:pt>
                <c:pt idx="92">
                  <c:v>6098</c:v>
                </c:pt>
                <c:pt idx="93">
                  <c:v>6098</c:v>
                </c:pt>
                <c:pt idx="94">
                  <c:v>6098</c:v>
                </c:pt>
                <c:pt idx="95">
                  <c:v>6098</c:v>
                </c:pt>
                <c:pt idx="96">
                  <c:v>6098</c:v>
                </c:pt>
                <c:pt idx="97">
                  <c:v>6098</c:v>
                </c:pt>
                <c:pt idx="98">
                  <c:v>6098</c:v>
                </c:pt>
                <c:pt idx="99">
                  <c:v>6098</c:v>
                </c:pt>
                <c:pt idx="100">
                  <c:v>6098</c:v>
                </c:pt>
                <c:pt idx="101">
                  <c:v>6098</c:v>
                </c:pt>
                <c:pt idx="102">
                  <c:v>6098</c:v>
                </c:pt>
                <c:pt idx="103">
                  <c:v>6098</c:v>
                </c:pt>
                <c:pt idx="104">
                  <c:v>6098</c:v>
                </c:pt>
                <c:pt idx="105">
                  <c:v>6098</c:v>
                </c:pt>
                <c:pt idx="106">
                  <c:v>6098</c:v>
                </c:pt>
                <c:pt idx="107">
                  <c:v>6098</c:v>
                </c:pt>
                <c:pt idx="108">
                  <c:v>6098</c:v>
                </c:pt>
                <c:pt idx="109">
                  <c:v>6098</c:v>
                </c:pt>
                <c:pt idx="110">
                  <c:v>6098</c:v>
                </c:pt>
                <c:pt idx="111">
                  <c:v>6098</c:v>
                </c:pt>
                <c:pt idx="112">
                  <c:v>6098</c:v>
                </c:pt>
                <c:pt idx="113">
                  <c:v>6098</c:v>
                </c:pt>
                <c:pt idx="114">
                  <c:v>6098</c:v>
                </c:pt>
                <c:pt idx="115">
                  <c:v>6098</c:v>
                </c:pt>
                <c:pt idx="116">
                  <c:v>6098</c:v>
                </c:pt>
                <c:pt idx="117">
                  <c:v>6098</c:v>
                </c:pt>
                <c:pt idx="118">
                  <c:v>6098</c:v>
                </c:pt>
                <c:pt idx="119">
                  <c:v>6098</c:v>
                </c:pt>
                <c:pt idx="120">
                  <c:v>6098</c:v>
                </c:pt>
                <c:pt idx="121">
                  <c:v>6098</c:v>
                </c:pt>
                <c:pt idx="122">
                  <c:v>6098</c:v>
                </c:pt>
                <c:pt idx="123">
                  <c:v>6098</c:v>
                </c:pt>
                <c:pt idx="124">
                  <c:v>6098</c:v>
                </c:pt>
                <c:pt idx="125">
                  <c:v>6098</c:v>
                </c:pt>
                <c:pt idx="126">
                  <c:v>6098</c:v>
                </c:pt>
                <c:pt idx="127">
                  <c:v>6098</c:v>
                </c:pt>
                <c:pt idx="128">
                  <c:v>6098</c:v>
                </c:pt>
                <c:pt idx="129">
                  <c:v>6098</c:v>
                </c:pt>
                <c:pt idx="130">
                  <c:v>6098</c:v>
                </c:pt>
                <c:pt idx="131">
                  <c:v>6098</c:v>
                </c:pt>
                <c:pt idx="132">
                  <c:v>6098</c:v>
                </c:pt>
                <c:pt idx="133">
                  <c:v>6098</c:v>
                </c:pt>
                <c:pt idx="134">
                  <c:v>6098</c:v>
                </c:pt>
                <c:pt idx="135">
                  <c:v>6098</c:v>
                </c:pt>
                <c:pt idx="136">
                  <c:v>6098</c:v>
                </c:pt>
                <c:pt idx="137">
                  <c:v>6098</c:v>
                </c:pt>
                <c:pt idx="138">
                  <c:v>6098</c:v>
                </c:pt>
                <c:pt idx="139">
                  <c:v>6098</c:v>
                </c:pt>
                <c:pt idx="140">
                  <c:v>6098</c:v>
                </c:pt>
                <c:pt idx="141">
                  <c:v>6098</c:v>
                </c:pt>
                <c:pt idx="142">
                  <c:v>6098</c:v>
                </c:pt>
                <c:pt idx="143">
                  <c:v>6098</c:v>
                </c:pt>
                <c:pt idx="144">
                  <c:v>6098</c:v>
                </c:pt>
                <c:pt idx="145">
                  <c:v>6098</c:v>
                </c:pt>
                <c:pt idx="146">
                  <c:v>6098</c:v>
                </c:pt>
                <c:pt idx="147">
                  <c:v>6098</c:v>
                </c:pt>
                <c:pt idx="148">
                  <c:v>6098</c:v>
                </c:pt>
                <c:pt idx="149">
                  <c:v>6098</c:v>
                </c:pt>
                <c:pt idx="150">
                  <c:v>6098</c:v>
                </c:pt>
                <c:pt idx="151">
                  <c:v>6098</c:v>
                </c:pt>
                <c:pt idx="152">
                  <c:v>6098</c:v>
                </c:pt>
                <c:pt idx="153">
                  <c:v>6098</c:v>
                </c:pt>
                <c:pt idx="154">
                  <c:v>6098</c:v>
                </c:pt>
                <c:pt idx="155">
                  <c:v>6098</c:v>
                </c:pt>
                <c:pt idx="156">
                  <c:v>6098</c:v>
                </c:pt>
                <c:pt idx="157">
                  <c:v>6098</c:v>
                </c:pt>
                <c:pt idx="158">
                  <c:v>6098</c:v>
                </c:pt>
                <c:pt idx="159">
                  <c:v>6098</c:v>
                </c:pt>
                <c:pt idx="160">
                  <c:v>6098</c:v>
                </c:pt>
                <c:pt idx="161">
                  <c:v>6098</c:v>
                </c:pt>
                <c:pt idx="162">
                  <c:v>6098</c:v>
                </c:pt>
                <c:pt idx="163">
                  <c:v>6098</c:v>
                </c:pt>
                <c:pt idx="164">
                  <c:v>6098</c:v>
                </c:pt>
                <c:pt idx="165">
                  <c:v>6098</c:v>
                </c:pt>
                <c:pt idx="166">
                  <c:v>6098</c:v>
                </c:pt>
                <c:pt idx="167">
                  <c:v>6098</c:v>
                </c:pt>
              </c:numCache>
            </c:numRef>
          </c:val>
          <c:smooth val="0"/>
          <c:extLst>
            <c:ext xmlns:c16="http://schemas.microsoft.com/office/drawing/2014/chart" uri="{C3380CC4-5D6E-409C-BE32-E72D297353CC}">
              <c16:uniqueId val="{000000AA-DCB7-4F66-BBD7-DA07D7EF512C}"/>
            </c:ext>
          </c:extLst>
        </c:ser>
        <c:ser>
          <c:idx val="3"/>
          <c:order val="3"/>
          <c:spPr>
            <a:ln w="6350" cap="rnd">
              <a:solidFill>
                <a:schemeClr val="accent2"/>
              </a:solidFill>
              <a:round/>
            </a:ln>
            <a:effectLst/>
          </c:spPr>
          <c:marker>
            <c:symbol val="none"/>
          </c:marker>
          <c:dLbls>
            <c:dLbl>
              <c:idx val="4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AB-DCB7-4F66-BBD7-DA07D7EF512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'[OSW_Weekly_Output_ss.xlsx]Event_%_Base'!$S$3:$S$170</c:f>
              <c:numCache>
                <c:formatCode>0</c:formatCode>
                <c:ptCount val="168"/>
                <c:pt idx="0">
                  <c:v>1040</c:v>
                </c:pt>
                <c:pt idx="1">
                  <c:v>1035</c:v>
                </c:pt>
                <c:pt idx="2">
                  <c:v>1180</c:v>
                </c:pt>
                <c:pt idx="3">
                  <c:v>1251</c:v>
                </c:pt>
                <c:pt idx="4">
                  <c:v>1291</c:v>
                </c:pt>
                <c:pt idx="5">
                  <c:v>1446</c:v>
                </c:pt>
                <c:pt idx="6">
                  <c:v>1349</c:v>
                </c:pt>
                <c:pt idx="7">
                  <c:v>1142</c:v>
                </c:pt>
                <c:pt idx="8">
                  <c:v>1003</c:v>
                </c:pt>
                <c:pt idx="9">
                  <c:v>1118</c:v>
                </c:pt>
                <c:pt idx="10">
                  <c:v>1354</c:v>
                </c:pt>
                <c:pt idx="11">
                  <c:v>1374</c:v>
                </c:pt>
                <c:pt idx="12">
                  <c:v>1276</c:v>
                </c:pt>
                <c:pt idx="13">
                  <c:v>1173</c:v>
                </c:pt>
                <c:pt idx="14">
                  <c:v>1106</c:v>
                </c:pt>
                <c:pt idx="15">
                  <c:v>924</c:v>
                </c:pt>
                <c:pt idx="16">
                  <c:v>921</c:v>
                </c:pt>
                <c:pt idx="17">
                  <c:v>1268</c:v>
                </c:pt>
                <c:pt idx="18">
                  <c:v>1527</c:v>
                </c:pt>
                <c:pt idx="19">
                  <c:v>1575</c:v>
                </c:pt>
                <c:pt idx="20">
                  <c:v>1791</c:v>
                </c:pt>
                <c:pt idx="21">
                  <c:v>1633</c:v>
                </c:pt>
                <c:pt idx="22">
                  <c:v>1447</c:v>
                </c:pt>
                <c:pt idx="23">
                  <c:v>1431</c:v>
                </c:pt>
                <c:pt idx="24">
                  <c:v>1576</c:v>
                </c:pt>
                <c:pt idx="25">
                  <c:v>1366</c:v>
                </c:pt>
                <c:pt idx="26">
                  <c:v>1368</c:v>
                </c:pt>
                <c:pt idx="27">
                  <c:v>1183</c:v>
                </c:pt>
                <c:pt idx="28">
                  <c:v>1074</c:v>
                </c:pt>
                <c:pt idx="29">
                  <c:v>987</c:v>
                </c:pt>
                <c:pt idx="30">
                  <c:v>1014</c:v>
                </c:pt>
                <c:pt idx="31">
                  <c:v>1059</c:v>
                </c:pt>
                <c:pt idx="32">
                  <c:v>1117</c:v>
                </c:pt>
                <c:pt idx="33">
                  <c:v>1311</c:v>
                </c:pt>
                <c:pt idx="34">
                  <c:v>1543</c:v>
                </c:pt>
                <c:pt idx="35">
                  <c:v>1605</c:v>
                </c:pt>
                <c:pt idx="36">
                  <c:v>1842</c:v>
                </c:pt>
                <c:pt idx="37">
                  <c:v>1991</c:v>
                </c:pt>
                <c:pt idx="38">
                  <c:v>2151</c:v>
                </c:pt>
                <c:pt idx="39">
                  <c:v>2817</c:v>
                </c:pt>
                <c:pt idx="40">
                  <c:v>3807</c:v>
                </c:pt>
                <c:pt idx="41">
                  <c:v>4161</c:v>
                </c:pt>
                <c:pt idx="42">
                  <c:v>4047</c:v>
                </c:pt>
                <c:pt idx="43">
                  <c:v>4303</c:v>
                </c:pt>
                <c:pt idx="44">
                  <c:v>3450</c:v>
                </c:pt>
                <c:pt idx="45">
                  <c:v>1392</c:v>
                </c:pt>
                <c:pt idx="46">
                  <c:v>1049</c:v>
                </c:pt>
                <c:pt idx="47">
                  <c:v>774</c:v>
                </c:pt>
                <c:pt idx="48">
                  <c:v>869</c:v>
                </c:pt>
                <c:pt idx="49">
                  <c:v>1005</c:v>
                </c:pt>
                <c:pt idx="50">
                  <c:v>925</c:v>
                </c:pt>
                <c:pt idx="51">
                  <c:v>1028</c:v>
                </c:pt>
                <c:pt idx="52">
                  <c:v>1061</c:v>
                </c:pt>
                <c:pt idx="53">
                  <c:v>1396</c:v>
                </c:pt>
                <c:pt idx="54">
                  <c:v>1173</c:v>
                </c:pt>
                <c:pt idx="55">
                  <c:v>817</c:v>
                </c:pt>
                <c:pt idx="56">
                  <c:v>652</c:v>
                </c:pt>
                <c:pt idx="57">
                  <c:v>522</c:v>
                </c:pt>
                <c:pt idx="58">
                  <c:v>312</c:v>
                </c:pt>
                <c:pt idx="59">
                  <c:v>249</c:v>
                </c:pt>
                <c:pt idx="60">
                  <c:v>468</c:v>
                </c:pt>
                <c:pt idx="61">
                  <c:v>609</c:v>
                </c:pt>
                <c:pt idx="62">
                  <c:v>575</c:v>
                </c:pt>
                <c:pt idx="63">
                  <c:v>636</c:v>
                </c:pt>
                <c:pt idx="64">
                  <c:v>754</c:v>
                </c:pt>
                <c:pt idx="65">
                  <c:v>1313</c:v>
                </c:pt>
                <c:pt idx="66">
                  <c:v>899</c:v>
                </c:pt>
                <c:pt idx="67">
                  <c:v>1005</c:v>
                </c:pt>
                <c:pt idx="68">
                  <c:v>1248</c:v>
                </c:pt>
                <c:pt idx="69">
                  <c:v>857</c:v>
                </c:pt>
                <c:pt idx="70">
                  <c:v>784</c:v>
                </c:pt>
                <c:pt idx="71">
                  <c:v>924</c:v>
                </c:pt>
                <c:pt idx="72">
                  <c:v>1191</c:v>
                </c:pt>
                <c:pt idx="73">
                  <c:v>1302</c:v>
                </c:pt>
                <c:pt idx="74">
                  <c:v>1452</c:v>
                </c:pt>
                <c:pt idx="75">
                  <c:v>1314</c:v>
                </c:pt>
                <c:pt idx="76">
                  <c:v>1156</c:v>
                </c:pt>
                <c:pt idx="77">
                  <c:v>1106</c:v>
                </c:pt>
                <c:pt idx="78">
                  <c:v>1157</c:v>
                </c:pt>
                <c:pt idx="79">
                  <c:v>1142</c:v>
                </c:pt>
                <c:pt idx="80">
                  <c:v>1300</c:v>
                </c:pt>
                <c:pt idx="81">
                  <c:v>1645</c:v>
                </c:pt>
                <c:pt idx="82">
                  <c:v>1371</c:v>
                </c:pt>
                <c:pt idx="83">
                  <c:v>934</c:v>
                </c:pt>
                <c:pt idx="84">
                  <c:v>844</c:v>
                </c:pt>
                <c:pt idx="85">
                  <c:v>1075</c:v>
                </c:pt>
                <c:pt idx="86">
                  <c:v>1123</c:v>
                </c:pt>
                <c:pt idx="87">
                  <c:v>866</c:v>
                </c:pt>
                <c:pt idx="88">
                  <c:v>653</c:v>
                </c:pt>
                <c:pt idx="89">
                  <c:v>574</c:v>
                </c:pt>
                <c:pt idx="90">
                  <c:v>885</c:v>
                </c:pt>
                <c:pt idx="91">
                  <c:v>1004</c:v>
                </c:pt>
                <c:pt idx="92">
                  <c:v>999</c:v>
                </c:pt>
                <c:pt idx="93">
                  <c:v>1115</c:v>
                </c:pt>
                <c:pt idx="94">
                  <c:v>1327</c:v>
                </c:pt>
                <c:pt idx="95">
                  <c:v>1468</c:v>
                </c:pt>
                <c:pt idx="96">
                  <c:v>1734</c:v>
                </c:pt>
                <c:pt idx="97">
                  <c:v>2047</c:v>
                </c:pt>
                <c:pt idx="98">
                  <c:v>2288</c:v>
                </c:pt>
                <c:pt idx="99">
                  <c:v>2376</c:v>
                </c:pt>
                <c:pt idx="100">
                  <c:v>2406</c:v>
                </c:pt>
                <c:pt idx="101">
                  <c:v>2274</c:v>
                </c:pt>
                <c:pt idx="102">
                  <c:v>2525</c:v>
                </c:pt>
                <c:pt idx="103">
                  <c:v>2363</c:v>
                </c:pt>
                <c:pt idx="104">
                  <c:v>2168</c:v>
                </c:pt>
                <c:pt idx="105">
                  <c:v>2170</c:v>
                </c:pt>
                <c:pt idx="106">
                  <c:v>2053</c:v>
                </c:pt>
                <c:pt idx="107">
                  <c:v>2215</c:v>
                </c:pt>
                <c:pt idx="108">
                  <c:v>1870</c:v>
                </c:pt>
                <c:pt idx="109">
                  <c:v>1606</c:v>
                </c:pt>
                <c:pt idx="110">
                  <c:v>1555</c:v>
                </c:pt>
                <c:pt idx="111">
                  <c:v>1542</c:v>
                </c:pt>
                <c:pt idx="112">
                  <c:v>1497</c:v>
                </c:pt>
                <c:pt idx="113">
                  <c:v>1250</c:v>
                </c:pt>
                <c:pt idx="114">
                  <c:v>1019</c:v>
                </c:pt>
                <c:pt idx="115">
                  <c:v>820</c:v>
                </c:pt>
                <c:pt idx="116">
                  <c:v>529</c:v>
                </c:pt>
                <c:pt idx="117">
                  <c:v>349</c:v>
                </c:pt>
                <c:pt idx="118">
                  <c:v>262</c:v>
                </c:pt>
                <c:pt idx="119">
                  <c:v>174</c:v>
                </c:pt>
                <c:pt idx="120">
                  <c:v>93</c:v>
                </c:pt>
                <c:pt idx="121">
                  <c:v>102</c:v>
                </c:pt>
                <c:pt idx="122">
                  <c:v>90</c:v>
                </c:pt>
                <c:pt idx="123">
                  <c:v>117</c:v>
                </c:pt>
                <c:pt idx="124">
                  <c:v>90</c:v>
                </c:pt>
                <c:pt idx="125">
                  <c:v>77</c:v>
                </c:pt>
                <c:pt idx="126">
                  <c:v>52</c:v>
                </c:pt>
                <c:pt idx="127">
                  <c:v>22</c:v>
                </c:pt>
                <c:pt idx="128">
                  <c:v>18</c:v>
                </c:pt>
                <c:pt idx="129">
                  <c:v>2</c:v>
                </c:pt>
                <c:pt idx="130">
                  <c:v>6</c:v>
                </c:pt>
                <c:pt idx="131">
                  <c:v>21</c:v>
                </c:pt>
                <c:pt idx="132">
                  <c:v>74</c:v>
                </c:pt>
                <c:pt idx="133">
                  <c:v>229</c:v>
                </c:pt>
                <c:pt idx="134">
                  <c:v>309</c:v>
                </c:pt>
                <c:pt idx="135">
                  <c:v>339</c:v>
                </c:pt>
                <c:pt idx="136">
                  <c:v>368</c:v>
                </c:pt>
                <c:pt idx="137">
                  <c:v>516</c:v>
                </c:pt>
                <c:pt idx="138">
                  <c:v>531</c:v>
                </c:pt>
                <c:pt idx="139">
                  <c:v>544</c:v>
                </c:pt>
                <c:pt idx="140">
                  <c:v>460</c:v>
                </c:pt>
                <c:pt idx="141">
                  <c:v>399</c:v>
                </c:pt>
                <c:pt idx="142">
                  <c:v>354</c:v>
                </c:pt>
                <c:pt idx="143">
                  <c:v>267</c:v>
                </c:pt>
                <c:pt idx="144">
                  <c:v>216</c:v>
                </c:pt>
                <c:pt idx="145">
                  <c:v>183</c:v>
                </c:pt>
                <c:pt idx="146">
                  <c:v>178</c:v>
                </c:pt>
                <c:pt idx="147">
                  <c:v>197</c:v>
                </c:pt>
                <c:pt idx="148">
                  <c:v>168</c:v>
                </c:pt>
                <c:pt idx="149">
                  <c:v>117</c:v>
                </c:pt>
                <c:pt idx="150">
                  <c:v>60</c:v>
                </c:pt>
                <c:pt idx="151">
                  <c:v>51</c:v>
                </c:pt>
                <c:pt idx="152">
                  <c:v>51</c:v>
                </c:pt>
                <c:pt idx="153">
                  <c:v>64</c:v>
                </c:pt>
                <c:pt idx="154">
                  <c:v>150</c:v>
                </c:pt>
                <c:pt idx="155">
                  <c:v>338</c:v>
                </c:pt>
                <c:pt idx="156">
                  <c:v>653</c:v>
                </c:pt>
                <c:pt idx="157">
                  <c:v>1138</c:v>
                </c:pt>
                <c:pt idx="158">
                  <c:v>1394</c:v>
                </c:pt>
                <c:pt idx="159">
                  <c:v>1297</c:v>
                </c:pt>
                <c:pt idx="160">
                  <c:v>1335</c:v>
                </c:pt>
                <c:pt idx="161">
                  <c:v>1407</c:v>
                </c:pt>
                <c:pt idx="162">
                  <c:v>1488</c:v>
                </c:pt>
                <c:pt idx="163">
                  <c:v>1306</c:v>
                </c:pt>
                <c:pt idx="164">
                  <c:v>1102</c:v>
                </c:pt>
                <c:pt idx="165">
                  <c:v>946</c:v>
                </c:pt>
                <c:pt idx="166">
                  <c:v>762</c:v>
                </c:pt>
                <c:pt idx="167">
                  <c:v>628</c:v>
                </c:pt>
              </c:numCache>
            </c:numRef>
          </c:val>
          <c:smooth val="0"/>
          <c:extLst>
            <c:ext xmlns:c16="http://schemas.microsoft.com/office/drawing/2014/chart" uri="{C3380CC4-5D6E-409C-BE32-E72D297353CC}">
              <c16:uniqueId val="{000000AC-DCB7-4F66-BBD7-DA07D7EF512C}"/>
            </c:ext>
          </c:extLst>
        </c:ser>
        <c:dLbls>
          <c:showLegendKey val="0"/>
          <c:showVal val="0"/>
          <c:showCatName val="0"/>
          <c:showSerName val="0"/>
          <c:showPercent val="0"/>
          <c:showBubbleSize val="0"/>
        </c:dLbls>
        <c:marker val="1"/>
        <c:smooth val="0"/>
        <c:axId val="505000527"/>
        <c:axId val="504999279"/>
      </c:lineChart>
      <c:catAx>
        <c:axId val="505000527"/>
        <c:scaling>
          <c:orientation val="minMax"/>
        </c:scaling>
        <c:delete val="0"/>
        <c:axPos val="b"/>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4999279"/>
        <c:crosses val="autoZero"/>
        <c:auto val="1"/>
        <c:lblAlgn val="ctr"/>
        <c:lblOffset val="100"/>
        <c:tickLblSkip val="24"/>
        <c:noMultiLvlLbl val="0"/>
      </c:catAx>
      <c:valAx>
        <c:axId val="504999279"/>
        <c:scaling>
          <c:orientation val="minMax"/>
          <c:max val="6500"/>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000527"/>
        <c:crossesAt val="1"/>
        <c:crossBetween val="between"/>
        <c:majorUnit val="500"/>
      </c:valAx>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'[OSW_Weekly_Output_ss.xlsx]Event_%_Scenario&amp;Low'!$P$1</c:f>
          <c:strCache>
            <c:ptCount val="1"/>
            <c:pt idx="0">
              <c:v>Off-Shore Wind Output 70x30 Scenario/Low Load Case - Highest Event % Week (07/28, 24%)</c:v>
            </c:pt>
          </c:strCache>
        </c:strRef>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areaChart>
        <c:grouping val="stacked"/>
        <c:varyColors val="0"/>
        <c:ser>
          <c:idx val="0"/>
          <c:order val="0"/>
          <c:tx>
            <c:strRef>
              <c:f>'[OSW_Weekly_Output_ss.xlsx]Event_%_Scenario&amp;Low'!$Q$2</c:f>
              <c:strCache>
                <c:ptCount val="1"/>
                <c:pt idx="0">
                  <c:v>NY_J_OSW</c:v>
                </c:pt>
              </c:strCache>
            </c:strRef>
          </c:tx>
          <c:spPr>
            <a:solidFill>
              <a:srgbClr val="005392"/>
            </a:solidFill>
            <a:ln>
              <a:noFill/>
            </a:ln>
            <a:effectLst/>
          </c:spPr>
          <c:val>
            <c:numRef>
              <c:f>'[OSW_Weekly_Output_ss.xlsx]Event_%_Scenario&amp;Low'!$Q$3:$Q$170</c:f>
              <c:numCache>
                <c:formatCode>0</c:formatCode>
                <c:ptCount val="168"/>
                <c:pt idx="0">
                  <c:v>2409</c:v>
                </c:pt>
                <c:pt idx="1">
                  <c:v>2158.1</c:v>
                </c:pt>
                <c:pt idx="2">
                  <c:v>2118.4</c:v>
                </c:pt>
                <c:pt idx="3">
                  <c:v>816</c:v>
                </c:pt>
                <c:pt idx="4">
                  <c:v>1023</c:v>
                </c:pt>
                <c:pt idx="5">
                  <c:v>1423</c:v>
                </c:pt>
                <c:pt idx="6">
                  <c:v>2144.5</c:v>
                </c:pt>
                <c:pt idx="7">
                  <c:v>2356.6999999999998</c:v>
                </c:pt>
                <c:pt idx="8">
                  <c:v>1965</c:v>
                </c:pt>
                <c:pt idx="9">
                  <c:v>871</c:v>
                </c:pt>
                <c:pt idx="10">
                  <c:v>2047</c:v>
                </c:pt>
                <c:pt idx="11">
                  <c:v>3218.7</c:v>
                </c:pt>
                <c:pt idx="12">
                  <c:v>2758.9</c:v>
                </c:pt>
                <c:pt idx="13">
                  <c:v>2719.3</c:v>
                </c:pt>
                <c:pt idx="14">
                  <c:v>2778.7</c:v>
                </c:pt>
                <c:pt idx="15">
                  <c:v>3155.3</c:v>
                </c:pt>
                <c:pt idx="16">
                  <c:v>3169</c:v>
                </c:pt>
                <c:pt idx="17">
                  <c:v>3311</c:v>
                </c:pt>
                <c:pt idx="18">
                  <c:v>2833.9</c:v>
                </c:pt>
                <c:pt idx="19">
                  <c:v>1435</c:v>
                </c:pt>
                <c:pt idx="20">
                  <c:v>2535.5</c:v>
                </c:pt>
                <c:pt idx="21">
                  <c:v>1764</c:v>
                </c:pt>
                <c:pt idx="22">
                  <c:v>1794</c:v>
                </c:pt>
                <c:pt idx="23">
                  <c:v>2634</c:v>
                </c:pt>
                <c:pt idx="24">
                  <c:v>2824</c:v>
                </c:pt>
                <c:pt idx="25">
                  <c:v>2482</c:v>
                </c:pt>
                <c:pt idx="26">
                  <c:v>2126</c:v>
                </c:pt>
                <c:pt idx="27">
                  <c:v>1132</c:v>
                </c:pt>
                <c:pt idx="28">
                  <c:v>678</c:v>
                </c:pt>
                <c:pt idx="29">
                  <c:v>642</c:v>
                </c:pt>
                <c:pt idx="30">
                  <c:v>429</c:v>
                </c:pt>
                <c:pt idx="31">
                  <c:v>262</c:v>
                </c:pt>
                <c:pt idx="32">
                  <c:v>256</c:v>
                </c:pt>
                <c:pt idx="33">
                  <c:v>220</c:v>
                </c:pt>
                <c:pt idx="34">
                  <c:v>448</c:v>
                </c:pt>
                <c:pt idx="35">
                  <c:v>956</c:v>
                </c:pt>
                <c:pt idx="36">
                  <c:v>1409</c:v>
                </c:pt>
                <c:pt idx="37">
                  <c:v>1600</c:v>
                </c:pt>
                <c:pt idx="38">
                  <c:v>1637</c:v>
                </c:pt>
                <c:pt idx="39">
                  <c:v>1859</c:v>
                </c:pt>
                <c:pt idx="40">
                  <c:v>1987</c:v>
                </c:pt>
                <c:pt idx="41">
                  <c:v>2045</c:v>
                </c:pt>
                <c:pt idx="42">
                  <c:v>2206</c:v>
                </c:pt>
                <c:pt idx="43">
                  <c:v>2623.8</c:v>
                </c:pt>
                <c:pt idx="44">
                  <c:v>2483</c:v>
                </c:pt>
                <c:pt idx="45">
                  <c:v>2196</c:v>
                </c:pt>
                <c:pt idx="46">
                  <c:v>1864</c:v>
                </c:pt>
                <c:pt idx="47">
                  <c:v>1496</c:v>
                </c:pt>
                <c:pt idx="48">
                  <c:v>1307</c:v>
                </c:pt>
                <c:pt idx="49">
                  <c:v>990</c:v>
                </c:pt>
                <c:pt idx="50">
                  <c:v>557</c:v>
                </c:pt>
                <c:pt idx="51">
                  <c:v>265</c:v>
                </c:pt>
                <c:pt idx="52">
                  <c:v>99</c:v>
                </c:pt>
                <c:pt idx="53">
                  <c:v>42</c:v>
                </c:pt>
                <c:pt idx="54">
                  <c:v>79</c:v>
                </c:pt>
                <c:pt idx="55">
                  <c:v>85</c:v>
                </c:pt>
                <c:pt idx="56">
                  <c:v>181</c:v>
                </c:pt>
                <c:pt idx="57">
                  <c:v>231</c:v>
                </c:pt>
                <c:pt idx="58">
                  <c:v>410</c:v>
                </c:pt>
                <c:pt idx="59">
                  <c:v>718</c:v>
                </c:pt>
                <c:pt idx="60">
                  <c:v>1022</c:v>
                </c:pt>
                <c:pt idx="61">
                  <c:v>1468</c:v>
                </c:pt>
                <c:pt idx="62">
                  <c:v>1967</c:v>
                </c:pt>
                <c:pt idx="63">
                  <c:v>2218</c:v>
                </c:pt>
                <c:pt idx="64">
                  <c:v>2318</c:v>
                </c:pt>
                <c:pt idx="65">
                  <c:v>2078</c:v>
                </c:pt>
                <c:pt idx="66">
                  <c:v>2221</c:v>
                </c:pt>
                <c:pt idx="67">
                  <c:v>2150</c:v>
                </c:pt>
                <c:pt idx="68">
                  <c:v>2074</c:v>
                </c:pt>
                <c:pt idx="69">
                  <c:v>1932</c:v>
                </c:pt>
                <c:pt idx="70">
                  <c:v>1899</c:v>
                </c:pt>
                <c:pt idx="71">
                  <c:v>1944</c:v>
                </c:pt>
                <c:pt idx="72">
                  <c:v>1675</c:v>
                </c:pt>
                <c:pt idx="73">
                  <c:v>1351</c:v>
                </c:pt>
                <c:pt idx="74">
                  <c:v>1485</c:v>
                </c:pt>
                <c:pt idx="75">
                  <c:v>1166</c:v>
                </c:pt>
                <c:pt idx="76">
                  <c:v>978</c:v>
                </c:pt>
                <c:pt idx="77">
                  <c:v>605</c:v>
                </c:pt>
                <c:pt idx="78">
                  <c:v>411</c:v>
                </c:pt>
                <c:pt idx="79">
                  <c:v>556</c:v>
                </c:pt>
                <c:pt idx="80">
                  <c:v>746</c:v>
                </c:pt>
                <c:pt idx="81">
                  <c:v>1742</c:v>
                </c:pt>
                <c:pt idx="82">
                  <c:v>2528</c:v>
                </c:pt>
                <c:pt idx="83">
                  <c:v>3467.4</c:v>
                </c:pt>
                <c:pt idx="84">
                  <c:v>3566.7</c:v>
                </c:pt>
                <c:pt idx="85">
                  <c:v>3828.5</c:v>
                </c:pt>
                <c:pt idx="86">
                  <c:v>3841.5</c:v>
                </c:pt>
                <c:pt idx="87">
                  <c:v>3860.3</c:v>
                </c:pt>
                <c:pt idx="88">
                  <c:v>3860.2</c:v>
                </c:pt>
                <c:pt idx="89">
                  <c:v>3661</c:v>
                </c:pt>
                <c:pt idx="90">
                  <c:v>3311.2</c:v>
                </c:pt>
                <c:pt idx="91">
                  <c:v>3289.7</c:v>
                </c:pt>
                <c:pt idx="92">
                  <c:v>3129.8</c:v>
                </c:pt>
                <c:pt idx="93">
                  <c:v>3261.2</c:v>
                </c:pt>
                <c:pt idx="94">
                  <c:v>3280.5</c:v>
                </c:pt>
                <c:pt idx="95">
                  <c:v>3432.2</c:v>
                </c:pt>
                <c:pt idx="96">
                  <c:v>3251.5</c:v>
                </c:pt>
                <c:pt idx="97">
                  <c:v>3090.7</c:v>
                </c:pt>
                <c:pt idx="98">
                  <c:v>2840</c:v>
                </c:pt>
                <c:pt idx="99">
                  <c:v>2620</c:v>
                </c:pt>
                <c:pt idx="100">
                  <c:v>2102</c:v>
                </c:pt>
                <c:pt idx="101">
                  <c:v>1819</c:v>
                </c:pt>
                <c:pt idx="102">
                  <c:v>1379</c:v>
                </c:pt>
                <c:pt idx="103">
                  <c:v>927</c:v>
                </c:pt>
                <c:pt idx="104">
                  <c:v>700</c:v>
                </c:pt>
                <c:pt idx="105">
                  <c:v>526</c:v>
                </c:pt>
                <c:pt idx="106">
                  <c:v>528</c:v>
                </c:pt>
                <c:pt idx="107">
                  <c:v>589</c:v>
                </c:pt>
                <c:pt idx="108">
                  <c:v>575</c:v>
                </c:pt>
                <c:pt idx="109">
                  <c:v>597</c:v>
                </c:pt>
                <c:pt idx="110">
                  <c:v>879</c:v>
                </c:pt>
                <c:pt idx="111">
                  <c:v>1596</c:v>
                </c:pt>
                <c:pt idx="112">
                  <c:v>1532</c:v>
                </c:pt>
                <c:pt idx="113">
                  <c:v>1880</c:v>
                </c:pt>
                <c:pt idx="114">
                  <c:v>2364</c:v>
                </c:pt>
                <c:pt idx="115">
                  <c:v>2489</c:v>
                </c:pt>
                <c:pt idx="116">
                  <c:v>2412</c:v>
                </c:pt>
                <c:pt idx="117">
                  <c:v>2701</c:v>
                </c:pt>
                <c:pt idx="118">
                  <c:v>2492</c:v>
                </c:pt>
                <c:pt idx="119">
                  <c:v>2088</c:v>
                </c:pt>
                <c:pt idx="120">
                  <c:v>1932</c:v>
                </c:pt>
                <c:pt idx="121">
                  <c:v>1951</c:v>
                </c:pt>
                <c:pt idx="122">
                  <c:v>1939</c:v>
                </c:pt>
                <c:pt idx="123">
                  <c:v>2002</c:v>
                </c:pt>
                <c:pt idx="124">
                  <c:v>2056</c:v>
                </c:pt>
                <c:pt idx="125">
                  <c:v>2217</c:v>
                </c:pt>
                <c:pt idx="126">
                  <c:v>2034</c:v>
                </c:pt>
                <c:pt idx="127">
                  <c:v>2597</c:v>
                </c:pt>
                <c:pt idx="128">
                  <c:v>3098.4</c:v>
                </c:pt>
                <c:pt idx="129">
                  <c:v>3437.9</c:v>
                </c:pt>
                <c:pt idx="130">
                  <c:v>3575.5</c:v>
                </c:pt>
                <c:pt idx="131">
                  <c:v>3585.2</c:v>
                </c:pt>
                <c:pt idx="132">
                  <c:v>3813.5</c:v>
                </c:pt>
                <c:pt idx="133">
                  <c:v>3833.7</c:v>
                </c:pt>
                <c:pt idx="134">
                  <c:v>3749.9</c:v>
                </c:pt>
                <c:pt idx="135">
                  <c:v>2890.8</c:v>
                </c:pt>
                <c:pt idx="136">
                  <c:v>1415</c:v>
                </c:pt>
                <c:pt idx="137">
                  <c:v>519</c:v>
                </c:pt>
                <c:pt idx="138">
                  <c:v>61</c:v>
                </c:pt>
                <c:pt idx="139">
                  <c:v>19</c:v>
                </c:pt>
                <c:pt idx="140">
                  <c:v>26</c:v>
                </c:pt>
                <c:pt idx="141">
                  <c:v>85</c:v>
                </c:pt>
                <c:pt idx="142">
                  <c:v>200</c:v>
                </c:pt>
                <c:pt idx="143">
                  <c:v>399</c:v>
                </c:pt>
                <c:pt idx="144">
                  <c:v>634</c:v>
                </c:pt>
                <c:pt idx="145">
                  <c:v>637</c:v>
                </c:pt>
                <c:pt idx="146">
                  <c:v>412</c:v>
                </c:pt>
                <c:pt idx="147">
                  <c:v>277</c:v>
                </c:pt>
                <c:pt idx="148">
                  <c:v>243</c:v>
                </c:pt>
                <c:pt idx="149">
                  <c:v>185</c:v>
                </c:pt>
                <c:pt idx="150">
                  <c:v>51</c:v>
                </c:pt>
                <c:pt idx="151">
                  <c:v>7</c:v>
                </c:pt>
                <c:pt idx="152">
                  <c:v>0</c:v>
                </c:pt>
                <c:pt idx="153">
                  <c:v>0</c:v>
                </c:pt>
                <c:pt idx="154">
                  <c:v>0</c:v>
                </c:pt>
                <c:pt idx="155">
                  <c:v>3</c:v>
                </c:pt>
                <c:pt idx="156">
                  <c:v>34</c:v>
                </c:pt>
                <c:pt idx="157">
                  <c:v>95</c:v>
                </c:pt>
                <c:pt idx="158">
                  <c:v>152</c:v>
                </c:pt>
                <c:pt idx="159">
                  <c:v>210</c:v>
                </c:pt>
                <c:pt idx="160">
                  <c:v>268</c:v>
                </c:pt>
                <c:pt idx="161">
                  <c:v>352</c:v>
                </c:pt>
                <c:pt idx="162">
                  <c:v>426</c:v>
                </c:pt>
                <c:pt idx="163">
                  <c:v>518</c:v>
                </c:pt>
                <c:pt idx="164">
                  <c:v>467</c:v>
                </c:pt>
                <c:pt idx="165">
                  <c:v>568</c:v>
                </c:pt>
                <c:pt idx="166">
                  <c:v>342</c:v>
                </c:pt>
                <c:pt idx="167">
                  <c:v>323</c:v>
                </c:pt>
              </c:numCache>
            </c:numRef>
          </c:val>
          <c:extLst>
            <c:ext xmlns:c16="http://schemas.microsoft.com/office/drawing/2014/chart" uri="{C3380CC4-5D6E-409C-BE32-E72D297353CC}">
              <c16:uniqueId val="{00000000-2B95-4678-BDB2-BAD684CF91D4}"/>
            </c:ext>
          </c:extLst>
        </c:ser>
        <c:ser>
          <c:idx val="1"/>
          <c:order val="1"/>
          <c:tx>
            <c:strRef>
              <c:f>'[OSW_Weekly_Output_ss.xlsx]Event_%_Scenario&amp;Low'!$R$2</c:f>
              <c:strCache>
                <c:ptCount val="1"/>
                <c:pt idx="0">
                  <c:v>NY_K_OSW</c:v>
                </c:pt>
              </c:strCache>
            </c:strRef>
          </c:tx>
          <c:spPr>
            <a:solidFill>
              <a:srgbClr val="00A7E2"/>
            </a:solidFill>
            <a:ln>
              <a:noFill/>
            </a:ln>
            <a:effectLst/>
          </c:spPr>
          <c:val>
            <c:numRef>
              <c:f>'[OSW_Weekly_Output_ss.xlsx]Event_%_Scenario&amp;Low'!$R$3:$R$170</c:f>
              <c:numCache>
                <c:formatCode>0</c:formatCode>
                <c:ptCount val="168"/>
                <c:pt idx="0">
                  <c:v>829</c:v>
                </c:pt>
                <c:pt idx="1">
                  <c:v>908</c:v>
                </c:pt>
                <c:pt idx="2">
                  <c:v>943</c:v>
                </c:pt>
                <c:pt idx="3">
                  <c:v>761</c:v>
                </c:pt>
                <c:pt idx="4">
                  <c:v>737</c:v>
                </c:pt>
                <c:pt idx="5">
                  <c:v>762</c:v>
                </c:pt>
                <c:pt idx="6">
                  <c:v>1092</c:v>
                </c:pt>
                <c:pt idx="7">
                  <c:v>1151</c:v>
                </c:pt>
                <c:pt idx="8">
                  <c:v>1183</c:v>
                </c:pt>
                <c:pt idx="9">
                  <c:v>934</c:v>
                </c:pt>
                <c:pt idx="10">
                  <c:v>1082</c:v>
                </c:pt>
                <c:pt idx="11">
                  <c:v>1074</c:v>
                </c:pt>
                <c:pt idx="12">
                  <c:v>1189</c:v>
                </c:pt>
                <c:pt idx="13">
                  <c:v>1419</c:v>
                </c:pt>
                <c:pt idx="14">
                  <c:v>1540</c:v>
                </c:pt>
                <c:pt idx="15">
                  <c:v>1585</c:v>
                </c:pt>
                <c:pt idx="16">
                  <c:v>1478</c:v>
                </c:pt>
                <c:pt idx="17">
                  <c:v>1345</c:v>
                </c:pt>
                <c:pt idx="18">
                  <c:v>1352</c:v>
                </c:pt>
                <c:pt idx="19">
                  <c:v>1380</c:v>
                </c:pt>
                <c:pt idx="20">
                  <c:v>1557.3</c:v>
                </c:pt>
                <c:pt idx="21">
                  <c:v>1323</c:v>
                </c:pt>
                <c:pt idx="22">
                  <c:v>779</c:v>
                </c:pt>
                <c:pt idx="23">
                  <c:v>199</c:v>
                </c:pt>
                <c:pt idx="24">
                  <c:v>307</c:v>
                </c:pt>
                <c:pt idx="25">
                  <c:v>371</c:v>
                </c:pt>
                <c:pt idx="26">
                  <c:v>695</c:v>
                </c:pt>
                <c:pt idx="27">
                  <c:v>865</c:v>
                </c:pt>
                <c:pt idx="28">
                  <c:v>1076</c:v>
                </c:pt>
                <c:pt idx="29">
                  <c:v>1123</c:v>
                </c:pt>
                <c:pt idx="30">
                  <c:v>1196</c:v>
                </c:pt>
                <c:pt idx="31">
                  <c:v>1191</c:v>
                </c:pt>
                <c:pt idx="32">
                  <c:v>1091</c:v>
                </c:pt>
                <c:pt idx="33">
                  <c:v>1029</c:v>
                </c:pt>
                <c:pt idx="34">
                  <c:v>1027</c:v>
                </c:pt>
                <c:pt idx="35">
                  <c:v>1078</c:v>
                </c:pt>
                <c:pt idx="36">
                  <c:v>1209</c:v>
                </c:pt>
                <c:pt idx="37">
                  <c:v>1328</c:v>
                </c:pt>
                <c:pt idx="38">
                  <c:v>1096</c:v>
                </c:pt>
                <c:pt idx="39">
                  <c:v>1073</c:v>
                </c:pt>
                <c:pt idx="40">
                  <c:v>1225</c:v>
                </c:pt>
                <c:pt idx="41">
                  <c:v>1386</c:v>
                </c:pt>
                <c:pt idx="42">
                  <c:v>1488</c:v>
                </c:pt>
                <c:pt idx="43">
                  <c:v>1491</c:v>
                </c:pt>
                <c:pt idx="44">
                  <c:v>1283</c:v>
                </c:pt>
                <c:pt idx="45">
                  <c:v>1092</c:v>
                </c:pt>
                <c:pt idx="46">
                  <c:v>883</c:v>
                </c:pt>
                <c:pt idx="47">
                  <c:v>804</c:v>
                </c:pt>
                <c:pt idx="48">
                  <c:v>580</c:v>
                </c:pt>
                <c:pt idx="49">
                  <c:v>373</c:v>
                </c:pt>
                <c:pt idx="50">
                  <c:v>408</c:v>
                </c:pt>
                <c:pt idx="51">
                  <c:v>444</c:v>
                </c:pt>
                <c:pt idx="52">
                  <c:v>342</c:v>
                </c:pt>
                <c:pt idx="53">
                  <c:v>221</c:v>
                </c:pt>
                <c:pt idx="54">
                  <c:v>176</c:v>
                </c:pt>
                <c:pt idx="55">
                  <c:v>204</c:v>
                </c:pt>
                <c:pt idx="56">
                  <c:v>134</c:v>
                </c:pt>
                <c:pt idx="57">
                  <c:v>132</c:v>
                </c:pt>
                <c:pt idx="58">
                  <c:v>135</c:v>
                </c:pt>
                <c:pt idx="59">
                  <c:v>237</c:v>
                </c:pt>
                <c:pt idx="60">
                  <c:v>309</c:v>
                </c:pt>
                <c:pt idx="61">
                  <c:v>399</c:v>
                </c:pt>
                <c:pt idx="62">
                  <c:v>516</c:v>
                </c:pt>
                <c:pt idx="63">
                  <c:v>672</c:v>
                </c:pt>
                <c:pt idx="64">
                  <c:v>648</c:v>
                </c:pt>
                <c:pt idx="65">
                  <c:v>755</c:v>
                </c:pt>
                <c:pt idx="66">
                  <c:v>676</c:v>
                </c:pt>
                <c:pt idx="67">
                  <c:v>648</c:v>
                </c:pt>
                <c:pt idx="68">
                  <c:v>619</c:v>
                </c:pt>
                <c:pt idx="69">
                  <c:v>594</c:v>
                </c:pt>
                <c:pt idx="70">
                  <c:v>577</c:v>
                </c:pt>
                <c:pt idx="71">
                  <c:v>662</c:v>
                </c:pt>
                <c:pt idx="72">
                  <c:v>663</c:v>
                </c:pt>
                <c:pt idx="73">
                  <c:v>566</c:v>
                </c:pt>
                <c:pt idx="74">
                  <c:v>555</c:v>
                </c:pt>
                <c:pt idx="75">
                  <c:v>431</c:v>
                </c:pt>
                <c:pt idx="76">
                  <c:v>299</c:v>
                </c:pt>
                <c:pt idx="77">
                  <c:v>347</c:v>
                </c:pt>
                <c:pt idx="78">
                  <c:v>370</c:v>
                </c:pt>
                <c:pt idx="79">
                  <c:v>395</c:v>
                </c:pt>
                <c:pt idx="80">
                  <c:v>422</c:v>
                </c:pt>
                <c:pt idx="81">
                  <c:v>553</c:v>
                </c:pt>
                <c:pt idx="82">
                  <c:v>825</c:v>
                </c:pt>
                <c:pt idx="83">
                  <c:v>1071</c:v>
                </c:pt>
                <c:pt idx="84">
                  <c:v>1394</c:v>
                </c:pt>
                <c:pt idx="85">
                  <c:v>1389</c:v>
                </c:pt>
                <c:pt idx="86">
                  <c:v>1417</c:v>
                </c:pt>
                <c:pt idx="87">
                  <c:v>1544</c:v>
                </c:pt>
                <c:pt idx="88">
                  <c:v>1644</c:v>
                </c:pt>
                <c:pt idx="89">
                  <c:v>1746</c:v>
                </c:pt>
                <c:pt idx="90">
                  <c:v>1719</c:v>
                </c:pt>
                <c:pt idx="91">
                  <c:v>1677</c:v>
                </c:pt>
                <c:pt idx="92">
                  <c:v>1736</c:v>
                </c:pt>
                <c:pt idx="93">
                  <c:v>1627.2</c:v>
                </c:pt>
                <c:pt idx="94">
                  <c:v>1514.6</c:v>
                </c:pt>
                <c:pt idx="95">
                  <c:v>1674.8</c:v>
                </c:pt>
                <c:pt idx="96">
                  <c:v>1641.7</c:v>
                </c:pt>
                <c:pt idx="97">
                  <c:v>1619</c:v>
                </c:pt>
                <c:pt idx="98">
                  <c:v>1562.4</c:v>
                </c:pt>
                <c:pt idx="99">
                  <c:v>1553.5</c:v>
                </c:pt>
                <c:pt idx="100">
                  <c:v>1576.4</c:v>
                </c:pt>
                <c:pt idx="101">
                  <c:v>1388.2</c:v>
                </c:pt>
                <c:pt idx="102">
                  <c:v>1400</c:v>
                </c:pt>
                <c:pt idx="103">
                  <c:v>1361</c:v>
                </c:pt>
                <c:pt idx="104">
                  <c:v>1219</c:v>
                </c:pt>
                <c:pt idx="105">
                  <c:v>1195</c:v>
                </c:pt>
                <c:pt idx="106">
                  <c:v>1272</c:v>
                </c:pt>
                <c:pt idx="107">
                  <c:v>1322</c:v>
                </c:pt>
                <c:pt idx="108">
                  <c:v>1340</c:v>
                </c:pt>
                <c:pt idx="109">
                  <c:v>1329</c:v>
                </c:pt>
                <c:pt idx="110">
                  <c:v>1304</c:v>
                </c:pt>
                <c:pt idx="111">
                  <c:v>1353</c:v>
                </c:pt>
                <c:pt idx="112">
                  <c:v>1404</c:v>
                </c:pt>
                <c:pt idx="113">
                  <c:v>1412</c:v>
                </c:pt>
                <c:pt idx="114">
                  <c:v>1372</c:v>
                </c:pt>
                <c:pt idx="115">
                  <c:v>1284</c:v>
                </c:pt>
                <c:pt idx="116">
                  <c:v>1294</c:v>
                </c:pt>
                <c:pt idx="117">
                  <c:v>1133</c:v>
                </c:pt>
                <c:pt idx="118">
                  <c:v>875</c:v>
                </c:pt>
                <c:pt idx="119">
                  <c:v>716</c:v>
                </c:pt>
                <c:pt idx="120">
                  <c:v>548</c:v>
                </c:pt>
                <c:pt idx="121">
                  <c:v>399</c:v>
                </c:pt>
                <c:pt idx="122">
                  <c:v>354</c:v>
                </c:pt>
                <c:pt idx="123">
                  <c:v>368</c:v>
                </c:pt>
                <c:pt idx="124">
                  <c:v>389</c:v>
                </c:pt>
                <c:pt idx="125">
                  <c:v>564</c:v>
                </c:pt>
                <c:pt idx="126">
                  <c:v>759</c:v>
                </c:pt>
                <c:pt idx="127">
                  <c:v>909</c:v>
                </c:pt>
                <c:pt idx="128">
                  <c:v>946</c:v>
                </c:pt>
                <c:pt idx="129">
                  <c:v>1284</c:v>
                </c:pt>
                <c:pt idx="130">
                  <c:v>1568</c:v>
                </c:pt>
                <c:pt idx="131">
                  <c:v>1718</c:v>
                </c:pt>
                <c:pt idx="132">
                  <c:v>1744</c:v>
                </c:pt>
                <c:pt idx="133">
                  <c:v>1768</c:v>
                </c:pt>
                <c:pt idx="134">
                  <c:v>1762</c:v>
                </c:pt>
                <c:pt idx="135">
                  <c:v>1739</c:v>
                </c:pt>
                <c:pt idx="136">
                  <c:v>1535</c:v>
                </c:pt>
                <c:pt idx="137">
                  <c:v>1191</c:v>
                </c:pt>
                <c:pt idx="138">
                  <c:v>1129</c:v>
                </c:pt>
                <c:pt idx="139">
                  <c:v>859</c:v>
                </c:pt>
                <c:pt idx="140">
                  <c:v>786</c:v>
                </c:pt>
                <c:pt idx="141">
                  <c:v>71</c:v>
                </c:pt>
                <c:pt idx="142">
                  <c:v>127</c:v>
                </c:pt>
                <c:pt idx="143">
                  <c:v>87</c:v>
                </c:pt>
                <c:pt idx="144">
                  <c:v>188</c:v>
                </c:pt>
                <c:pt idx="145">
                  <c:v>186</c:v>
                </c:pt>
                <c:pt idx="146">
                  <c:v>198</c:v>
                </c:pt>
                <c:pt idx="147">
                  <c:v>216</c:v>
                </c:pt>
                <c:pt idx="148">
                  <c:v>255</c:v>
                </c:pt>
                <c:pt idx="149">
                  <c:v>200</c:v>
                </c:pt>
                <c:pt idx="150">
                  <c:v>122</c:v>
                </c:pt>
                <c:pt idx="151">
                  <c:v>62</c:v>
                </c:pt>
                <c:pt idx="152">
                  <c:v>10</c:v>
                </c:pt>
                <c:pt idx="153">
                  <c:v>1</c:v>
                </c:pt>
                <c:pt idx="154">
                  <c:v>5</c:v>
                </c:pt>
                <c:pt idx="155">
                  <c:v>35</c:v>
                </c:pt>
                <c:pt idx="156">
                  <c:v>82</c:v>
                </c:pt>
                <c:pt idx="157">
                  <c:v>138</c:v>
                </c:pt>
                <c:pt idx="158">
                  <c:v>146</c:v>
                </c:pt>
                <c:pt idx="159">
                  <c:v>131</c:v>
                </c:pt>
                <c:pt idx="160">
                  <c:v>105</c:v>
                </c:pt>
                <c:pt idx="161">
                  <c:v>68</c:v>
                </c:pt>
                <c:pt idx="162">
                  <c:v>68</c:v>
                </c:pt>
                <c:pt idx="163">
                  <c:v>66</c:v>
                </c:pt>
                <c:pt idx="164">
                  <c:v>61</c:v>
                </c:pt>
                <c:pt idx="165">
                  <c:v>81</c:v>
                </c:pt>
                <c:pt idx="166">
                  <c:v>67</c:v>
                </c:pt>
                <c:pt idx="167">
                  <c:v>61</c:v>
                </c:pt>
              </c:numCache>
            </c:numRef>
          </c:val>
          <c:extLst>
            <c:ext xmlns:c16="http://schemas.microsoft.com/office/drawing/2014/chart" uri="{C3380CC4-5D6E-409C-BE32-E72D297353CC}">
              <c16:uniqueId val="{00000001-2B95-4678-BDB2-BAD684CF91D4}"/>
            </c:ext>
          </c:extLst>
        </c:ser>
        <c:dLbls>
          <c:showLegendKey val="0"/>
          <c:showVal val="0"/>
          <c:showCatName val="0"/>
          <c:showSerName val="0"/>
          <c:showPercent val="0"/>
          <c:showBubbleSize val="0"/>
        </c:dLbls>
        <c:axId val="505000527"/>
        <c:axId val="504999279"/>
      </c:areaChart>
      <c:lineChart>
        <c:grouping val="standard"/>
        <c:varyColors val="0"/>
        <c:ser>
          <c:idx val="2"/>
          <c:order val="2"/>
          <c:tx>
            <c:strRef>
              <c:f>'[OSW_Weekly_Output_ss.xlsx]Event_%_Scenario&amp;Low'!$T$2</c:f>
              <c:strCache>
                <c:ptCount val="1"/>
                <c:pt idx="0">
                  <c:v>Nameplate</c:v>
                </c:pt>
              </c:strCache>
            </c:strRef>
          </c:tx>
          <c:spPr>
            <a:ln w="28575" cap="rnd">
              <a:solidFill>
                <a:schemeClr val="tx1"/>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2-2B95-4678-BDB2-BAD684CF91D4}"/>
                </c:ext>
              </c:extLst>
            </c:dLbl>
            <c:dLbl>
              <c:idx val="1"/>
              <c:delete val="1"/>
              <c:extLst>
                <c:ext xmlns:c15="http://schemas.microsoft.com/office/drawing/2012/chart" uri="{CE6537A1-D6FC-4f65-9D91-7224C49458BB}"/>
                <c:ext xmlns:c16="http://schemas.microsoft.com/office/drawing/2014/chart" uri="{C3380CC4-5D6E-409C-BE32-E72D297353CC}">
                  <c16:uniqueId val="{00000003-2B95-4678-BDB2-BAD684CF91D4}"/>
                </c:ext>
              </c:extLst>
            </c:dLbl>
            <c:dLbl>
              <c:idx val="2"/>
              <c:delete val="1"/>
              <c:extLst>
                <c:ext xmlns:c15="http://schemas.microsoft.com/office/drawing/2012/chart" uri="{CE6537A1-D6FC-4f65-9D91-7224C49458BB}"/>
                <c:ext xmlns:c16="http://schemas.microsoft.com/office/drawing/2014/chart" uri="{C3380CC4-5D6E-409C-BE32-E72D297353CC}">
                  <c16:uniqueId val="{00000004-2B95-4678-BDB2-BAD684CF91D4}"/>
                </c:ext>
              </c:extLst>
            </c:dLbl>
            <c:dLbl>
              <c:idx val="3"/>
              <c:delete val="1"/>
              <c:extLst>
                <c:ext xmlns:c15="http://schemas.microsoft.com/office/drawing/2012/chart" uri="{CE6537A1-D6FC-4f65-9D91-7224C49458BB}"/>
                <c:ext xmlns:c16="http://schemas.microsoft.com/office/drawing/2014/chart" uri="{C3380CC4-5D6E-409C-BE32-E72D297353CC}">
                  <c16:uniqueId val="{00000005-2B95-4678-BDB2-BAD684CF91D4}"/>
                </c:ext>
              </c:extLst>
            </c:dLbl>
            <c:dLbl>
              <c:idx val="4"/>
              <c:delete val="1"/>
              <c:extLst>
                <c:ext xmlns:c15="http://schemas.microsoft.com/office/drawing/2012/chart" uri="{CE6537A1-D6FC-4f65-9D91-7224C49458BB}"/>
                <c:ext xmlns:c16="http://schemas.microsoft.com/office/drawing/2014/chart" uri="{C3380CC4-5D6E-409C-BE32-E72D297353CC}">
                  <c16:uniqueId val="{00000006-2B95-4678-BDB2-BAD684CF91D4}"/>
                </c:ext>
              </c:extLst>
            </c:dLbl>
            <c:dLbl>
              <c:idx val="5"/>
              <c:delete val="1"/>
              <c:extLst>
                <c:ext xmlns:c15="http://schemas.microsoft.com/office/drawing/2012/chart" uri="{CE6537A1-D6FC-4f65-9D91-7224C49458BB}"/>
                <c:ext xmlns:c16="http://schemas.microsoft.com/office/drawing/2014/chart" uri="{C3380CC4-5D6E-409C-BE32-E72D297353CC}">
                  <c16:uniqueId val="{00000007-2B95-4678-BDB2-BAD684CF91D4}"/>
                </c:ext>
              </c:extLst>
            </c:dLbl>
            <c:dLbl>
              <c:idx val="6"/>
              <c:delete val="1"/>
              <c:extLst>
                <c:ext xmlns:c15="http://schemas.microsoft.com/office/drawing/2012/chart" uri="{CE6537A1-D6FC-4f65-9D91-7224C49458BB}"/>
                <c:ext xmlns:c16="http://schemas.microsoft.com/office/drawing/2014/chart" uri="{C3380CC4-5D6E-409C-BE32-E72D297353CC}">
                  <c16:uniqueId val="{00000008-2B95-4678-BDB2-BAD684CF91D4}"/>
                </c:ext>
              </c:extLst>
            </c:dLbl>
            <c:dLbl>
              <c:idx val="7"/>
              <c:delete val="1"/>
              <c:extLst>
                <c:ext xmlns:c15="http://schemas.microsoft.com/office/drawing/2012/chart" uri="{CE6537A1-D6FC-4f65-9D91-7224C49458BB}"/>
                <c:ext xmlns:c16="http://schemas.microsoft.com/office/drawing/2014/chart" uri="{C3380CC4-5D6E-409C-BE32-E72D297353CC}">
                  <c16:uniqueId val="{00000009-2B95-4678-BDB2-BAD684CF91D4}"/>
                </c:ext>
              </c:extLst>
            </c:dLbl>
            <c:dLbl>
              <c:idx val="8"/>
              <c:delete val="1"/>
              <c:extLst>
                <c:ext xmlns:c15="http://schemas.microsoft.com/office/drawing/2012/chart" uri="{CE6537A1-D6FC-4f65-9D91-7224C49458BB}"/>
                <c:ext xmlns:c16="http://schemas.microsoft.com/office/drawing/2014/chart" uri="{C3380CC4-5D6E-409C-BE32-E72D297353CC}">
                  <c16:uniqueId val="{0000000A-2B95-4678-BDB2-BAD684CF91D4}"/>
                </c:ext>
              </c:extLst>
            </c:dLbl>
            <c:dLbl>
              <c:idx val="9"/>
              <c:delete val="1"/>
              <c:extLst>
                <c:ext xmlns:c15="http://schemas.microsoft.com/office/drawing/2012/chart" uri="{CE6537A1-D6FC-4f65-9D91-7224C49458BB}"/>
                <c:ext xmlns:c16="http://schemas.microsoft.com/office/drawing/2014/chart" uri="{C3380CC4-5D6E-409C-BE32-E72D297353CC}">
                  <c16:uniqueId val="{0000000B-2B95-4678-BDB2-BAD684CF91D4}"/>
                </c:ext>
              </c:extLst>
            </c:dLbl>
            <c:dLbl>
              <c:idx val="10"/>
              <c:delete val="1"/>
              <c:extLst>
                <c:ext xmlns:c15="http://schemas.microsoft.com/office/drawing/2012/chart" uri="{CE6537A1-D6FC-4f65-9D91-7224C49458BB}"/>
                <c:ext xmlns:c16="http://schemas.microsoft.com/office/drawing/2014/chart" uri="{C3380CC4-5D6E-409C-BE32-E72D297353CC}">
                  <c16:uniqueId val="{0000000C-2B95-4678-BDB2-BAD684CF91D4}"/>
                </c:ext>
              </c:extLst>
            </c:dLbl>
            <c:dLbl>
              <c:idx val="11"/>
              <c:delete val="1"/>
              <c:extLst>
                <c:ext xmlns:c15="http://schemas.microsoft.com/office/drawing/2012/chart" uri="{CE6537A1-D6FC-4f65-9D91-7224C49458BB}"/>
                <c:ext xmlns:c16="http://schemas.microsoft.com/office/drawing/2014/chart" uri="{C3380CC4-5D6E-409C-BE32-E72D297353CC}">
                  <c16:uniqueId val="{0000000D-2B95-4678-BDB2-BAD684CF91D4}"/>
                </c:ext>
              </c:extLst>
            </c:dLbl>
            <c:dLbl>
              <c:idx val="12"/>
              <c:delete val="1"/>
              <c:extLst>
                <c:ext xmlns:c15="http://schemas.microsoft.com/office/drawing/2012/chart" uri="{CE6537A1-D6FC-4f65-9D91-7224C49458BB}"/>
                <c:ext xmlns:c16="http://schemas.microsoft.com/office/drawing/2014/chart" uri="{C3380CC4-5D6E-409C-BE32-E72D297353CC}">
                  <c16:uniqueId val="{0000000E-2B95-4678-BDB2-BAD684CF91D4}"/>
                </c:ext>
              </c:extLst>
            </c:dLbl>
            <c:dLbl>
              <c:idx val="13"/>
              <c:delete val="1"/>
              <c:extLst>
                <c:ext xmlns:c15="http://schemas.microsoft.com/office/drawing/2012/chart" uri="{CE6537A1-D6FC-4f65-9D91-7224C49458BB}"/>
                <c:ext xmlns:c16="http://schemas.microsoft.com/office/drawing/2014/chart" uri="{C3380CC4-5D6E-409C-BE32-E72D297353CC}">
                  <c16:uniqueId val="{0000000F-2B95-4678-BDB2-BAD684CF91D4}"/>
                </c:ext>
              </c:extLst>
            </c:dLbl>
            <c:dLbl>
              <c:idx val="14"/>
              <c:delete val="1"/>
              <c:extLst>
                <c:ext xmlns:c15="http://schemas.microsoft.com/office/drawing/2012/chart" uri="{CE6537A1-D6FC-4f65-9D91-7224C49458BB}"/>
                <c:ext xmlns:c16="http://schemas.microsoft.com/office/drawing/2014/chart" uri="{C3380CC4-5D6E-409C-BE32-E72D297353CC}">
                  <c16:uniqueId val="{00000010-2B95-4678-BDB2-BAD684CF91D4}"/>
                </c:ext>
              </c:extLst>
            </c:dLbl>
            <c:dLbl>
              <c:idx val="15"/>
              <c:delete val="1"/>
              <c:extLst>
                <c:ext xmlns:c15="http://schemas.microsoft.com/office/drawing/2012/chart" uri="{CE6537A1-D6FC-4f65-9D91-7224C49458BB}"/>
                <c:ext xmlns:c16="http://schemas.microsoft.com/office/drawing/2014/chart" uri="{C3380CC4-5D6E-409C-BE32-E72D297353CC}">
                  <c16:uniqueId val="{00000011-2B95-4678-BDB2-BAD684CF91D4}"/>
                </c:ext>
              </c:extLst>
            </c:dLbl>
            <c:dLbl>
              <c:idx val="16"/>
              <c:delete val="1"/>
              <c:extLst>
                <c:ext xmlns:c15="http://schemas.microsoft.com/office/drawing/2012/chart" uri="{CE6537A1-D6FC-4f65-9D91-7224C49458BB}"/>
                <c:ext xmlns:c16="http://schemas.microsoft.com/office/drawing/2014/chart" uri="{C3380CC4-5D6E-409C-BE32-E72D297353CC}">
                  <c16:uniqueId val="{00000012-2B95-4678-BDB2-BAD684CF91D4}"/>
                </c:ext>
              </c:extLst>
            </c:dLbl>
            <c:dLbl>
              <c:idx val="17"/>
              <c:delete val="1"/>
              <c:extLst>
                <c:ext xmlns:c15="http://schemas.microsoft.com/office/drawing/2012/chart" uri="{CE6537A1-D6FC-4f65-9D91-7224C49458BB}"/>
                <c:ext xmlns:c16="http://schemas.microsoft.com/office/drawing/2014/chart" uri="{C3380CC4-5D6E-409C-BE32-E72D297353CC}">
                  <c16:uniqueId val="{00000013-2B95-4678-BDB2-BAD684CF91D4}"/>
                </c:ext>
              </c:extLst>
            </c:dLbl>
            <c:dLbl>
              <c:idx val="18"/>
              <c:delete val="1"/>
              <c:extLst>
                <c:ext xmlns:c15="http://schemas.microsoft.com/office/drawing/2012/chart" uri="{CE6537A1-D6FC-4f65-9D91-7224C49458BB}"/>
                <c:ext xmlns:c16="http://schemas.microsoft.com/office/drawing/2014/chart" uri="{C3380CC4-5D6E-409C-BE32-E72D297353CC}">
                  <c16:uniqueId val="{00000014-2B95-4678-BDB2-BAD684CF91D4}"/>
                </c:ext>
              </c:extLst>
            </c:dLbl>
            <c:dLbl>
              <c:idx val="19"/>
              <c:delete val="1"/>
              <c:extLst>
                <c:ext xmlns:c15="http://schemas.microsoft.com/office/drawing/2012/chart" uri="{CE6537A1-D6FC-4f65-9D91-7224C49458BB}"/>
                <c:ext xmlns:c16="http://schemas.microsoft.com/office/drawing/2014/chart" uri="{C3380CC4-5D6E-409C-BE32-E72D297353CC}">
                  <c16:uniqueId val="{00000015-2B95-4678-BDB2-BAD684CF91D4}"/>
                </c:ext>
              </c:extLst>
            </c:dLbl>
            <c:dLbl>
              <c:idx val="20"/>
              <c:delete val="1"/>
              <c:extLst>
                <c:ext xmlns:c15="http://schemas.microsoft.com/office/drawing/2012/chart" uri="{CE6537A1-D6FC-4f65-9D91-7224C49458BB}"/>
                <c:ext xmlns:c16="http://schemas.microsoft.com/office/drawing/2014/chart" uri="{C3380CC4-5D6E-409C-BE32-E72D297353CC}">
                  <c16:uniqueId val="{00000016-2B95-4678-BDB2-BAD684CF91D4}"/>
                </c:ext>
              </c:extLst>
            </c:dLbl>
            <c:dLbl>
              <c:idx val="21"/>
              <c:delete val="1"/>
              <c:extLst>
                <c:ext xmlns:c15="http://schemas.microsoft.com/office/drawing/2012/chart" uri="{CE6537A1-D6FC-4f65-9D91-7224C49458BB}"/>
                <c:ext xmlns:c16="http://schemas.microsoft.com/office/drawing/2014/chart" uri="{C3380CC4-5D6E-409C-BE32-E72D297353CC}">
                  <c16:uniqueId val="{00000017-2B95-4678-BDB2-BAD684CF91D4}"/>
                </c:ext>
              </c:extLst>
            </c:dLbl>
            <c:dLbl>
              <c:idx val="22"/>
              <c:delete val="1"/>
              <c:extLst>
                <c:ext xmlns:c15="http://schemas.microsoft.com/office/drawing/2012/chart" uri="{CE6537A1-D6FC-4f65-9D91-7224C49458BB}"/>
                <c:ext xmlns:c16="http://schemas.microsoft.com/office/drawing/2014/chart" uri="{C3380CC4-5D6E-409C-BE32-E72D297353CC}">
                  <c16:uniqueId val="{00000018-2B95-4678-BDB2-BAD684CF91D4}"/>
                </c:ext>
              </c:extLst>
            </c:dLbl>
            <c:dLbl>
              <c:idx val="23"/>
              <c:delete val="1"/>
              <c:extLst>
                <c:ext xmlns:c15="http://schemas.microsoft.com/office/drawing/2012/chart" uri="{CE6537A1-D6FC-4f65-9D91-7224C49458BB}"/>
                <c:ext xmlns:c16="http://schemas.microsoft.com/office/drawing/2014/chart" uri="{C3380CC4-5D6E-409C-BE32-E72D297353CC}">
                  <c16:uniqueId val="{00000019-2B95-4678-BDB2-BAD684CF91D4}"/>
                </c:ext>
              </c:extLst>
            </c:dLbl>
            <c:dLbl>
              <c:idx val="24"/>
              <c:delete val="1"/>
              <c:extLst>
                <c:ext xmlns:c15="http://schemas.microsoft.com/office/drawing/2012/chart" uri="{CE6537A1-D6FC-4f65-9D91-7224C49458BB}"/>
                <c:ext xmlns:c16="http://schemas.microsoft.com/office/drawing/2014/chart" uri="{C3380CC4-5D6E-409C-BE32-E72D297353CC}">
                  <c16:uniqueId val="{0000001A-2B95-4678-BDB2-BAD684CF91D4}"/>
                </c:ext>
              </c:extLst>
            </c:dLbl>
            <c:dLbl>
              <c:idx val="25"/>
              <c:delete val="1"/>
              <c:extLst>
                <c:ext xmlns:c15="http://schemas.microsoft.com/office/drawing/2012/chart" uri="{CE6537A1-D6FC-4f65-9D91-7224C49458BB}"/>
                <c:ext xmlns:c16="http://schemas.microsoft.com/office/drawing/2014/chart" uri="{C3380CC4-5D6E-409C-BE32-E72D297353CC}">
                  <c16:uniqueId val="{0000001B-2B95-4678-BDB2-BAD684CF91D4}"/>
                </c:ext>
              </c:extLst>
            </c:dLbl>
            <c:dLbl>
              <c:idx val="26"/>
              <c:delete val="1"/>
              <c:extLst>
                <c:ext xmlns:c15="http://schemas.microsoft.com/office/drawing/2012/chart" uri="{CE6537A1-D6FC-4f65-9D91-7224C49458BB}"/>
                <c:ext xmlns:c16="http://schemas.microsoft.com/office/drawing/2014/chart" uri="{C3380CC4-5D6E-409C-BE32-E72D297353CC}">
                  <c16:uniqueId val="{0000001C-2B95-4678-BDB2-BAD684CF91D4}"/>
                </c:ext>
              </c:extLst>
            </c:dLbl>
            <c:dLbl>
              <c:idx val="27"/>
              <c:delete val="1"/>
              <c:extLst>
                <c:ext xmlns:c15="http://schemas.microsoft.com/office/drawing/2012/chart" uri="{CE6537A1-D6FC-4f65-9D91-7224C49458BB}"/>
                <c:ext xmlns:c16="http://schemas.microsoft.com/office/drawing/2014/chart" uri="{C3380CC4-5D6E-409C-BE32-E72D297353CC}">
                  <c16:uniqueId val="{0000001D-2B95-4678-BDB2-BAD684CF91D4}"/>
                </c:ext>
              </c:extLst>
            </c:dLbl>
            <c:dLbl>
              <c:idx val="28"/>
              <c:delete val="1"/>
              <c:extLst>
                <c:ext xmlns:c15="http://schemas.microsoft.com/office/drawing/2012/chart" uri="{CE6537A1-D6FC-4f65-9D91-7224C49458BB}"/>
                <c:ext xmlns:c16="http://schemas.microsoft.com/office/drawing/2014/chart" uri="{C3380CC4-5D6E-409C-BE32-E72D297353CC}">
                  <c16:uniqueId val="{0000001E-2B95-4678-BDB2-BAD684CF91D4}"/>
                </c:ext>
              </c:extLst>
            </c:dLbl>
            <c:dLbl>
              <c:idx val="29"/>
              <c:delete val="1"/>
              <c:extLst>
                <c:ext xmlns:c15="http://schemas.microsoft.com/office/drawing/2012/chart" uri="{CE6537A1-D6FC-4f65-9D91-7224C49458BB}"/>
                <c:ext xmlns:c16="http://schemas.microsoft.com/office/drawing/2014/chart" uri="{C3380CC4-5D6E-409C-BE32-E72D297353CC}">
                  <c16:uniqueId val="{0000001F-2B95-4678-BDB2-BAD684CF91D4}"/>
                </c:ext>
              </c:extLst>
            </c:dLbl>
            <c:dLbl>
              <c:idx val="30"/>
              <c:delete val="1"/>
              <c:extLst>
                <c:ext xmlns:c15="http://schemas.microsoft.com/office/drawing/2012/chart" uri="{CE6537A1-D6FC-4f65-9D91-7224C49458BB}"/>
                <c:ext xmlns:c16="http://schemas.microsoft.com/office/drawing/2014/chart" uri="{C3380CC4-5D6E-409C-BE32-E72D297353CC}">
                  <c16:uniqueId val="{00000020-2B95-4678-BDB2-BAD684CF91D4}"/>
                </c:ext>
              </c:extLst>
            </c:dLbl>
            <c:dLbl>
              <c:idx val="31"/>
              <c:delete val="1"/>
              <c:extLst>
                <c:ext xmlns:c15="http://schemas.microsoft.com/office/drawing/2012/chart" uri="{CE6537A1-D6FC-4f65-9D91-7224C49458BB}"/>
                <c:ext xmlns:c16="http://schemas.microsoft.com/office/drawing/2014/chart" uri="{C3380CC4-5D6E-409C-BE32-E72D297353CC}">
                  <c16:uniqueId val="{00000021-2B95-4678-BDB2-BAD684CF91D4}"/>
                </c:ext>
              </c:extLst>
            </c:dLbl>
            <c:dLbl>
              <c:idx val="32"/>
              <c:delete val="1"/>
              <c:extLst>
                <c:ext xmlns:c15="http://schemas.microsoft.com/office/drawing/2012/chart" uri="{CE6537A1-D6FC-4f65-9D91-7224C49458BB}"/>
                <c:ext xmlns:c16="http://schemas.microsoft.com/office/drawing/2014/chart" uri="{C3380CC4-5D6E-409C-BE32-E72D297353CC}">
                  <c16:uniqueId val="{00000022-2B95-4678-BDB2-BAD684CF91D4}"/>
                </c:ext>
              </c:extLst>
            </c:dLbl>
            <c:dLbl>
              <c:idx val="33"/>
              <c:delete val="1"/>
              <c:extLst>
                <c:ext xmlns:c15="http://schemas.microsoft.com/office/drawing/2012/chart" uri="{CE6537A1-D6FC-4f65-9D91-7224C49458BB}"/>
                <c:ext xmlns:c16="http://schemas.microsoft.com/office/drawing/2014/chart" uri="{C3380CC4-5D6E-409C-BE32-E72D297353CC}">
                  <c16:uniqueId val="{00000023-2B95-4678-BDB2-BAD684CF91D4}"/>
                </c:ext>
              </c:extLst>
            </c:dLbl>
            <c:dLbl>
              <c:idx val="34"/>
              <c:delete val="1"/>
              <c:extLst>
                <c:ext xmlns:c15="http://schemas.microsoft.com/office/drawing/2012/chart" uri="{CE6537A1-D6FC-4f65-9D91-7224C49458BB}"/>
                <c:ext xmlns:c16="http://schemas.microsoft.com/office/drawing/2014/chart" uri="{C3380CC4-5D6E-409C-BE32-E72D297353CC}">
                  <c16:uniqueId val="{00000024-2B95-4678-BDB2-BAD684CF91D4}"/>
                </c:ext>
              </c:extLst>
            </c:dLbl>
            <c:dLbl>
              <c:idx val="35"/>
              <c:delete val="1"/>
              <c:extLst>
                <c:ext xmlns:c15="http://schemas.microsoft.com/office/drawing/2012/chart" uri="{CE6537A1-D6FC-4f65-9D91-7224C49458BB}"/>
                <c:ext xmlns:c16="http://schemas.microsoft.com/office/drawing/2014/chart" uri="{C3380CC4-5D6E-409C-BE32-E72D297353CC}">
                  <c16:uniqueId val="{00000025-2B95-4678-BDB2-BAD684CF91D4}"/>
                </c:ext>
              </c:extLst>
            </c:dLbl>
            <c:dLbl>
              <c:idx val="36"/>
              <c:delete val="1"/>
              <c:extLst>
                <c:ext xmlns:c15="http://schemas.microsoft.com/office/drawing/2012/chart" uri="{CE6537A1-D6FC-4f65-9D91-7224C49458BB}"/>
                <c:ext xmlns:c16="http://schemas.microsoft.com/office/drawing/2014/chart" uri="{C3380CC4-5D6E-409C-BE32-E72D297353CC}">
                  <c16:uniqueId val="{00000026-2B95-4678-BDB2-BAD684CF91D4}"/>
                </c:ext>
              </c:extLst>
            </c:dLbl>
            <c:dLbl>
              <c:idx val="37"/>
              <c:delete val="1"/>
              <c:extLst>
                <c:ext xmlns:c15="http://schemas.microsoft.com/office/drawing/2012/chart" uri="{CE6537A1-D6FC-4f65-9D91-7224C49458BB}"/>
                <c:ext xmlns:c16="http://schemas.microsoft.com/office/drawing/2014/chart" uri="{C3380CC4-5D6E-409C-BE32-E72D297353CC}">
                  <c16:uniqueId val="{00000027-2B95-4678-BDB2-BAD684CF91D4}"/>
                </c:ext>
              </c:extLst>
            </c:dLbl>
            <c:dLbl>
              <c:idx val="38"/>
              <c:delete val="1"/>
              <c:extLst>
                <c:ext xmlns:c15="http://schemas.microsoft.com/office/drawing/2012/chart" uri="{CE6537A1-D6FC-4f65-9D91-7224C49458BB}"/>
                <c:ext xmlns:c16="http://schemas.microsoft.com/office/drawing/2014/chart" uri="{C3380CC4-5D6E-409C-BE32-E72D297353CC}">
                  <c16:uniqueId val="{00000028-2B95-4678-BDB2-BAD684CF91D4}"/>
                </c:ext>
              </c:extLst>
            </c:dLbl>
            <c:dLbl>
              <c:idx val="39"/>
              <c:delete val="1"/>
              <c:extLst>
                <c:ext xmlns:c15="http://schemas.microsoft.com/office/drawing/2012/chart" uri="{CE6537A1-D6FC-4f65-9D91-7224C49458BB}"/>
                <c:ext xmlns:c16="http://schemas.microsoft.com/office/drawing/2014/chart" uri="{C3380CC4-5D6E-409C-BE32-E72D297353CC}">
                  <c16:uniqueId val="{00000029-2B95-4678-BDB2-BAD684CF91D4}"/>
                </c:ext>
              </c:extLst>
            </c:dLbl>
            <c:dLbl>
              <c:idx val="40"/>
              <c:delete val="1"/>
              <c:extLst>
                <c:ext xmlns:c15="http://schemas.microsoft.com/office/drawing/2012/chart" uri="{CE6537A1-D6FC-4f65-9D91-7224C49458BB}"/>
                <c:ext xmlns:c16="http://schemas.microsoft.com/office/drawing/2014/chart" uri="{C3380CC4-5D6E-409C-BE32-E72D297353CC}">
                  <c16:uniqueId val="{0000002A-2B95-4678-BDB2-BAD684CF91D4}"/>
                </c:ext>
              </c:extLst>
            </c:dLbl>
            <c:dLbl>
              <c:idx val="41"/>
              <c:delete val="1"/>
              <c:extLst>
                <c:ext xmlns:c15="http://schemas.microsoft.com/office/drawing/2012/chart" uri="{CE6537A1-D6FC-4f65-9D91-7224C49458BB}"/>
                <c:ext xmlns:c16="http://schemas.microsoft.com/office/drawing/2014/chart" uri="{C3380CC4-5D6E-409C-BE32-E72D297353CC}">
                  <c16:uniqueId val="{0000002B-2B95-4678-BDB2-BAD684CF91D4}"/>
                </c:ext>
              </c:extLst>
            </c:dLbl>
            <c:dLbl>
              <c:idx val="42"/>
              <c:delete val="1"/>
              <c:extLst>
                <c:ext xmlns:c15="http://schemas.microsoft.com/office/drawing/2012/chart" uri="{CE6537A1-D6FC-4f65-9D91-7224C49458BB}"/>
                <c:ext xmlns:c16="http://schemas.microsoft.com/office/drawing/2014/chart" uri="{C3380CC4-5D6E-409C-BE32-E72D297353CC}">
                  <c16:uniqueId val="{0000002C-2B95-4678-BDB2-BAD684CF91D4}"/>
                </c:ext>
              </c:extLst>
            </c:dLbl>
            <c:dLbl>
              <c:idx val="43"/>
              <c:delete val="1"/>
              <c:extLst>
                <c:ext xmlns:c15="http://schemas.microsoft.com/office/drawing/2012/chart" uri="{CE6537A1-D6FC-4f65-9D91-7224C49458BB}"/>
                <c:ext xmlns:c16="http://schemas.microsoft.com/office/drawing/2014/chart" uri="{C3380CC4-5D6E-409C-BE32-E72D297353CC}">
                  <c16:uniqueId val="{0000002D-2B95-4678-BDB2-BAD684CF91D4}"/>
                </c:ext>
              </c:extLst>
            </c:dLbl>
            <c:dLbl>
              <c:idx val="44"/>
              <c:delete val="1"/>
              <c:extLst>
                <c:ext xmlns:c15="http://schemas.microsoft.com/office/drawing/2012/chart" uri="{CE6537A1-D6FC-4f65-9D91-7224C49458BB}"/>
                <c:ext xmlns:c16="http://schemas.microsoft.com/office/drawing/2014/chart" uri="{C3380CC4-5D6E-409C-BE32-E72D297353CC}">
                  <c16:uniqueId val="{0000002E-2B95-4678-BDB2-BAD684CF91D4}"/>
                </c:ext>
              </c:extLst>
            </c:dLbl>
            <c:dLbl>
              <c:idx val="45"/>
              <c:delete val="1"/>
              <c:extLst>
                <c:ext xmlns:c15="http://schemas.microsoft.com/office/drawing/2012/chart" uri="{CE6537A1-D6FC-4f65-9D91-7224C49458BB}"/>
                <c:ext xmlns:c16="http://schemas.microsoft.com/office/drawing/2014/chart" uri="{C3380CC4-5D6E-409C-BE32-E72D297353CC}">
                  <c16:uniqueId val="{0000002F-2B95-4678-BDB2-BAD684CF91D4}"/>
                </c:ext>
              </c:extLst>
            </c:dLbl>
            <c:dLbl>
              <c:idx val="46"/>
              <c:delete val="1"/>
              <c:extLst>
                <c:ext xmlns:c15="http://schemas.microsoft.com/office/drawing/2012/chart" uri="{CE6537A1-D6FC-4f65-9D91-7224C49458BB}"/>
                <c:ext xmlns:c16="http://schemas.microsoft.com/office/drawing/2014/chart" uri="{C3380CC4-5D6E-409C-BE32-E72D297353CC}">
                  <c16:uniqueId val="{00000030-2B95-4678-BDB2-BAD684CF91D4}"/>
                </c:ext>
              </c:extLst>
            </c:dLbl>
            <c:dLbl>
              <c:idx val="47"/>
              <c:delete val="1"/>
              <c:extLst>
                <c:ext xmlns:c15="http://schemas.microsoft.com/office/drawing/2012/chart" uri="{CE6537A1-D6FC-4f65-9D91-7224C49458BB}"/>
                <c:ext xmlns:c16="http://schemas.microsoft.com/office/drawing/2014/chart" uri="{C3380CC4-5D6E-409C-BE32-E72D297353CC}">
                  <c16:uniqueId val="{00000031-2B95-4678-BDB2-BAD684CF91D4}"/>
                </c:ext>
              </c:extLst>
            </c:dLbl>
            <c:dLbl>
              <c:idx val="48"/>
              <c:delete val="1"/>
              <c:extLst>
                <c:ext xmlns:c15="http://schemas.microsoft.com/office/drawing/2012/chart" uri="{CE6537A1-D6FC-4f65-9D91-7224C49458BB}"/>
                <c:ext xmlns:c16="http://schemas.microsoft.com/office/drawing/2014/chart" uri="{C3380CC4-5D6E-409C-BE32-E72D297353CC}">
                  <c16:uniqueId val="{00000032-2B95-4678-BDB2-BAD684CF91D4}"/>
                </c:ext>
              </c:extLst>
            </c:dLbl>
            <c:dLbl>
              <c:idx val="49"/>
              <c:delete val="1"/>
              <c:extLst>
                <c:ext xmlns:c15="http://schemas.microsoft.com/office/drawing/2012/chart" uri="{CE6537A1-D6FC-4f65-9D91-7224C49458BB}"/>
                <c:ext xmlns:c16="http://schemas.microsoft.com/office/drawing/2014/chart" uri="{C3380CC4-5D6E-409C-BE32-E72D297353CC}">
                  <c16:uniqueId val="{00000033-2B95-4678-BDB2-BAD684CF91D4}"/>
                </c:ext>
              </c:extLst>
            </c:dLbl>
            <c:dLbl>
              <c:idx val="50"/>
              <c:delete val="1"/>
              <c:extLst>
                <c:ext xmlns:c15="http://schemas.microsoft.com/office/drawing/2012/chart" uri="{CE6537A1-D6FC-4f65-9D91-7224C49458BB}"/>
                <c:ext xmlns:c16="http://schemas.microsoft.com/office/drawing/2014/chart" uri="{C3380CC4-5D6E-409C-BE32-E72D297353CC}">
                  <c16:uniqueId val="{00000034-2B95-4678-BDB2-BAD684CF91D4}"/>
                </c:ext>
              </c:extLst>
            </c:dLbl>
            <c:dLbl>
              <c:idx val="51"/>
              <c:delete val="1"/>
              <c:extLst>
                <c:ext xmlns:c15="http://schemas.microsoft.com/office/drawing/2012/chart" uri="{CE6537A1-D6FC-4f65-9D91-7224C49458BB}"/>
                <c:ext xmlns:c16="http://schemas.microsoft.com/office/drawing/2014/chart" uri="{C3380CC4-5D6E-409C-BE32-E72D297353CC}">
                  <c16:uniqueId val="{00000035-2B95-4678-BDB2-BAD684CF91D4}"/>
                </c:ext>
              </c:extLst>
            </c:dLbl>
            <c:dLbl>
              <c:idx val="52"/>
              <c:delete val="1"/>
              <c:extLst>
                <c:ext xmlns:c15="http://schemas.microsoft.com/office/drawing/2012/chart" uri="{CE6537A1-D6FC-4f65-9D91-7224C49458BB}"/>
                <c:ext xmlns:c16="http://schemas.microsoft.com/office/drawing/2014/chart" uri="{C3380CC4-5D6E-409C-BE32-E72D297353CC}">
                  <c16:uniqueId val="{00000036-2B95-4678-BDB2-BAD684CF91D4}"/>
                </c:ext>
              </c:extLst>
            </c:dLbl>
            <c:dLbl>
              <c:idx val="53"/>
              <c:delete val="1"/>
              <c:extLst>
                <c:ext xmlns:c15="http://schemas.microsoft.com/office/drawing/2012/chart" uri="{CE6537A1-D6FC-4f65-9D91-7224C49458BB}"/>
                <c:ext xmlns:c16="http://schemas.microsoft.com/office/drawing/2014/chart" uri="{C3380CC4-5D6E-409C-BE32-E72D297353CC}">
                  <c16:uniqueId val="{00000037-2B95-4678-BDB2-BAD684CF91D4}"/>
                </c:ext>
              </c:extLst>
            </c:dLbl>
            <c:dLbl>
              <c:idx val="54"/>
              <c:delete val="1"/>
              <c:extLst>
                <c:ext xmlns:c15="http://schemas.microsoft.com/office/drawing/2012/chart" uri="{CE6537A1-D6FC-4f65-9D91-7224C49458BB}"/>
                <c:ext xmlns:c16="http://schemas.microsoft.com/office/drawing/2014/chart" uri="{C3380CC4-5D6E-409C-BE32-E72D297353CC}">
                  <c16:uniqueId val="{00000038-2B95-4678-BDB2-BAD684CF91D4}"/>
                </c:ext>
              </c:extLst>
            </c:dLbl>
            <c:dLbl>
              <c:idx val="55"/>
              <c:delete val="1"/>
              <c:extLst>
                <c:ext xmlns:c15="http://schemas.microsoft.com/office/drawing/2012/chart" uri="{CE6537A1-D6FC-4f65-9D91-7224C49458BB}"/>
                <c:ext xmlns:c16="http://schemas.microsoft.com/office/drawing/2014/chart" uri="{C3380CC4-5D6E-409C-BE32-E72D297353CC}">
                  <c16:uniqueId val="{00000039-2B95-4678-BDB2-BAD684CF91D4}"/>
                </c:ext>
              </c:extLst>
            </c:dLbl>
            <c:dLbl>
              <c:idx val="56"/>
              <c:delete val="1"/>
              <c:extLst>
                <c:ext xmlns:c15="http://schemas.microsoft.com/office/drawing/2012/chart" uri="{CE6537A1-D6FC-4f65-9D91-7224C49458BB}"/>
                <c:ext xmlns:c16="http://schemas.microsoft.com/office/drawing/2014/chart" uri="{C3380CC4-5D6E-409C-BE32-E72D297353CC}">
                  <c16:uniqueId val="{0000003A-2B95-4678-BDB2-BAD684CF91D4}"/>
                </c:ext>
              </c:extLst>
            </c:dLbl>
            <c:dLbl>
              <c:idx val="57"/>
              <c:delete val="1"/>
              <c:extLst>
                <c:ext xmlns:c15="http://schemas.microsoft.com/office/drawing/2012/chart" uri="{CE6537A1-D6FC-4f65-9D91-7224C49458BB}"/>
                <c:ext xmlns:c16="http://schemas.microsoft.com/office/drawing/2014/chart" uri="{C3380CC4-5D6E-409C-BE32-E72D297353CC}">
                  <c16:uniqueId val="{0000003B-2B95-4678-BDB2-BAD684CF91D4}"/>
                </c:ext>
              </c:extLst>
            </c:dLbl>
            <c:dLbl>
              <c:idx val="58"/>
              <c:delete val="1"/>
              <c:extLst>
                <c:ext xmlns:c15="http://schemas.microsoft.com/office/drawing/2012/chart" uri="{CE6537A1-D6FC-4f65-9D91-7224C49458BB}"/>
                <c:ext xmlns:c16="http://schemas.microsoft.com/office/drawing/2014/chart" uri="{C3380CC4-5D6E-409C-BE32-E72D297353CC}">
                  <c16:uniqueId val="{0000003C-2B95-4678-BDB2-BAD684CF91D4}"/>
                </c:ext>
              </c:extLst>
            </c:dLbl>
            <c:dLbl>
              <c:idx val="59"/>
              <c:delete val="1"/>
              <c:extLst>
                <c:ext xmlns:c15="http://schemas.microsoft.com/office/drawing/2012/chart" uri="{CE6537A1-D6FC-4f65-9D91-7224C49458BB}"/>
                <c:ext xmlns:c16="http://schemas.microsoft.com/office/drawing/2014/chart" uri="{C3380CC4-5D6E-409C-BE32-E72D297353CC}">
                  <c16:uniqueId val="{0000003D-2B95-4678-BDB2-BAD684CF91D4}"/>
                </c:ext>
              </c:extLst>
            </c:dLbl>
            <c:dLbl>
              <c:idx val="60"/>
              <c:delete val="1"/>
              <c:extLst>
                <c:ext xmlns:c15="http://schemas.microsoft.com/office/drawing/2012/chart" uri="{CE6537A1-D6FC-4f65-9D91-7224C49458BB}"/>
                <c:ext xmlns:c16="http://schemas.microsoft.com/office/drawing/2014/chart" uri="{C3380CC4-5D6E-409C-BE32-E72D297353CC}">
                  <c16:uniqueId val="{0000003E-2B95-4678-BDB2-BAD684CF91D4}"/>
                </c:ext>
              </c:extLst>
            </c:dLbl>
            <c:dLbl>
              <c:idx val="61"/>
              <c:delete val="1"/>
              <c:extLst>
                <c:ext xmlns:c15="http://schemas.microsoft.com/office/drawing/2012/chart" uri="{CE6537A1-D6FC-4f65-9D91-7224C49458BB}"/>
                <c:ext xmlns:c16="http://schemas.microsoft.com/office/drawing/2014/chart" uri="{C3380CC4-5D6E-409C-BE32-E72D297353CC}">
                  <c16:uniqueId val="{0000003F-2B95-4678-BDB2-BAD684CF91D4}"/>
                </c:ext>
              </c:extLst>
            </c:dLbl>
            <c:dLbl>
              <c:idx val="62"/>
              <c:delete val="1"/>
              <c:extLst>
                <c:ext xmlns:c15="http://schemas.microsoft.com/office/drawing/2012/chart" uri="{CE6537A1-D6FC-4f65-9D91-7224C49458BB}"/>
                <c:ext xmlns:c16="http://schemas.microsoft.com/office/drawing/2014/chart" uri="{C3380CC4-5D6E-409C-BE32-E72D297353CC}">
                  <c16:uniqueId val="{00000040-2B95-4678-BDB2-BAD684CF91D4}"/>
                </c:ext>
              </c:extLst>
            </c:dLbl>
            <c:dLbl>
              <c:idx val="63"/>
              <c:delete val="1"/>
              <c:extLst>
                <c:ext xmlns:c15="http://schemas.microsoft.com/office/drawing/2012/chart" uri="{CE6537A1-D6FC-4f65-9D91-7224C49458BB}"/>
                <c:ext xmlns:c16="http://schemas.microsoft.com/office/drawing/2014/chart" uri="{C3380CC4-5D6E-409C-BE32-E72D297353CC}">
                  <c16:uniqueId val="{00000041-2B95-4678-BDB2-BAD684CF91D4}"/>
                </c:ext>
              </c:extLst>
            </c:dLbl>
            <c:dLbl>
              <c:idx val="64"/>
              <c:delete val="1"/>
              <c:extLst>
                <c:ext xmlns:c15="http://schemas.microsoft.com/office/drawing/2012/chart" uri="{CE6537A1-D6FC-4f65-9D91-7224C49458BB}"/>
                <c:ext xmlns:c16="http://schemas.microsoft.com/office/drawing/2014/chart" uri="{C3380CC4-5D6E-409C-BE32-E72D297353CC}">
                  <c16:uniqueId val="{00000042-2B95-4678-BDB2-BAD684CF91D4}"/>
                </c:ext>
              </c:extLst>
            </c:dLbl>
            <c:dLbl>
              <c:idx val="65"/>
              <c:delete val="1"/>
              <c:extLst>
                <c:ext xmlns:c15="http://schemas.microsoft.com/office/drawing/2012/chart" uri="{CE6537A1-D6FC-4f65-9D91-7224C49458BB}"/>
                <c:ext xmlns:c16="http://schemas.microsoft.com/office/drawing/2014/chart" uri="{C3380CC4-5D6E-409C-BE32-E72D297353CC}">
                  <c16:uniqueId val="{00000043-2B95-4678-BDB2-BAD684CF91D4}"/>
                </c:ext>
              </c:extLst>
            </c:dLbl>
            <c:dLbl>
              <c:idx val="66"/>
              <c:delete val="1"/>
              <c:extLst>
                <c:ext xmlns:c15="http://schemas.microsoft.com/office/drawing/2012/chart" uri="{CE6537A1-D6FC-4f65-9D91-7224C49458BB}"/>
                <c:ext xmlns:c16="http://schemas.microsoft.com/office/drawing/2014/chart" uri="{C3380CC4-5D6E-409C-BE32-E72D297353CC}">
                  <c16:uniqueId val="{00000044-2B95-4678-BDB2-BAD684CF91D4}"/>
                </c:ext>
              </c:extLst>
            </c:dLbl>
            <c:dLbl>
              <c:idx val="67"/>
              <c:delete val="1"/>
              <c:extLst>
                <c:ext xmlns:c15="http://schemas.microsoft.com/office/drawing/2012/chart" uri="{CE6537A1-D6FC-4f65-9D91-7224C49458BB}"/>
                <c:ext xmlns:c16="http://schemas.microsoft.com/office/drawing/2014/chart" uri="{C3380CC4-5D6E-409C-BE32-E72D297353CC}">
                  <c16:uniqueId val="{00000045-2B95-4678-BDB2-BAD684CF91D4}"/>
                </c:ext>
              </c:extLst>
            </c:dLbl>
            <c:dLbl>
              <c:idx val="68"/>
              <c:delete val="1"/>
              <c:extLst>
                <c:ext xmlns:c15="http://schemas.microsoft.com/office/drawing/2012/chart" uri="{CE6537A1-D6FC-4f65-9D91-7224C49458BB}"/>
                <c:ext xmlns:c16="http://schemas.microsoft.com/office/drawing/2014/chart" uri="{C3380CC4-5D6E-409C-BE32-E72D297353CC}">
                  <c16:uniqueId val="{00000046-2B95-4678-BDB2-BAD684CF91D4}"/>
                </c:ext>
              </c:extLst>
            </c:dLbl>
            <c:dLbl>
              <c:idx val="69"/>
              <c:delete val="1"/>
              <c:extLst>
                <c:ext xmlns:c15="http://schemas.microsoft.com/office/drawing/2012/chart" uri="{CE6537A1-D6FC-4f65-9D91-7224C49458BB}"/>
                <c:ext xmlns:c16="http://schemas.microsoft.com/office/drawing/2014/chart" uri="{C3380CC4-5D6E-409C-BE32-E72D297353CC}">
                  <c16:uniqueId val="{00000047-2B95-4678-BDB2-BAD684CF91D4}"/>
                </c:ext>
              </c:extLst>
            </c:dLbl>
            <c:dLbl>
              <c:idx val="70"/>
              <c:delete val="1"/>
              <c:extLst>
                <c:ext xmlns:c15="http://schemas.microsoft.com/office/drawing/2012/chart" uri="{CE6537A1-D6FC-4f65-9D91-7224C49458BB}"/>
                <c:ext xmlns:c16="http://schemas.microsoft.com/office/drawing/2014/chart" uri="{C3380CC4-5D6E-409C-BE32-E72D297353CC}">
                  <c16:uniqueId val="{00000048-2B95-4678-BDB2-BAD684CF91D4}"/>
                </c:ext>
              </c:extLst>
            </c:dLbl>
            <c:dLbl>
              <c:idx val="71"/>
              <c:delete val="1"/>
              <c:extLst>
                <c:ext xmlns:c15="http://schemas.microsoft.com/office/drawing/2012/chart" uri="{CE6537A1-D6FC-4f65-9D91-7224C49458BB}"/>
                <c:ext xmlns:c16="http://schemas.microsoft.com/office/drawing/2014/chart" uri="{C3380CC4-5D6E-409C-BE32-E72D297353CC}">
                  <c16:uniqueId val="{00000049-2B95-4678-BDB2-BAD684CF91D4}"/>
                </c:ext>
              </c:extLst>
            </c:dLbl>
            <c:dLbl>
              <c:idx val="72"/>
              <c:delete val="1"/>
              <c:extLst>
                <c:ext xmlns:c15="http://schemas.microsoft.com/office/drawing/2012/chart" uri="{CE6537A1-D6FC-4f65-9D91-7224C49458BB}"/>
                <c:ext xmlns:c16="http://schemas.microsoft.com/office/drawing/2014/chart" uri="{C3380CC4-5D6E-409C-BE32-E72D297353CC}">
                  <c16:uniqueId val="{0000004A-2B95-4678-BDB2-BAD684CF91D4}"/>
                </c:ext>
              </c:extLst>
            </c:dLbl>
            <c:dLbl>
              <c:idx val="73"/>
              <c:delete val="1"/>
              <c:extLst>
                <c:ext xmlns:c15="http://schemas.microsoft.com/office/drawing/2012/chart" uri="{CE6537A1-D6FC-4f65-9D91-7224C49458BB}"/>
                <c:ext xmlns:c16="http://schemas.microsoft.com/office/drawing/2014/chart" uri="{C3380CC4-5D6E-409C-BE32-E72D297353CC}">
                  <c16:uniqueId val="{0000004B-2B95-4678-BDB2-BAD684CF91D4}"/>
                </c:ext>
              </c:extLst>
            </c:dLbl>
            <c:dLbl>
              <c:idx val="74"/>
              <c:delete val="1"/>
              <c:extLst>
                <c:ext xmlns:c15="http://schemas.microsoft.com/office/drawing/2012/chart" uri="{CE6537A1-D6FC-4f65-9D91-7224C49458BB}"/>
                <c:ext xmlns:c16="http://schemas.microsoft.com/office/drawing/2014/chart" uri="{C3380CC4-5D6E-409C-BE32-E72D297353CC}">
                  <c16:uniqueId val="{0000004C-2B95-4678-BDB2-BAD684CF91D4}"/>
                </c:ext>
              </c:extLst>
            </c:dLbl>
            <c:dLbl>
              <c:idx val="75"/>
              <c:delete val="1"/>
              <c:extLst>
                <c:ext xmlns:c15="http://schemas.microsoft.com/office/drawing/2012/chart" uri="{CE6537A1-D6FC-4f65-9D91-7224C49458BB}"/>
                <c:ext xmlns:c16="http://schemas.microsoft.com/office/drawing/2014/chart" uri="{C3380CC4-5D6E-409C-BE32-E72D297353CC}">
                  <c16:uniqueId val="{0000004D-2B95-4678-BDB2-BAD684CF91D4}"/>
                </c:ext>
              </c:extLst>
            </c:dLbl>
            <c:dLbl>
              <c:idx val="76"/>
              <c:delete val="1"/>
              <c:extLst>
                <c:ext xmlns:c15="http://schemas.microsoft.com/office/drawing/2012/chart" uri="{CE6537A1-D6FC-4f65-9D91-7224C49458BB}"/>
                <c:ext xmlns:c16="http://schemas.microsoft.com/office/drawing/2014/chart" uri="{C3380CC4-5D6E-409C-BE32-E72D297353CC}">
                  <c16:uniqueId val="{0000004E-2B95-4678-BDB2-BAD684CF91D4}"/>
                </c:ext>
              </c:extLst>
            </c:dLbl>
            <c:dLbl>
              <c:idx val="77"/>
              <c:delete val="1"/>
              <c:extLst>
                <c:ext xmlns:c15="http://schemas.microsoft.com/office/drawing/2012/chart" uri="{CE6537A1-D6FC-4f65-9D91-7224C49458BB}"/>
                <c:ext xmlns:c16="http://schemas.microsoft.com/office/drawing/2014/chart" uri="{C3380CC4-5D6E-409C-BE32-E72D297353CC}">
                  <c16:uniqueId val="{0000004F-2B95-4678-BDB2-BAD684CF91D4}"/>
                </c:ext>
              </c:extLst>
            </c:dLbl>
            <c:dLbl>
              <c:idx val="78"/>
              <c:delete val="1"/>
              <c:extLst>
                <c:ext xmlns:c15="http://schemas.microsoft.com/office/drawing/2012/chart" uri="{CE6537A1-D6FC-4f65-9D91-7224C49458BB}"/>
                <c:ext xmlns:c16="http://schemas.microsoft.com/office/drawing/2014/chart" uri="{C3380CC4-5D6E-409C-BE32-E72D297353CC}">
                  <c16:uniqueId val="{00000050-2B95-4678-BDB2-BAD684CF91D4}"/>
                </c:ext>
              </c:extLst>
            </c:dLbl>
            <c:dLbl>
              <c:idx val="79"/>
              <c:delete val="1"/>
              <c:extLst>
                <c:ext xmlns:c15="http://schemas.microsoft.com/office/drawing/2012/chart" uri="{CE6537A1-D6FC-4f65-9D91-7224C49458BB}"/>
                <c:ext xmlns:c16="http://schemas.microsoft.com/office/drawing/2014/chart" uri="{C3380CC4-5D6E-409C-BE32-E72D297353CC}">
                  <c16:uniqueId val="{00000051-2B95-4678-BDB2-BAD684CF91D4}"/>
                </c:ext>
              </c:extLst>
            </c:dLbl>
            <c:dLbl>
              <c:idx val="80"/>
              <c:delete val="1"/>
              <c:extLst>
                <c:ext xmlns:c15="http://schemas.microsoft.com/office/drawing/2012/chart" uri="{CE6537A1-D6FC-4f65-9D91-7224C49458BB}"/>
                <c:ext xmlns:c16="http://schemas.microsoft.com/office/drawing/2014/chart" uri="{C3380CC4-5D6E-409C-BE32-E72D297353CC}">
                  <c16:uniqueId val="{00000052-2B95-4678-BDB2-BAD684CF91D4}"/>
                </c:ext>
              </c:extLst>
            </c:dLbl>
            <c:dLbl>
              <c:idx val="81"/>
              <c:delete val="1"/>
              <c:extLst>
                <c:ext xmlns:c15="http://schemas.microsoft.com/office/drawing/2012/chart" uri="{CE6537A1-D6FC-4f65-9D91-7224C49458BB}"/>
                <c:ext xmlns:c16="http://schemas.microsoft.com/office/drawing/2014/chart" uri="{C3380CC4-5D6E-409C-BE32-E72D297353CC}">
                  <c16:uniqueId val="{00000053-2B95-4678-BDB2-BAD684CF91D4}"/>
                </c:ext>
              </c:extLst>
            </c:dLbl>
            <c:dLbl>
              <c:idx val="82"/>
              <c:delete val="1"/>
              <c:extLst>
                <c:ext xmlns:c15="http://schemas.microsoft.com/office/drawing/2012/chart" uri="{CE6537A1-D6FC-4f65-9D91-7224C49458BB}"/>
                <c:ext xmlns:c16="http://schemas.microsoft.com/office/drawing/2014/chart" uri="{C3380CC4-5D6E-409C-BE32-E72D297353CC}">
                  <c16:uniqueId val="{00000054-2B95-4678-BDB2-BAD684CF91D4}"/>
                </c:ext>
              </c:extLst>
            </c:dLbl>
            <c:dLbl>
              <c:idx val="83"/>
              <c:delete val="1"/>
              <c:extLst>
                <c:ext xmlns:c15="http://schemas.microsoft.com/office/drawing/2012/chart" uri="{CE6537A1-D6FC-4f65-9D91-7224C49458BB}"/>
                <c:ext xmlns:c16="http://schemas.microsoft.com/office/drawing/2014/chart" uri="{C3380CC4-5D6E-409C-BE32-E72D297353CC}">
                  <c16:uniqueId val="{00000055-2B95-4678-BDB2-BAD684CF91D4}"/>
                </c:ext>
              </c:extLst>
            </c:dLbl>
            <c:dLbl>
              <c:idx val="84"/>
              <c:delete val="1"/>
              <c:extLst>
                <c:ext xmlns:c15="http://schemas.microsoft.com/office/drawing/2012/chart" uri="{CE6537A1-D6FC-4f65-9D91-7224C49458BB}"/>
                <c:ext xmlns:c16="http://schemas.microsoft.com/office/drawing/2014/chart" uri="{C3380CC4-5D6E-409C-BE32-E72D297353CC}">
                  <c16:uniqueId val="{00000056-2B95-4678-BDB2-BAD684CF91D4}"/>
                </c:ext>
              </c:extLst>
            </c:dLbl>
            <c:dLbl>
              <c:idx val="85"/>
              <c:delete val="1"/>
              <c:extLst>
                <c:ext xmlns:c15="http://schemas.microsoft.com/office/drawing/2012/chart" uri="{CE6537A1-D6FC-4f65-9D91-7224C49458BB}"/>
                <c:ext xmlns:c16="http://schemas.microsoft.com/office/drawing/2014/chart" uri="{C3380CC4-5D6E-409C-BE32-E72D297353CC}">
                  <c16:uniqueId val="{00000057-2B95-4678-BDB2-BAD684CF91D4}"/>
                </c:ext>
              </c:extLst>
            </c:dLbl>
            <c:dLbl>
              <c:idx val="86"/>
              <c:delete val="1"/>
              <c:extLst>
                <c:ext xmlns:c15="http://schemas.microsoft.com/office/drawing/2012/chart" uri="{CE6537A1-D6FC-4f65-9D91-7224C49458BB}"/>
                <c:ext xmlns:c16="http://schemas.microsoft.com/office/drawing/2014/chart" uri="{C3380CC4-5D6E-409C-BE32-E72D297353CC}">
                  <c16:uniqueId val="{00000058-2B95-4678-BDB2-BAD684CF91D4}"/>
                </c:ext>
              </c:extLst>
            </c:dLbl>
            <c:dLbl>
              <c:idx val="87"/>
              <c:delete val="1"/>
              <c:extLst>
                <c:ext xmlns:c15="http://schemas.microsoft.com/office/drawing/2012/chart" uri="{CE6537A1-D6FC-4f65-9D91-7224C49458BB}"/>
                <c:ext xmlns:c16="http://schemas.microsoft.com/office/drawing/2014/chart" uri="{C3380CC4-5D6E-409C-BE32-E72D297353CC}">
                  <c16:uniqueId val="{00000059-2B95-4678-BDB2-BAD684CF91D4}"/>
                </c:ext>
              </c:extLst>
            </c:dLbl>
            <c:dLbl>
              <c:idx val="88"/>
              <c:delete val="1"/>
              <c:extLst>
                <c:ext xmlns:c15="http://schemas.microsoft.com/office/drawing/2012/chart" uri="{CE6537A1-D6FC-4f65-9D91-7224C49458BB}"/>
                <c:ext xmlns:c16="http://schemas.microsoft.com/office/drawing/2014/chart" uri="{C3380CC4-5D6E-409C-BE32-E72D297353CC}">
                  <c16:uniqueId val="{0000005A-2B95-4678-BDB2-BAD684CF91D4}"/>
                </c:ext>
              </c:extLst>
            </c:dLbl>
            <c:dLbl>
              <c:idx val="89"/>
              <c:delete val="1"/>
              <c:extLst>
                <c:ext xmlns:c15="http://schemas.microsoft.com/office/drawing/2012/chart" uri="{CE6537A1-D6FC-4f65-9D91-7224C49458BB}"/>
                <c:ext xmlns:c16="http://schemas.microsoft.com/office/drawing/2014/chart" uri="{C3380CC4-5D6E-409C-BE32-E72D297353CC}">
                  <c16:uniqueId val="{0000005B-2B95-4678-BDB2-BAD684CF91D4}"/>
                </c:ext>
              </c:extLst>
            </c:dLbl>
            <c:dLbl>
              <c:idx val="90"/>
              <c:delete val="1"/>
              <c:extLst>
                <c:ext xmlns:c15="http://schemas.microsoft.com/office/drawing/2012/chart" uri="{CE6537A1-D6FC-4f65-9D91-7224C49458BB}"/>
                <c:ext xmlns:c16="http://schemas.microsoft.com/office/drawing/2014/chart" uri="{C3380CC4-5D6E-409C-BE32-E72D297353CC}">
                  <c16:uniqueId val="{0000005C-2B95-4678-BDB2-BAD684CF91D4}"/>
                </c:ext>
              </c:extLst>
            </c:dLbl>
            <c:dLbl>
              <c:idx val="91"/>
              <c:delete val="1"/>
              <c:extLst>
                <c:ext xmlns:c15="http://schemas.microsoft.com/office/drawing/2012/chart" uri="{CE6537A1-D6FC-4f65-9D91-7224C49458BB}"/>
                <c:ext xmlns:c16="http://schemas.microsoft.com/office/drawing/2014/chart" uri="{C3380CC4-5D6E-409C-BE32-E72D297353CC}">
                  <c16:uniqueId val="{0000005D-2B95-4678-BDB2-BAD684CF91D4}"/>
                </c:ext>
              </c:extLst>
            </c:dLbl>
            <c:dLbl>
              <c:idx val="92"/>
              <c:delete val="1"/>
              <c:extLst>
                <c:ext xmlns:c15="http://schemas.microsoft.com/office/drawing/2012/chart" uri="{CE6537A1-D6FC-4f65-9D91-7224C49458BB}"/>
                <c:ext xmlns:c16="http://schemas.microsoft.com/office/drawing/2014/chart" uri="{C3380CC4-5D6E-409C-BE32-E72D297353CC}">
                  <c16:uniqueId val="{0000005E-2B95-4678-BDB2-BAD684CF91D4}"/>
                </c:ext>
              </c:extLst>
            </c:dLbl>
            <c:dLbl>
              <c:idx val="93"/>
              <c:delete val="1"/>
              <c:extLst>
                <c:ext xmlns:c15="http://schemas.microsoft.com/office/drawing/2012/chart" uri="{CE6537A1-D6FC-4f65-9D91-7224C49458BB}"/>
                <c:ext xmlns:c16="http://schemas.microsoft.com/office/drawing/2014/chart" uri="{C3380CC4-5D6E-409C-BE32-E72D297353CC}">
                  <c16:uniqueId val="{0000005F-2B95-4678-BDB2-BAD684CF91D4}"/>
                </c:ext>
              </c:extLst>
            </c:dLbl>
            <c:dLbl>
              <c:idx val="94"/>
              <c:delete val="1"/>
              <c:extLst>
                <c:ext xmlns:c15="http://schemas.microsoft.com/office/drawing/2012/chart" uri="{CE6537A1-D6FC-4f65-9D91-7224C49458BB}"/>
                <c:ext xmlns:c16="http://schemas.microsoft.com/office/drawing/2014/chart" uri="{C3380CC4-5D6E-409C-BE32-E72D297353CC}">
                  <c16:uniqueId val="{00000060-2B95-4678-BDB2-BAD684CF91D4}"/>
                </c:ext>
              </c:extLst>
            </c:dLbl>
            <c:dLbl>
              <c:idx val="95"/>
              <c:delete val="1"/>
              <c:extLst>
                <c:ext xmlns:c15="http://schemas.microsoft.com/office/drawing/2012/chart" uri="{CE6537A1-D6FC-4f65-9D91-7224C49458BB}"/>
                <c:ext xmlns:c16="http://schemas.microsoft.com/office/drawing/2014/chart" uri="{C3380CC4-5D6E-409C-BE32-E72D297353CC}">
                  <c16:uniqueId val="{00000061-2B95-4678-BDB2-BAD684CF91D4}"/>
                </c:ext>
              </c:extLst>
            </c:dLbl>
            <c:dLbl>
              <c:idx val="96"/>
              <c:delete val="1"/>
              <c:extLst>
                <c:ext xmlns:c15="http://schemas.microsoft.com/office/drawing/2012/chart" uri="{CE6537A1-D6FC-4f65-9D91-7224C49458BB}"/>
                <c:ext xmlns:c16="http://schemas.microsoft.com/office/drawing/2014/chart" uri="{C3380CC4-5D6E-409C-BE32-E72D297353CC}">
                  <c16:uniqueId val="{00000062-2B95-4678-BDB2-BAD684CF91D4}"/>
                </c:ext>
              </c:extLst>
            </c:dLbl>
            <c:dLbl>
              <c:idx val="97"/>
              <c:delete val="1"/>
              <c:extLst>
                <c:ext xmlns:c15="http://schemas.microsoft.com/office/drawing/2012/chart" uri="{CE6537A1-D6FC-4f65-9D91-7224C49458BB}"/>
                <c:ext xmlns:c16="http://schemas.microsoft.com/office/drawing/2014/chart" uri="{C3380CC4-5D6E-409C-BE32-E72D297353CC}">
                  <c16:uniqueId val="{00000063-2B95-4678-BDB2-BAD684CF91D4}"/>
                </c:ext>
              </c:extLst>
            </c:dLbl>
            <c:dLbl>
              <c:idx val="98"/>
              <c:delete val="1"/>
              <c:extLst>
                <c:ext xmlns:c15="http://schemas.microsoft.com/office/drawing/2012/chart" uri="{CE6537A1-D6FC-4f65-9D91-7224C49458BB}"/>
                <c:ext xmlns:c16="http://schemas.microsoft.com/office/drawing/2014/chart" uri="{C3380CC4-5D6E-409C-BE32-E72D297353CC}">
                  <c16:uniqueId val="{00000064-2B95-4678-BDB2-BAD684CF91D4}"/>
                </c:ext>
              </c:extLst>
            </c:dLbl>
            <c:dLbl>
              <c:idx val="99"/>
              <c:delete val="1"/>
              <c:extLst>
                <c:ext xmlns:c15="http://schemas.microsoft.com/office/drawing/2012/chart" uri="{CE6537A1-D6FC-4f65-9D91-7224C49458BB}"/>
                <c:ext xmlns:c16="http://schemas.microsoft.com/office/drawing/2014/chart" uri="{C3380CC4-5D6E-409C-BE32-E72D297353CC}">
                  <c16:uniqueId val="{00000065-2B95-4678-BDB2-BAD684CF91D4}"/>
                </c:ext>
              </c:extLst>
            </c:dLbl>
            <c:dLbl>
              <c:idx val="100"/>
              <c:delete val="1"/>
              <c:extLst>
                <c:ext xmlns:c15="http://schemas.microsoft.com/office/drawing/2012/chart" uri="{CE6537A1-D6FC-4f65-9D91-7224C49458BB}"/>
                <c:ext xmlns:c16="http://schemas.microsoft.com/office/drawing/2014/chart" uri="{C3380CC4-5D6E-409C-BE32-E72D297353CC}">
                  <c16:uniqueId val="{00000066-2B95-4678-BDB2-BAD684CF91D4}"/>
                </c:ext>
              </c:extLst>
            </c:dLbl>
            <c:dLbl>
              <c:idx val="101"/>
              <c:delete val="1"/>
              <c:extLst>
                <c:ext xmlns:c15="http://schemas.microsoft.com/office/drawing/2012/chart" uri="{CE6537A1-D6FC-4f65-9D91-7224C49458BB}"/>
                <c:ext xmlns:c16="http://schemas.microsoft.com/office/drawing/2014/chart" uri="{C3380CC4-5D6E-409C-BE32-E72D297353CC}">
                  <c16:uniqueId val="{00000067-2B95-4678-BDB2-BAD684CF91D4}"/>
                </c:ext>
              </c:extLst>
            </c:dLbl>
            <c:dLbl>
              <c:idx val="102"/>
              <c:delete val="1"/>
              <c:extLst>
                <c:ext xmlns:c15="http://schemas.microsoft.com/office/drawing/2012/chart" uri="{CE6537A1-D6FC-4f65-9D91-7224C49458BB}"/>
                <c:ext xmlns:c16="http://schemas.microsoft.com/office/drawing/2014/chart" uri="{C3380CC4-5D6E-409C-BE32-E72D297353CC}">
                  <c16:uniqueId val="{00000068-2B95-4678-BDB2-BAD684CF91D4}"/>
                </c:ext>
              </c:extLst>
            </c:dLbl>
            <c:dLbl>
              <c:idx val="103"/>
              <c:delete val="1"/>
              <c:extLst>
                <c:ext xmlns:c15="http://schemas.microsoft.com/office/drawing/2012/chart" uri="{CE6537A1-D6FC-4f65-9D91-7224C49458BB}"/>
                <c:ext xmlns:c16="http://schemas.microsoft.com/office/drawing/2014/chart" uri="{C3380CC4-5D6E-409C-BE32-E72D297353CC}">
                  <c16:uniqueId val="{00000069-2B95-4678-BDB2-BAD684CF91D4}"/>
                </c:ext>
              </c:extLst>
            </c:dLbl>
            <c:dLbl>
              <c:idx val="104"/>
              <c:delete val="1"/>
              <c:extLst>
                <c:ext xmlns:c15="http://schemas.microsoft.com/office/drawing/2012/chart" uri="{CE6537A1-D6FC-4f65-9D91-7224C49458BB}"/>
                <c:ext xmlns:c16="http://schemas.microsoft.com/office/drawing/2014/chart" uri="{C3380CC4-5D6E-409C-BE32-E72D297353CC}">
                  <c16:uniqueId val="{0000006A-2B95-4678-BDB2-BAD684CF91D4}"/>
                </c:ext>
              </c:extLst>
            </c:dLbl>
            <c:dLbl>
              <c:idx val="105"/>
              <c:delete val="1"/>
              <c:extLst>
                <c:ext xmlns:c15="http://schemas.microsoft.com/office/drawing/2012/chart" uri="{CE6537A1-D6FC-4f65-9D91-7224C49458BB}"/>
                <c:ext xmlns:c16="http://schemas.microsoft.com/office/drawing/2014/chart" uri="{C3380CC4-5D6E-409C-BE32-E72D297353CC}">
                  <c16:uniqueId val="{0000006B-2B95-4678-BDB2-BAD684CF91D4}"/>
                </c:ext>
              </c:extLst>
            </c:dLbl>
            <c:dLbl>
              <c:idx val="106"/>
              <c:delete val="1"/>
              <c:extLst>
                <c:ext xmlns:c15="http://schemas.microsoft.com/office/drawing/2012/chart" uri="{CE6537A1-D6FC-4f65-9D91-7224C49458BB}"/>
                <c:ext xmlns:c16="http://schemas.microsoft.com/office/drawing/2014/chart" uri="{C3380CC4-5D6E-409C-BE32-E72D297353CC}">
                  <c16:uniqueId val="{0000006C-2B95-4678-BDB2-BAD684CF91D4}"/>
                </c:ext>
              </c:extLst>
            </c:dLbl>
            <c:dLbl>
              <c:idx val="107"/>
              <c:delete val="1"/>
              <c:extLst>
                <c:ext xmlns:c15="http://schemas.microsoft.com/office/drawing/2012/chart" uri="{CE6537A1-D6FC-4f65-9D91-7224C49458BB}"/>
                <c:ext xmlns:c16="http://schemas.microsoft.com/office/drawing/2014/chart" uri="{C3380CC4-5D6E-409C-BE32-E72D297353CC}">
                  <c16:uniqueId val="{0000006D-2B95-4678-BDB2-BAD684CF91D4}"/>
                </c:ext>
              </c:extLst>
            </c:dLbl>
            <c:dLbl>
              <c:idx val="108"/>
              <c:delete val="1"/>
              <c:extLst>
                <c:ext xmlns:c15="http://schemas.microsoft.com/office/drawing/2012/chart" uri="{CE6537A1-D6FC-4f65-9D91-7224C49458BB}"/>
                <c:ext xmlns:c16="http://schemas.microsoft.com/office/drawing/2014/chart" uri="{C3380CC4-5D6E-409C-BE32-E72D297353CC}">
                  <c16:uniqueId val="{0000006E-2B95-4678-BDB2-BAD684CF91D4}"/>
                </c:ext>
              </c:extLst>
            </c:dLbl>
            <c:dLbl>
              <c:idx val="109"/>
              <c:delete val="1"/>
              <c:extLst>
                <c:ext xmlns:c15="http://schemas.microsoft.com/office/drawing/2012/chart" uri="{CE6537A1-D6FC-4f65-9D91-7224C49458BB}"/>
                <c:ext xmlns:c16="http://schemas.microsoft.com/office/drawing/2014/chart" uri="{C3380CC4-5D6E-409C-BE32-E72D297353CC}">
                  <c16:uniqueId val="{0000006F-2B95-4678-BDB2-BAD684CF91D4}"/>
                </c:ext>
              </c:extLst>
            </c:dLbl>
            <c:dLbl>
              <c:idx val="110"/>
              <c:delete val="1"/>
              <c:extLst>
                <c:ext xmlns:c15="http://schemas.microsoft.com/office/drawing/2012/chart" uri="{CE6537A1-D6FC-4f65-9D91-7224C49458BB}"/>
                <c:ext xmlns:c16="http://schemas.microsoft.com/office/drawing/2014/chart" uri="{C3380CC4-5D6E-409C-BE32-E72D297353CC}">
                  <c16:uniqueId val="{00000070-2B95-4678-BDB2-BAD684CF91D4}"/>
                </c:ext>
              </c:extLst>
            </c:dLbl>
            <c:dLbl>
              <c:idx val="111"/>
              <c:delete val="1"/>
              <c:extLst>
                <c:ext xmlns:c15="http://schemas.microsoft.com/office/drawing/2012/chart" uri="{CE6537A1-D6FC-4f65-9D91-7224C49458BB}"/>
                <c:ext xmlns:c16="http://schemas.microsoft.com/office/drawing/2014/chart" uri="{C3380CC4-5D6E-409C-BE32-E72D297353CC}">
                  <c16:uniqueId val="{00000071-2B95-4678-BDB2-BAD684CF91D4}"/>
                </c:ext>
              </c:extLst>
            </c:dLbl>
            <c:dLbl>
              <c:idx val="112"/>
              <c:delete val="1"/>
              <c:extLst>
                <c:ext xmlns:c15="http://schemas.microsoft.com/office/drawing/2012/chart" uri="{CE6537A1-D6FC-4f65-9D91-7224C49458BB}"/>
                <c:ext xmlns:c16="http://schemas.microsoft.com/office/drawing/2014/chart" uri="{C3380CC4-5D6E-409C-BE32-E72D297353CC}">
                  <c16:uniqueId val="{00000072-2B95-4678-BDB2-BAD684CF91D4}"/>
                </c:ext>
              </c:extLst>
            </c:dLbl>
            <c:dLbl>
              <c:idx val="113"/>
              <c:delete val="1"/>
              <c:extLst>
                <c:ext xmlns:c15="http://schemas.microsoft.com/office/drawing/2012/chart" uri="{CE6537A1-D6FC-4f65-9D91-7224C49458BB}"/>
                <c:ext xmlns:c16="http://schemas.microsoft.com/office/drawing/2014/chart" uri="{C3380CC4-5D6E-409C-BE32-E72D297353CC}">
                  <c16:uniqueId val="{00000073-2B95-4678-BDB2-BAD684CF91D4}"/>
                </c:ext>
              </c:extLst>
            </c:dLbl>
            <c:dLbl>
              <c:idx val="114"/>
              <c:delete val="1"/>
              <c:extLst>
                <c:ext xmlns:c15="http://schemas.microsoft.com/office/drawing/2012/chart" uri="{CE6537A1-D6FC-4f65-9D91-7224C49458BB}"/>
                <c:ext xmlns:c16="http://schemas.microsoft.com/office/drawing/2014/chart" uri="{C3380CC4-5D6E-409C-BE32-E72D297353CC}">
                  <c16:uniqueId val="{00000074-2B95-4678-BDB2-BAD684CF91D4}"/>
                </c:ext>
              </c:extLst>
            </c:dLbl>
            <c:dLbl>
              <c:idx val="115"/>
              <c:delete val="1"/>
              <c:extLst>
                <c:ext xmlns:c15="http://schemas.microsoft.com/office/drawing/2012/chart" uri="{CE6537A1-D6FC-4f65-9D91-7224C49458BB}"/>
                <c:ext xmlns:c16="http://schemas.microsoft.com/office/drawing/2014/chart" uri="{C3380CC4-5D6E-409C-BE32-E72D297353CC}">
                  <c16:uniqueId val="{00000075-2B95-4678-BDB2-BAD684CF91D4}"/>
                </c:ext>
              </c:extLst>
            </c:dLbl>
            <c:dLbl>
              <c:idx val="116"/>
              <c:delete val="1"/>
              <c:extLst>
                <c:ext xmlns:c15="http://schemas.microsoft.com/office/drawing/2012/chart" uri="{CE6537A1-D6FC-4f65-9D91-7224C49458BB}"/>
                <c:ext xmlns:c16="http://schemas.microsoft.com/office/drawing/2014/chart" uri="{C3380CC4-5D6E-409C-BE32-E72D297353CC}">
                  <c16:uniqueId val="{00000076-2B95-4678-BDB2-BAD684CF91D4}"/>
                </c:ext>
              </c:extLst>
            </c:dLbl>
            <c:dLbl>
              <c:idx val="117"/>
              <c:delete val="1"/>
              <c:extLst>
                <c:ext xmlns:c15="http://schemas.microsoft.com/office/drawing/2012/chart" uri="{CE6537A1-D6FC-4f65-9D91-7224C49458BB}"/>
                <c:ext xmlns:c16="http://schemas.microsoft.com/office/drawing/2014/chart" uri="{C3380CC4-5D6E-409C-BE32-E72D297353CC}">
                  <c16:uniqueId val="{00000077-2B95-4678-BDB2-BAD684CF91D4}"/>
                </c:ext>
              </c:extLst>
            </c:dLbl>
            <c:dLbl>
              <c:idx val="118"/>
              <c:delete val="1"/>
              <c:extLst>
                <c:ext xmlns:c15="http://schemas.microsoft.com/office/drawing/2012/chart" uri="{CE6537A1-D6FC-4f65-9D91-7224C49458BB}"/>
                <c:ext xmlns:c16="http://schemas.microsoft.com/office/drawing/2014/chart" uri="{C3380CC4-5D6E-409C-BE32-E72D297353CC}">
                  <c16:uniqueId val="{00000078-2B95-4678-BDB2-BAD684CF91D4}"/>
                </c:ext>
              </c:extLst>
            </c:dLbl>
            <c:dLbl>
              <c:idx val="119"/>
              <c:delete val="1"/>
              <c:extLst>
                <c:ext xmlns:c15="http://schemas.microsoft.com/office/drawing/2012/chart" uri="{CE6537A1-D6FC-4f65-9D91-7224C49458BB}"/>
                <c:ext xmlns:c16="http://schemas.microsoft.com/office/drawing/2014/chart" uri="{C3380CC4-5D6E-409C-BE32-E72D297353CC}">
                  <c16:uniqueId val="{00000079-2B95-4678-BDB2-BAD684CF91D4}"/>
                </c:ext>
              </c:extLst>
            </c:dLbl>
            <c:dLbl>
              <c:idx val="120"/>
              <c:delete val="1"/>
              <c:extLst>
                <c:ext xmlns:c15="http://schemas.microsoft.com/office/drawing/2012/chart" uri="{CE6537A1-D6FC-4f65-9D91-7224C49458BB}"/>
                <c:ext xmlns:c16="http://schemas.microsoft.com/office/drawing/2014/chart" uri="{C3380CC4-5D6E-409C-BE32-E72D297353CC}">
                  <c16:uniqueId val="{0000007A-2B95-4678-BDB2-BAD684CF91D4}"/>
                </c:ext>
              </c:extLst>
            </c:dLbl>
            <c:dLbl>
              <c:idx val="121"/>
              <c:delete val="1"/>
              <c:extLst>
                <c:ext xmlns:c15="http://schemas.microsoft.com/office/drawing/2012/chart" uri="{CE6537A1-D6FC-4f65-9D91-7224C49458BB}"/>
                <c:ext xmlns:c16="http://schemas.microsoft.com/office/drawing/2014/chart" uri="{C3380CC4-5D6E-409C-BE32-E72D297353CC}">
                  <c16:uniqueId val="{0000007B-2B95-4678-BDB2-BAD684CF91D4}"/>
                </c:ext>
              </c:extLst>
            </c:dLbl>
            <c:dLbl>
              <c:idx val="122"/>
              <c:delete val="1"/>
              <c:extLst>
                <c:ext xmlns:c15="http://schemas.microsoft.com/office/drawing/2012/chart" uri="{CE6537A1-D6FC-4f65-9D91-7224C49458BB}"/>
                <c:ext xmlns:c16="http://schemas.microsoft.com/office/drawing/2014/chart" uri="{C3380CC4-5D6E-409C-BE32-E72D297353CC}">
                  <c16:uniqueId val="{0000007C-2B95-4678-BDB2-BAD684CF91D4}"/>
                </c:ext>
              </c:extLst>
            </c:dLbl>
            <c:dLbl>
              <c:idx val="123"/>
              <c:delete val="1"/>
              <c:extLst>
                <c:ext xmlns:c15="http://schemas.microsoft.com/office/drawing/2012/chart" uri="{CE6537A1-D6FC-4f65-9D91-7224C49458BB}"/>
                <c:ext xmlns:c16="http://schemas.microsoft.com/office/drawing/2014/chart" uri="{C3380CC4-5D6E-409C-BE32-E72D297353CC}">
                  <c16:uniqueId val="{0000007D-2B95-4678-BDB2-BAD684CF91D4}"/>
                </c:ext>
              </c:extLst>
            </c:dLbl>
            <c:dLbl>
              <c:idx val="124"/>
              <c:delete val="1"/>
              <c:extLst>
                <c:ext xmlns:c15="http://schemas.microsoft.com/office/drawing/2012/chart" uri="{CE6537A1-D6FC-4f65-9D91-7224C49458BB}"/>
                <c:ext xmlns:c16="http://schemas.microsoft.com/office/drawing/2014/chart" uri="{C3380CC4-5D6E-409C-BE32-E72D297353CC}">
                  <c16:uniqueId val="{0000007E-2B95-4678-BDB2-BAD684CF91D4}"/>
                </c:ext>
              </c:extLst>
            </c:dLbl>
            <c:dLbl>
              <c:idx val="125"/>
              <c:delete val="1"/>
              <c:extLst>
                <c:ext xmlns:c15="http://schemas.microsoft.com/office/drawing/2012/chart" uri="{CE6537A1-D6FC-4f65-9D91-7224C49458BB}"/>
                <c:ext xmlns:c16="http://schemas.microsoft.com/office/drawing/2014/chart" uri="{C3380CC4-5D6E-409C-BE32-E72D297353CC}">
                  <c16:uniqueId val="{0000007F-2B95-4678-BDB2-BAD684CF91D4}"/>
                </c:ext>
              </c:extLst>
            </c:dLbl>
            <c:dLbl>
              <c:idx val="126"/>
              <c:delete val="1"/>
              <c:extLst>
                <c:ext xmlns:c15="http://schemas.microsoft.com/office/drawing/2012/chart" uri="{CE6537A1-D6FC-4f65-9D91-7224C49458BB}"/>
                <c:ext xmlns:c16="http://schemas.microsoft.com/office/drawing/2014/chart" uri="{C3380CC4-5D6E-409C-BE32-E72D297353CC}">
                  <c16:uniqueId val="{00000080-2B95-4678-BDB2-BAD684CF91D4}"/>
                </c:ext>
              </c:extLst>
            </c:dLbl>
            <c:dLbl>
              <c:idx val="127"/>
              <c:delete val="1"/>
              <c:extLst>
                <c:ext xmlns:c15="http://schemas.microsoft.com/office/drawing/2012/chart" uri="{CE6537A1-D6FC-4f65-9D91-7224C49458BB}"/>
                <c:ext xmlns:c16="http://schemas.microsoft.com/office/drawing/2014/chart" uri="{C3380CC4-5D6E-409C-BE32-E72D297353CC}">
                  <c16:uniqueId val="{00000081-2B95-4678-BDB2-BAD684CF91D4}"/>
                </c:ext>
              </c:extLst>
            </c:dLbl>
            <c:dLbl>
              <c:idx val="128"/>
              <c:delete val="1"/>
              <c:extLst>
                <c:ext xmlns:c15="http://schemas.microsoft.com/office/drawing/2012/chart" uri="{CE6537A1-D6FC-4f65-9D91-7224C49458BB}"/>
                <c:ext xmlns:c16="http://schemas.microsoft.com/office/drawing/2014/chart" uri="{C3380CC4-5D6E-409C-BE32-E72D297353CC}">
                  <c16:uniqueId val="{00000082-2B95-4678-BDB2-BAD684CF91D4}"/>
                </c:ext>
              </c:extLst>
            </c:dLbl>
            <c:dLbl>
              <c:idx val="129"/>
              <c:delete val="1"/>
              <c:extLst>
                <c:ext xmlns:c15="http://schemas.microsoft.com/office/drawing/2012/chart" uri="{CE6537A1-D6FC-4f65-9D91-7224C49458BB}"/>
                <c:ext xmlns:c16="http://schemas.microsoft.com/office/drawing/2014/chart" uri="{C3380CC4-5D6E-409C-BE32-E72D297353CC}">
                  <c16:uniqueId val="{00000083-2B95-4678-BDB2-BAD684CF91D4}"/>
                </c:ext>
              </c:extLst>
            </c:dLbl>
            <c:dLbl>
              <c:idx val="130"/>
              <c:delete val="1"/>
              <c:extLst>
                <c:ext xmlns:c15="http://schemas.microsoft.com/office/drawing/2012/chart" uri="{CE6537A1-D6FC-4f65-9D91-7224C49458BB}"/>
                <c:ext xmlns:c16="http://schemas.microsoft.com/office/drawing/2014/chart" uri="{C3380CC4-5D6E-409C-BE32-E72D297353CC}">
                  <c16:uniqueId val="{00000084-2B95-4678-BDB2-BAD684CF91D4}"/>
                </c:ext>
              </c:extLst>
            </c:dLbl>
            <c:dLbl>
              <c:idx val="131"/>
              <c:delete val="1"/>
              <c:extLst>
                <c:ext xmlns:c15="http://schemas.microsoft.com/office/drawing/2012/chart" uri="{CE6537A1-D6FC-4f65-9D91-7224C49458BB}"/>
                <c:ext xmlns:c16="http://schemas.microsoft.com/office/drawing/2014/chart" uri="{C3380CC4-5D6E-409C-BE32-E72D297353CC}">
                  <c16:uniqueId val="{00000085-2B95-4678-BDB2-BAD684CF91D4}"/>
                </c:ext>
              </c:extLst>
            </c:dLbl>
            <c:dLbl>
              <c:idx val="132"/>
              <c:delete val="1"/>
              <c:extLst>
                <c:ext xmlns:c15="http://schemas.microsoft.com/office/drawing/2012/chart" uri="{CE6537A1-D6FC-4f65-9D91-7224C49458BB}"/>
                <c:ext xmlns:c16="http://schemas.microsoft.com/office/drawing/2014/chart" uri="{C3380CC4-5D6E-409C-BE32-E72D297353CC}">
                  <c16:uniqueId val="{00000086-2B95-4678-BDB2-BAD684CF91D4}"/>
                </c:ext>
              </c:extLst>
            </c:dLbl>
            <c:dLbl>
              <c:idx val="133"/>
              <c:delete val="1"/>
              <c:extLst>
                <c:ext xmlns:c15="http://schemas.microsoft.com/office/drawing/2012/chart" uri="{CE6537A1-D6FC-4f65-9D91-7224C49458BB}"/>
                <c:ext xmlns:c16="http://schemas.microsoft.com/office/drawing/2014/chart" uri="{C3380CC4-5D6E-409C-BE32-E72D297353CC}">
                  <c16:uniqueId val="{00000087-2B95-4678-BDB2-BAD684CF91D4}"/>
                </c:ext>
              </c:extLst>
            </c:dLbl>
            <c:dLbl>
              <c:idx val="134"/>
              <c:delete val="1"/>
              <c:extLst>
                <c:ext xmlns:c15="http://schemas.microsoft.com/office/drawing/2012/chart" uri="{CE6537A1-D6FC-4f65-9D91-7224C49458BB}"/>
                <c:ext xmlns:c16="http://schemas.microsoft.com/office/drawing/2014/chart" uri="{C3380CC4-5D6E-409C-BE32-E72D297353CC}">
                  <c16:uniqueId val="{00000088-2B95-4678-BDB2-BAD684CF91D4}"/>
                </c:ext>
              </c:extLst>
            </c:dLbl>
            <c:dLbl>
              <c:idx val="135"/>
              <c:delete val="1"/>
              <c:extLst>
                <c:ext xmlns:c15="http://schemas.microsoft.com/office/drawing/2012/chart" uri="{CE6537A1-D6FC-4f65-9D91-7224C49458BB}"/>
                <c:ext xmlns:c16="http://schemas.microsoft.com/office/drawing/2014/chart" uri="{C3380CC4-5D6E-409C-BE32-E72D297353CC}">
                  <c16:uniqueId val="{00000089-2B95-4678-BDB2-BAD684CF91D4}"/>
                </c:ext>
              </c:extLst>
            </c:dLbl>
            <c:dLbl>
              <c:idx val="136"/>
              <c:delete val="1"/>
              <c:extLst>
                <c:ext xmlns:c15="http://schemas.microsoft.com/office/drawing/2012/chart" uri="{CE6537A1-D6FC-4f65-9D91-7224C49458BB}"/>
                <c:ext xmlns:c16="http://schemas.microsoft.com/office/drawing/2014/chart" uri="{C3380CC4-5D6E-409C-BE32-E72D297353CC}">
                  <c16:uniqueId val="{0000008A-2B95-4678-BDB2-BAD684CF91D4}"/>
                </c:ext>
              </c:extLst>
            </c:dLbl>
            <c:dLbl>
              <c:idx val="137"/>
              <c:delete val="1"/>
              <c:extLst>
                <c:ext xmlns:c15="http://schemas.microsoft.com/office/drawing/2012/chart" uri="{CE6537A1-D6FC-4f65-9D91-7224C49458BB}"/>
                <c:ext xmlns:c16="http://schemas.microsoft.com/office/drawing/2014/chart" uri="{C3380CC4-5D6E-409C-BE32-E72D297353CC}">
                  <c16:uniqueId val="{0000008B-2B95-4678-BDB2-BAD684CF91D4}"/>
                </c:ext>
              </c:extLst>
            </c:dLbl>
            <c:dLbl>
              <c:idx val="138"/>
              <c:delete val="1"/>
              <c:extLst>
                <c:ext xmlns:c15="http://schemas.microsoft.com/office/drawing/2012/chart" uri="{CE6537A1-D6FC-4f65-9D91-7224C49458BB}"/>
                <c:ext xmlns:c16="http://schemas.microsoft.com/office/drawing/2014/chart" uri="{C3380CC4-5D6E-409C-BE32-E72D297353CC}">
                  <c16:uniqueId val="{0000008C-2B95-4678-BDB2-BAD684CF91D4}"/>
                </c:ext>
              </c:extLst>
            </c:dLbl>
            <c:dLbl>
              <c:idx val="139"/>
              <c:delete val="1"/>
              <c:extLst>
                <c:ext xmlns:c15="http://schemas.microsoft.com/office/drawing/2012/chart" uri="{CE6537A1-D6FC-4f65-9D91-7224C49458BB}"/>
                <c:ext xmlns:c16="http://schemas.microsoft.com/office/drawing/2014/chart" uri="{C3380CC4-5D6E-409C-BE32-E72D297353CC}">
                  <c16:uniqueId val="{0000008D-2B95-4678-BDB2-BAD684CF91D4}"/>
                </c:ext>
              </c:extLst>
            </c:dLbl>
            <c:dLbl>
              <c:idx val="140"/>
              <c:delete val="1"/>
              <c:extLst>
                <c:ext xmlns:c15="http://schemas.microsoft.com/office/drawing/2012/chart" uri="{CE6537A1-D6FC-4f65-9D91-7224C49458BB}"/>
                <c:ext xmlns:c16="http://schemas.microsoft.com/office/drawing/2014/chart" uri="{C3380CC4-5D6E-409C-BE32-E72D297353CC}">
                  <c16:uniqueId val="{0000008E-2B95-4678-BDB2-BAD684CF91D4}"/>
                </c:ext>
              </c:extLst>
            </c:dLbl>
            <c:dLbl>
              <c:idx val="141"/>
              <c:delete val="1"/>
              <c:extLst>
                <c:ext xmlns:c15="http://schemas.microsoft.com/office/drawing/2012/chart" uri="{CE6537A1-D6FC-4f65-9D91-7224C49458BB}"/>
                <c:ext xmlns:c16="http://schemas.microsoft.com/office/drawing/2014/chart" uri="{C3380CC4-5D6E-409C-BE32-E72D297353CC}">
                  <c16:uniqueId val="{0000008F-2B95-4678-BDB2-BAD684CF91D4}"/>
                </c:ext>
              </c:extLst>
            </c:dLbl>
            <c:dLbl>
              <c:idx val="142"/>
              <c:delete val="1"/>
              <c:extLst>
                <c:ext xmlns:c15="http://schemas.microsoft.com/office/drawing/2012/chart" uri="{CE6537A1-D6FC-4f65-9D91-7224C49458BB}"/>
                <c:ext xmlns:c16="http://schemas.microsoft.com/office/drawing/2014/chart" uri="{C3380CC4-5D6E-409C-BE32-E72D297353CC}">
                  <c16:uniqueId val="{00000090-2B95-4678-BDB2-BAD684CF91D4}"/>
                </c:ext>
              </c:extLst>
            </c:dLbl>
            <c:dLbl>
              <c:idx val="143"/>
              <c:delete val="1"/>
              <c:extLst>
                <c:ext xmlns:c15="http://schemas.microsoft.com/office/drawing/2012/chart" uri="{CE6537A1-D6FC-4f65-9D91-7224C49458BB}"/>
                <c:ext xmlns:c16="http://schemas.microsoft.com/office/drawing/2014/chart" uri="{C3380CC4-5D6E-409C-BE32-E72D297353CC}">
                  <c16:uniqueId val="{00000091-2B95-4678-BDB2-BAD684CF91D4}"/>
                </c:ext>
              </c:extLst>
            </c:dLbl>
            <c:dLbl>
              <c:idx val="144"/>
              <c:delete val="1"/>
              <c:extLst>
                <c:ext xmlns:c15="http://schemas.microsoft.com/office/drawing/2012/chart" uri="{CE6537A1-D6FC-4f65-9D91-7224C49458BB}"/>
                <c:ext xmlns:c16="http://schemas.microsoft.com/office/drawing/2014/chart" uri="{C3380CC4-5D6E-409C-BE32-E72D297353CC}">
                  <c16:uniqueId val="{00000092-2B95-4678-BDB2-BAD684CF91D4}"/>
                </c:ext>
              </c:extLst>
            </c:dLbl>
            <c:dLbl>
              <c:idx val="145"/>
              <c:delete val="1"/>
              <c:extLst>
                <c:ext xmlns:c15="http://schemas.microsoft.com/office/drawing/2012/chart" uri="{CE6537A1-D6FC-4f65-9D91-7224C49458BB}"/>
                <c:ext xmlns:c16="http://schemas.microsoft.com/office/drawing/2014/chart" uri="{C3380CC4-5D6E-409C-BE32-E72D297353CC}">
                  <c16:uniqueId val="{00000093-2B95-4678-BDB2-BAD684CF91D4}"/>
                </c:ext>
              </c:extLst>
            </c:dLbl>
            <c:dLbl>
              <c:idx val="146"/>
              <c:delete val="1"/>
              <c:extLst>
                <c:ext xmlns:c15="http://schemas.microsoft.com/office/drawing/2012/chart" uri="{CE6537A1-D6FC-4f65-9D91-7224C49458BB}"/>
                <c:ext xmlns:c16="http://schemas.microsoft.com/office/drawing/2014/chart" uri="{C3380CC4-5D6E-409C-BE32-E72D297353CC}">
                  <c16:uniqueId val="{00000094-2B95-4678-BDB2-BAD684CF91D4}"/>
                </c:ext>
              </c:extLst>
            </c:dLbl>
            <c:dLbl>
              <c:idx val="147"/>
              <c:delete val="1"/>
              <c:extLst>
                <c:ext xmlns:c15="http://schemas.microsoft.com/office/drawing/2012/chart" uri="{CE6537A1-D6FC-4f65-9D91-7224C49458BB}"/>
                <c:ext xmlns:c16="http://schemas.microsoft.com/office/drawing/2014/chart" uri="{C3380CC4-5D6E-409C-BE32-E72D297353CC}">
                  <c16:uniqueId val="{00000095-2B95-4678-BDB2-BAD684CF91D4}"/>
                </c:ext>
              </c:extLst>
            </c:dLbl>
            <c:dLbl>
              <c:idx val="148"/>
              <c:delete val="1"/>
              <c:extLst>
                <c:ext xmlns:c15="http://schemas.microsoft.com/office/drawing/2012/chart" uri="{CE6537A1-D6FC-4f65-9D91-7224C49458BB}"/>
                <c:ext xmlns:c16="http://schemas.microsoft.com/office/drawing/2014/chart" uri="{C3380CC4-5D6E-409C-BE32-E72D297353CC}">
                  <c16:uniqueId val="{00000096-2B95-4678-BDB2-BAD684CF91D4}"/>
                </c:ext>
              </c:extLst>
            </c:dLbl>
            <c:dLbl>
              <c:idx val="149"/>
              <c:delete val="1"/>
              <c:extLst>
                <c:ext xmlns:c15="http://schemas.microsoft.com/office/drawing/2012/chart" uri="{CE6537A1-D6FC-4f65-9D91-7224C49458BB}"/>
                <c:ext xmlns:c16="http://schemas.microsoft.com/office/drawing/2014/chart" uri="{C3380CC4-5D6E-409C-BE32-E72D297353CC}">
                  <c16:uniqueId val="{00000097-2B95-4678-BDB2-BAD684CF91D4}"/>
                </c:ext>
              </c:extLst>
            </c:dLbl>
            <c:dLbl>
              <c:idx val="150"/>
              <c:delete val="1"/>
              <c:extLst>
                <c:ext xmlns:c15="http://schemas.microsoft.com/office/drawing/2012/chart" uri="{CE6537A1-D6FC-4f65-9D91-7224C49458BB}"/>
                <c:ext xmlns:c16="http://schemas.microsoft.com/office/drawing/2014/chart" uri="{C3380CC4-5D6E-409C-BE32-E72D297353CC}">
                  <c16:uniqueId val="{00000098-2B95-4678-BDB2-BAD684CF91D4}"/>
                </c:ext>
              </c:extLst>
            </c:dLbl>
            <c:dLbl>
              <c:idx val="151"/>
              <c:delete val="1"/>
              <c:extLst>
                <c:ext xmlns:c15="http://schemas.microsoft.com/office/drawing/2012/chart" uri="{CE6537A1-D6FC-4f65-9D91-7224C49458BB}"/>
                <c:ext xmlns:c16="http://schemas.microsoft.com/office/drawing/2014/chart" uri="{C3380CC4-5D6E-409C-BE32-E72D297353CC}">
                  <c16:uniqueId val="{00000099-2B95-4678-BDB2-BAD684CF91D4}"/>
                </c:ext>
              </c:extLst>
            </c:dLbl>
            <c:dLbl>
              <c:idx val="152"/>
              <c:delete val="1"/>
              <c:extLst>
                <c:ext xmlns:c15="http://schemas.microsoft.com/office/drawing/2012/chart" uri="{CE6537A1-D6FC-4f65-9D91-7224C49458BB}"/>
                <c:ext xmlns:c16="http://schemas.microsoft.com/office/drawing/2014/chart" uri="{C3380CC4-5D6E-409C-BE32-E72D297353CC}">
                  <c16:uniqueId val="{0000009A-2B95-4678-BDB2-BAD684CF91D4}"/>
                </c:ext>
              </c:extLst>
            </c:dLbl>
            <c:dLbl>
              <c:idx val="153"/>
              <c:delete val="1"/>
              <c:extLst>
                <c:ext xmlns:c15="http://schemas.microsoft.com/office/drawing/2012/chart" uri="{CE6537A1-D6FC-4f65-9D91-7224C49458BB}"/>
                <c:ext xmlns:c16="http://schemas.microsoft.com/office/drawing/2014/chart" uri="{C3380CC4-5D6E-409C-BE32-E72D297353CC}">
                  <c16:uniqueId val="{0000009B-2B95-4678-BDB2-BAD684CF91D4}"/>
                </c:ext>
              </c:extLst>
            </c:dLbl>
            <c:dLbl>
              <c:idx val="154"/>
              <c:delete val="1"/>
              <c:extLst>
                <c:ext xmlns:c15="http://schemas.microsoft.com/office/drawing/2012/chart" uri="{CE6537A1-D6FC-4f65-9D91-7224C49458BB}"/>
                <c:ext xmlns:c16="http://schemas.microsoft.com/office/drawing/2014/chart" uri="{C3380CC4-5D6E-409C-BE32-E72D297353CC}">
                  <c16:uniqueId val="{0000009C-2B95-4678-BDB2-BAD684CF91D4}"/>
                </c:ext>
              </c:extLst>
            </c:dLbl>
            <c:dLbl>
              <c:idx val="155"/>
              <c:delete val="1"/>
              <c:extLst>
                <c:ext xmlns:c15="http://schemas.microsoft.com/office/drawing/2012/chart" uri="{CE6537A1-D6FC-4f65-9D91-7224C49458BB}"/>
                <c:ext xmlns:c16="http://schemas.microsoft.com/office/drawing/2014/chart" uri="{C3380CC4-5D6E-409C-BE32-E72D297353CC}">
                  <c16:uniqueId val="{0000009D-2B95-4678-BDB2-BAD684CF91D4}"/>
                </c:ext>
              </c:extLst>
            </c:dLbl>
            <c:dLbl>
              <c:idx val="156"/>
              <c:delete val="1"/>
              <c:extLst>
                <c:ext xmlns:c15="http://schemas.microsoft.com/office/drawing/2012/chart" uri="{CE6537A1-D6FC-4f65-9D91-7224C49458BB}"/>
                <c:ext xmlns:c16="http://schemas.microsoft.com/office/drawing/2014/chart" uri="{C3380CC4-5D6E-409C-BE32-E72D297353CC}">
                  <c16:uniqueId val="{0000009E-2B95-4678-BDB2-BAD684CF91D4}"/>
                </c:ext>
              </c:extLst>
            </c:dLbl>
            <c:dLbl>
              <c:idx val="157"/>
              <c:delete val="1"/>
              <c:extLst>
                <c:ext xmlns:c15="http://schemas.microsoft.com/office/drawing/2012/chart" uri="{CE6537A1-D6FC-4f65-9D91-7224C49458BB}"/>
                <c:ext xmlns:c16="http://schemas.microsoft.com/office/drawing/2014/chart" uri="{C3380CC4-5D6E-409C-BE32-E72D297353CC}">
                  <c16:uniqueId val="{0000009F-2B95-4678-BDB2-BAD684CF91D4}"/>
                </c:ext>
              </c:extLst>
            </c:dLbl>
            <c:dLbl>
              <c:idx val="158"/>
              <c:delete val="1"/>
              <c:extLst>
                <c:ext xmlns:c15="http://schemas.microsoft.com/office/drawing/2012/chart" uri="{CE6537A1-D6FC-4f65-9D91-7224C49458BB}"/>
                <c:ext xmlns:c16="http://schemas.microsoft.com/office/drawing/2014/chart" uri="{C3380CC4-5D6E-409C-BE32-E72D297353CC}">
                  <c16:uniqueId val="{000000A0-2B95-4678-BDB2-BAD684CF91D4}"/>
                </c:ext>
              </c:extLst>
            </c:dLbl>
            <c:dLbl>
              <c:idx val="159"/>
              <c:delete val="1"/>
              <c:extLst>
                <c:ext xmlns:c15="http://schemas.microsoft.com/office/drawing/2012/chart" uri="{CE6537A1-D6FC-4f65-9D91-7224C49458BB}"/>
                <c:ext xmlns:c16="http://schemas.microsoft.com/office/drawing/2014/chart" uri="{C3380CC4-5D6E-409C-BE32-E72D297353CC}">
                  <c16:uniqueId val="{000000A1-2B95-4678-BDB2-BAD684CF91D4}"/>
                </c:ext>
              </c:extLst>
            </c:dLbl>
            <c:dLbl>
              <c:idx val="160"/>
              <c:delete val="1"/>
              <c:extLst>
                <c:ext xmlns:c15="http://schemas.microsoft.com/office/drawing/2012/chart" uri="{CE6537A1-D6FC-4f65-9D91-7224C49458BB}"/>
                <c:ext xmlns:c16="http://schemas.microsoft.com/office/drawing/2014/chart" uri="{C3380CC4-5D6E-409C-BE32-E72D297353CC}">
                  <c16:uniqueId val="{000000A2-2B95-4678-BDB2-BAD684CF91D4}"/>
                </c:ext>
              </c:extLst>
            </c:dLbl>
            <c:dLbl>
              <c:idx val="161"/>
              <c:delete val="1"/>
              <c:extLst>
                <c:ext xmlns:c15="http://schemas.microsoft.com/office/drawing/2012/chart" uri="{CE6537A1-D6FC-4f65-9D91-7224C49458BB}"/>
                <c:ext xmlns:c16="http://schemas.microsoft.com/office/drawing/2014/chart" uri="{C3380CC4-5D6E-409C-BE32-E72D297353CC}">
                  <c16:uniqueId val="{000000A3-2B95-4678-BDB2-BAD684CF91D4}"/>
                </c:ext>
              </c:extLst>
            </c:dLbl>
            <c:dLbl>
              <c:idx val="162"/>
              <c:delete val="1"/>
              <c:extLst>
                <c:ext xmlns:c15="http://schemas.microsoft.com/office/drawing/2012/chart" uri="{CE6537A1-D6FC-4f65-9D91-7224C49458BB}"/>
                <c:ext xmlns:c16="http://schemas.microsoft.com/office/drawing/2014/chart" uri="{C3380CC4-5D6E-409C-BE32-E72D297353CC}">
                  <c16:uniqueId val="{000000A4-2B95-4678-BDB2-BAD684CF91D4}"/>
                </c:ext>
              </c:extLst>
            </c:dLbl>
            <c:dLbl>
              <c:idx val="163"/>
              <c:delete val="1"/>
              <c:extLst>
                <c:ext xmlns:c15="http://schemas.microsoft.com/office/drawing/2012/chart" uri="{CE6537A1-D6FC-4f65-9D91-7224C49458BB}"/>
                <c:ext xmlns:c16="http://schemas.microsoft.com/office/drawing/2014/chart" uri="{C3380CC4-5D6E-409C-BE32-E72D297353CC}">
                  <c16:uniqueId val="{000000A5-2B95-4678-BDB2-BAD684CF91D4}"/>
                </c:ext>
              </c:extLst>
            </c:dLbl>
            <c:dLbl>
              <c:idx val="164"/>
              <c:delete val="1"/>
              <c:extLst>
                <c:ext xmlns:c15="http://schemas.microsoft.com/office/drawing/2012/chart" uri="{CE6537A1-D6FC-4f65-9D91-7224C49458BB}"/>
                <c:ext xmlns:c16="http://schemas.microsoft.com/office/drawing/2014/chart" uri="{C3380CC4-5D6E-409C-BE32-E72D297353CC}">
                  <c16:uniqueId val="{000000A6-2B95-4678-BDB2-BAD684CF91D4}"/>
                </c:ext>
              </c:extLst>
            </c:dLbl>
            <c:dLbl>
              <c:idx val="165"/>
              <c:delete val="1"/>
              <c:extLst>
                <c:ext xmlns:c15="http://schemas.microsoft.com/office/drawing/2012/chart" uri="{CE6537A1-D6FC-4f65-9D91-7224C49458BB}"/>
                <c:ext xmlns:c16="http://schemas.microsoft.com/office/drawing/2014/chart" uri="{C3380CC4-5D6E-409C-BE32-E72D297353CC}">
                  <c16:uniqueId val="{000000A7-2B95-4678-BDB2-BAD684CF91D4}"/>
                </c:ext>
              </c:extLst>
            </c:dLbl>
            <c:dLbl>
              <c:idx val="166"/>
              <c:delete val="1"/>
              <c:extLst>
                <c:ext xmlns:c15="http://schemas.microsoft.com/office/drawing/2012/chart" uri="{CE6537A1-D6FC-4f65-9D91-7224C49458BB}"/>
                <c:ext xmlns:c16="http://schemas.microsoft.com/office/drawing/2014/chart" uri="{C3380CC4-5D6E-409C-BE32-E72D297353CC}">
                  <c16:uniqueId val="{000000A8-2B95-4678-BDB2-BAD684CF91D4}"/>
                </c:ext>
              </c:extLst>
            </c:dLbl>
            <c:dLbl>
              <c:idx val="167"/>
              <c:layout>
                <c:manualLayout>
                  <c:x val="0"/>
                  <c:y val="-1.53846153846153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A9-2B95-4678-BDB2-BAD684CF91D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'[OSW_Weekly_Output_ss.xlsx]Event_%_Scenario&amp;Low'!$T$3:$T$170</c:f>
              <c:numCache>
                <c:formatCode>General</c:formatCode>
                <c:ptCount val="168"/>
                <c:pt idx="0">
                  <c:v>6098</c:v>
                </c:pt>
                <c:pt idx="1">
                  <c:v>6098</c:v>
                </c:pt>
                <c:pt idx="2">
                  <c:v>6098</c:v>
                </c:pt>
                <c:pt idx="3">
                  <c:v>6098</c:v>
                </c:pt>
                <c:pt idx="4">
                  <c:v>6098</c:v>
                </c:pt>
                <c:pt idx="5">
                  <c:v>6098</c:v>
                </c:pt>
                <c:pt idx="6">
                  <c:v>6098</c:v>
                </c:pt>
                <c:pt idx="7">
                  <c:v>6098</c:v>
                </c:pt>
                <c:pt idx="8">
                  <c:v>6098</c:v>
                </c:pt>
                <c:pt idx="9">
                  <c:v>6098</c:v>
                </c:pt>
                <c:pt idx="10">
                  <c:v>6098</c:v>
                </c:pt>
                <c:pt idx="11">
                  <c:v>6098</c:v>
                </c:pt>
                <c:pt idx="12">
                  <c:v>6098</c:v>
                </c:pt>
                <c:pt idx="13">
                  <c:v>6098</c:v>
                </c:pt>
                <c:pt idx="14">
                  <c:v>6098</c:v>
                </c:pt>
                <c:pt idx="15">
                  <c:v>6098</c:v>
                </c:pt>
                <c:pt idx="16">
                  <c:v>6098</c:v>
                </c:pt>
                <c:pt idx="17">
                  <c:v>6098</c:v>
                </c:pt>
                <c:pt idx="18">
                  <c:v>6098</c:v>
                </c:pt>
                <c:pt idx="19">
                  <c:v>6098</c:v>
                </c:pt>
                <c:pt idx="20">
                  <c:v>6098</c:v>
                </c:pt>
                <c:pt idx="21">
                  <c:v>6098</c:v>
                </c:pt>
                <c:pt idx="22">
                  <c:v>6098</c:v>
                </c:pt>
                <c:pt idx="23">
                  <c:v>6098</c:v>
                </c:pt>
                <c:pt idx="24">
                  <c:v>6098</c:v>
                </c:pt>
                <c:pt idx="25">
                  <c:v>6098</c:v>
                </c:pt>
                <c:pt idx="26">
                  <c:v>6098</c:v>
                </c:pt>
                <c:pt idx="27">
                  <c:v>6098</c:v>
                </c:pt>
                <c:pt idx="28">
                  <c:v>6098</c:v>
                </c:pt>
                <c:pt idx="29">
                  <c:v>6098</c:v>
                </c:pt>
                <c:pt idx="30">
                  <c:v>6098</c:v>
                </c:pt>
                <c:pt idx="31">
                  <c:v>6098</c:v>
                </c:pt>
                <c:pt idx="32">
                  <c:v>6098</c:v>
                </c:pt>
                <c:pt idx="33">
                  <c:v>6098</c:v>
                </c:pt>
                <c:pt idx="34">
                  <c:v>6098</c:v>
                </c:pt>
                <c:pt idx="35">
                  <c:v>6098</c:v>
                </c:pt>
                <c:pt idx="36">
                  <c:v>6098</c:v>
                </c:pt>
                <c:pt idx="37">
                  <c:v>6098</c:v>
                </c:pt>
                <c:pt idx="38">
                  <c:v>6098</c:v>
                </c:pt>
                <c:pt idx="39">
                  <c:v>6098</c:v>
                </c:pt>
                <c:pt idx="40">
                  <c:v>6098</c:v>
                </c:pt>
                <c:pt idx="41">
                  <c:v>6098</c:v>
                </c:pt>
                <c:pt idx="42">
                  <c:v>6098</c:v>
                </c:pt>
                <c:pt idx="43">
                  <c:v>6098</c:v>
                </c:pt>
                <c:pt idx="44">
                  <c:v>6098</c:v>
                </c:pt>
                <c:pt idx="45">
                  <c:v>6098</c:v>
                </c:pt>
                <c:pt idx="46">
                  <c:v>6098</c:v>
                </c:pt>
                <c:pt idx="47">
                  <c:v>6098</c:v>
                </c:pt>
                <c:pt idx="48">
                  <c:v>6098</c:v>
                </c:pt>
                <c:pt idx="49">
                  <c:v>6098</c:v>
                </c:pt>
                <c:pt idx="50">
                  <c:v>6098</c:v>
                </c:pt>
                <c:pt idx="51">
                  <c:v>6098</c:v>
                </c:pt>
                <c:pt idx="52">
                  <c:v>6098</c:v>
                </c:pt>
                <c:pt idx="53">
                  <c:v>6098</c:v>
                </c:pt>
                <c:pt idx="54">
                  <c:v>6098</c:v>
                </c:pt>
                <c:pt idx="55">
                  <c:v>6098</c:v>
                </c:pt>
                <c:pt idx="56">
                  <c:v>6098</c:v>
                </c:pt>
                <c:pt idx="57">
                  <c:v>6098</c:v>
                </c:pt>
                <c:pt idx="58">
                  <c:v>6098</c:v>
                </c:pt>
                <c:pt idx="59">
                  <c:v>6098</c:v>
                </c:pt>
                <c:pt idx="60">
                  <c:v>6098</c:v>
                </c:pt>
                <c:pt idx="61">
                  <c:v>6098</c:v>
                </c:pt>
                <c:pt idx="62">
                  <c:v>6098</c:v>
                </c:pt>
                <c:pt idx="63">
                  <c:v>6098</c:v>
                </c:pt>
                <c:pt idx="64">
                  <c:v>6098</c:v>
                </c:pt>
                <c:pt idx="65">
                  <c:v>6098</c:v>
                </c:pt>
                <c:pt idx="66">
                  <c:v>6098</c:v>
                </c:pt>
                <c:pt idx="67">
                  <c:v>6098</c:v>
                </c:pt>
                <c:pt idx="68">
                  <c:v>6098</c:v>
                </c:pt>
                <c:pt idx="69">
                  <c:v>6098</c:v>
                </c:pt>
                <c:pt idx="70">
                  <c:v>6098</c:v>
                </c:pt>
                <c:pt idx="71">
                  <c:v>6098</c:v>
                </c:pt>
                <c:pt idx="72">
                  <c:v>6098</c:v>
                </c:pt>
                <c:pt idx="73">
                  <c:v>6098</c:v>
                </c:pt>
                <c:pt idx="74">
                  <c:v>6098</c:v>
                </c:pt>
                <c:pt idx="75">
                  <c:v>6098</c:v>
                </c:pt>
                <c:pt idx="76">
                  <c:v>6098</c:v>
                </c:pt>
                <c:pt idx="77">
                  <c:v>6098</c:v>
                </c:pt>
                <c:pt idx="78">
                  <c:v>6098</c:v>
                </c:pt>
                <c:pt idx="79">
                  <c:v>6098</c:v>
                </c:pt>
                <c:pt idx="80">
                  <c:v>6098</c:v>
                </c:pt>
                <c:pt idx="81">
                  <c:v>6098</c:v>
                </c:pt>
                <c:pt idx="82">
                  <c:v>6098</c:v>
                </c:pt>
                <c:pt idx="83">
                  <c:v>6098</c:v>
                </c:pt>
                <c:pt idx="84">
                  <c:v>6098</c:v>
                </c:pt>
                <c:pt idx="85">
                  <c:v>6098</c:v>
                </c:pt>
                <c:pt idx="86">
                  <c:v>6098</c:v>
                </c:pt>
                <c:pt idx="87">
                  <c:v>6098</c:v>
                </c:pt>
                <c:pt idx="88">
                  <c:v>6098</c:v>
                </c:pt>
                <c:pt idx="89">
                  <c:v>6098</c:v>
                </c:pt>
                <c:pt idx="90">
                  <c:v>6098</c:v>
                </c:pt>
                <c:pt idx="91">
                  <c:v>6098</c:v>
                </c:pt>
                <c:pt idx="92">
                  <c:v>6098</c:v>
                </c:pt>
                <c:pt idx="93">
                  <c:v>6098</c:v>
                </c:pt>
                <c:pt idx="94">
                  <c:v>6098</c:v>
                </c:pt>
                <c:pt idx="95">
                  <c:v>6098</c:v>
                </c:pt>
                <c:pt idx="96">
                  <c:v>6098</c:v>
                </c:pt>
                <c:pt idx="97">
                  <c:v>6098</c:v>
                </c:pt>
                <c:pt idx="98">
                  <c:v>6098</c:v>
                </c:pt>
                <c:pt idx="99">
                  <c:v>6098</c:v>
                </c:pt>
                <c:pt idx="100">
                  <c:v>6098</c:v>
                </c:pt>
                <c:pt idx="101">
                  <c:v>6098</c:v>
                </c:pt>
                <c:pt idx="102">
                  <c:v>6098</c:v>
                </c:pt>
                <c:pt idx="103">
                  <c:v>6098</c:v>
                </c:pt>
                <c:pt idx="104">
                  <c:v>6098</c:v>
                </c:pt>
                <c:pt idx="105">
                  <c:v>6098</c:v>
                </c:pt>
                <c:pt idx="106">
                  <c:v>6098</c:v>
                </c:pt>
                <c:pt idx="107">
                  <c:v>6098</c:v>
                </c:pt>
                <c:pt idx="108">
                  <c:v>6098</c:v>
                </c:pt>
                <c:pt idx="109">
                  <c:v>6098</c:v>
                </c:pt>
                <c:pt idx="110">
                  <c:v>6098</c:v>
                </c:pt>
                <c:pt idx="111">
                  <c:v>6098</c:v>
                </c:pt>
                <c:pt idx="112">
                  <c:v>6098</c:v>
                </c:pt>
                <c:pt idx="113">
                  <c:v>6098</c:v>
                </c:pt>
                <c:pt idx="114">
                  <c:v>6098</c:v>
                </c:pt>
                <c:pt idx="115">
                  <c:v>6098</c:v>
                </c:pt>
                <c:pt idx="116">
                  <c:v>6098</c:v>
                </c:pt>
                <c:pt idx="117">
                  <c:v>6098</c:v>
                </c:pt>
                <c:pt idx="118">
                  <c:v>6098</c:v>
                </c:pt>
                <c:pt idx="119">
                  <c:v>6098</c:v>
                </c:pt>
                <c:pt idx="120">
                  <c:v>6098</c:v>
                </c:pt>
                <c:pt idx="121">
                  <c:v>6098</c:v>
                </c:pt>
                <c:pt idx="122">
                  <c:v>6098</c:v>
                </c:pt>
                <c:pt idx="123">
                  <c:v>6098</c:v>
                </c:pt>
                <c:pt idx="124">
                  <c:v>6098</c:v>
                </c:pt>
                <c:pt idx="125">
                  <c:v>6098</c:v>
                </c:pt>
                <c:pt idx="126">
                  <c:v>6098</c:v>
                </c:pt>
                <c:pt idx="127">
                  <c:v>6098</c:v>
                </c:pt>
                <c:pt idx="128">
                  <c:v>6098</c:v>
                </c:pt>
                <c:pt idx="129">
                  <c:v>6098</c:v>
                </c:pt>
                <c:pt idx="130">
                  <c:v>6098</c:v>
                </c:pt>
                <c:pt idx="131">
                  <c:v>6098</c:v>
                </c:pt>
                <c:pt idx="132">
                  <c:v>6098</c:v>
                </c:pt>
                <c:pt idx="133">
                  <c:v>6098</c:v>
                </c:pt>
                <c:pt idx="134">
                  <c:v>6098</c:v>
                </c:pt>
                <c:pt idx="135">
                  <c:v>6098</c:v>
                </c:pt>
                <c:pt idx="136">
                  <c:v>6098</c:v>
                </c:pt>
                <c:pt idx="137">
                  <c:v>6098</c:v>
                </c:pt>
                <c:pt idx="138">
                  <c:v>6098</c:v>
                </c:pt>
                <c:pt idx="139">
                  <c:v>6098</c:v>
                </c:pt>
                <c:pt idx="140">
                  <c:v>6098</c:v>
                </c:pt>
                <c:pt idx="141">
                  <c:v>6098</c:v>
                </c:pt>
                <c:pt idx="142">
                  <c:v>6098</c:v>
                </c:pt>
                <c:pt idx="143">
                  <c:v>6098</c:v>
                </c:pt>
                <c:pt idx="144">
                  <c:v>6098</c:v>
                </c:pt>
                <c:pt idx="145">
                  <c:v>6098</c:v>
                </c:pt>
                <c:pt idx="146">
                  <c:v>6098</c:v>
                </c:pt>
                <c:pt idx="147">
                  <c:v>6098</c:v>
                </c:pt>
                <c:pt idx="148">
                  <c:v>6098</c:v>
                </c:pt>
                <c:pt idx="149">
                  <c:v>6098</c:v>
                </c:pt>
                <c:pt idx="150">
                  <c:v>6098</c:v>
                </c:pt>
                <c:pt idx="151">
                  <c:v>6098</c:v>
                </c:pt>
                <c:pt idx="152">
                  <c:v>6098</c:v>
                </c:pt>
                <c:pt idx="153">
                  <c:v>6098</c:v>
                </c:pt>
                <c:pt idx="154">
                  <c:v>6098</c:v>
                </c:pt>
                <c:pt idx="155">
                  <c:v>6098</c:v>
                </c:pt>
                <c:pt idx="156">
                  <c:v>6098</c:v>
                </c:pt>
                <c:pt idx="157">
                  <c:v>6098</c:v>
                </c:pt>
                <c:pt idx="158">
                  <c:v>6098</c:v>
                </c:pt>
                <c:pt idx="159">
                  <c:v>6098</c:v>
                </c:pt>
                <c:pt idx="160">
                  <c:v>6098</c:v>
                </c:pt>
                <c:pt idx="161">
                  <c:v>6098</c:v>
                </c:pt>
                <c:pt idx="162">
                  <c:v>6098</c:v>
                </c:pt>
                <c:pt idx="163">
                  <c:v>6098</c:v>
                </c:pt>
                <c:pt idx="164">
                  <c:v>6098</c:v>
                </c:pt>
                <c:pt idx="165">
                  <c:v>6098</c:v>
                </c:pt>
                <c:pt idx="166">
                  <c:v>6098</c:v>
                </c:pt>
                <c:pt idx="167">
                  <c:v>6098</c:v>
                </c:pt>
              </c:numCache>
            </c:numRef>
          </c:val>
          <c:smooth val="0"/>
          <c:extLst>
            <c:ext xmlns:c16="http://schemas.microsoft.com/office/drawing/2014/chart" uri="{C3380CC4-5D6E-409C-BE32-E72D297353CC}">
              <c16:uniqueId val="{000000AA-2B95-4678-BDB2-BAD684CF91D4}"/>
            </c:ext>
          </c:extLst>
        </c:ser>
        <c:ser>
          <c:idx val="3"/>
          <c:order val="3"/>
          <c:spPr>
            <a:ln w="6350" cap="rnd">
              <a:solidFill>
                <a:schemeClr val="accent2"/>
              </a:solidFill>
              <a:round/>
            </a:ln>
            <a:effectLst/>
          </c:spPr>
          <c:marker>
            <c:symbol val="none"/>
          </c:marker>
          <c:dLbls>
            <c:dLbl>
              <c:idx val="13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AB-2B95-4678-BDB2-BAD684CF91D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'[OSW_Weekly_Output_ss.xlsx]Event_%_Scenario&amp;Low'!$S$3:$S$170</c:f>
              <c:numCache>
                <c:formatCode>0</c:formatCode>
                <c:ptCount val="168"/>
                <c:pt idx="0">
                  <c:v>3238</c:v>
                </c:pt>
                <c:pt idx="1">
                  <c:v>3066</c:v>
                </c:pt>
                <c:pt idx="2">
                  <c:v>3061</c:v>
                </c:pt>
                <c:pt idx="3">
                  <c:v>1577</c:v>
                </c:pt>
                <c:pt idx="4">
                  <c:v>1760</c:v>
                </c:pt>
                <c:pt idx="5">
                  <c:v>2185</c:v>
                </c:pt>
                <c:pt idx="6">
                  <c:v>3237</c:v>
                </c:pt>
                <c:pt idx="7">
                  <c:v>3508</c:v>
                </c:pt>
                <c:pt idx="8">
                  <c:v>3148</c:v>
                </c:pt>
                <c:pt idx="9">
                  <c:v>1805</c:v>
                </c:pt>
                <c:pt idx="10">
                  <c:v>3129</c:v>
                </c:pt>
                <c:pt idx="11">
                  <c:v>4293</c:v>
                </c:pt>
                <c:pt idx="12">
                  <c:v>3948</c:v>
                </c:pt>
                <c:pt idx="13">
                  <c:v>4138</c:v>
                </c:pt>
                <c:pt idx="14">
                  <c:v>4319</c:v>
                </c:pt>
                <c:pt idx="15">
                  <c:v>4740</c:v>
                </c:pt>
                <c:pt idx="16">
                  <c:v>4647</c:v>
                </c:pt>
                <c:pt idx="17">
                  <c:v>4656</c:v>
                </c:pt>
                <c:pt idx="18">
                  <c:v>4186</c:v>
                </c:pt>
                <c:pt idx="19">
                  <c:v>2815</c:v>
                </c:pt>
                <c:pt idx="20">
                  <c:v>4093</c:v>
                </c:pt>
                <c:pt idx="21">
                  <c:v>3087</c:v>
                </c:pt>
                <c:pt idx="22">
                  <c:v>2573</c:v>
                </c:pt>
                <c:pt idx="23">
                  <c:v>2833</c:v>
                </c:pt>
                <c:pt idx="24">
                  <c:v>3131</c:v>
                </c:pt>
                <c:pt idx="25">
                  <c:v>2853</c:v>
                </c:pt>
                <c:pt idx="26">
                  <c:v>2821</c:v>
                </c:pt>
                <c:pt idx="27">
                  <c:v>1997</c:v>
                </c:pt>
                <c:pt idx="28">
                  <c:v>1754</c:v>
                </c:pt>
                <c:pt idx="29">
                  <c:v>1765</c:v>
                </c:pt>
                <c:pt idx="30">
                  <c:v>1625</c:v>
                </c:pt>
                <c:pt idx="31">
                  <c:v>1453</c:v>
                </c:pt>
                <c:pt idx="32">
                  <c:v>1347</c:v>
                </c:pt>
                <c:pt idx="33">
                  <c:v>1249</c:v>
                </c:pt>
                <c:pt idx="34">
                  <c:v>1475</c:v>
                </c:pt>
                <c:pt idx="35">
                  <c:v>2034</c:v>
                </c:pt>
                <c:pt idx="36">
                  <c:v>2618</c:v>
                </c:pt>
                <c:pt idx="37">
                  <c:v>2928</c:v>
                </c:pt>
                <c:pt idx="38">
                  <c:v>2733</c:v>
                </c:pt>
                <c:pt idx="39">
                  <c:v>2932</c:v>
                </c:pt>
                <c:pt idx="40">
                  <c:v>3212</c:v>
                </c:pt>
                <c:pt idx="41">
                  <c:v>3431</c:v>
                </c:pt>
                <c:pt idx="42">
                  <c:v>3694</c:v>
                </c:pt>
                <c:pt idx="43">
                  <c:v>4115</c:v>
                </c:pt>
                <c:pt idx="44">
                  <c:v>3766</c:v>
                </c:pt>
                <c:pt idx="45">
                  <c:v>3288</c:v>
                </c:pt>
                <c:pt idx="46">
                  <c:v>2747</c:v>
                </c:pt>
                <c:pt idx="47">
                  <c:v>2300</c:v>
                </c:pt>
                <c:pt idx="48">
                  <c:v>1887</c:v>
                </c:pt>
                <c:pt idx="49">
                  <c:v>1363</c:v>
                </c:pt>
                <c:pt idx="50">
                  <c:v>965</c:v>
                </c:pt>
                <c:pt idx="51">
                  <c:v>709</c:v>
                </c:pt>
                <c:pt idx="52">
                  <c:v>441</c:v>
                </c:pt>
                <c:pt idx="53">
                  <c:v>263</c:v>
                </c:pt>
                <c:pt idx="54">
                  <c:v>255</c:v>
                </c:pt>
                <c:pt idx="55">
                  <c:v>289</c:v>
                </c:pt>
                <c:pt idx="56">
                  <c:v>315</c:v>
                </c:pt>
                <c:pt idx="57">
                  <c:v>363</c:v>
                </c:pt>
                <c:pt idx="58">
                  <c:v>545</c:v>
                </c:pt>
                <c:pt idx="59">
                  <c:v>955</c:v>
                </c:pt>
                <c:pt idx="60">
                  <c:v>1331</c:v>
                </c:pt>
                <c:pt idx="61">
                  <c:v>1867</c:v>
                </c:pt>
                <c:pt idx="62">
                  <c:v>2483</c:v>
                </c:pt>
                <c:pt idx="63">
                  <c:v>2890</c:v>
                </c:pt>
                <c:pt idx="64">
                  <c:v>2966</c:v>
                </c:pt>
                <c:pt idx="65">
                  <c:v>2833</c:v>
                </c:pt>
                <c:pt idx="66">
                  <c:v>2897</c:v>
                </c:pt>
                <c:pt idx="67">
                  <c:v>2798</c:v>
                </c:pt>
                <c:pt idx="68">
                  <c:v>2693</c:v>
                </c:pt>
                <c:pt idx="69">
                  <c:v>2526</c:v>
                </c:pt>
                <c:pt idx="70">
                  <c:v>2476</c:v>
                </c:pt>
                <c:pt idx="71">
                  <c:v>2606</c:v>
                </c:pt>
                <c:pt idx="72">
                  <c:v>2338</c:v>
                </c:pt>
                <c:pt idx="73">
                  <c:v>1917</c:v>
                </c:pt>
                <c:pt idx="74">
                  <c:v>2040</c:v>
                </c:pt>
                <c:pt idx="75">
                  <c:v>1597</c:v>
                </c:pt>
                <c:pt idx="76">
                  <c:v>1277</c:v>
                </c:pt>
                <c:pt idx="77">
                  <c:v>952</c:v>
                </c:pt>
                <c:pt idx="78">
                  <c:v>781</c:v>
                </c:pt>
                <c:pt idx="79">
                  <c:v>951</c:v>
                </c:pt>
                <c:pt idx="80">
                  <c:v>1168</c:v>
                </c:pt>
                <c:pt idx="81">
                  <c:v>2295</c:v>
                </c:pt>
                <c:pt idx="82">
                  <c:v>3353</c:v>
                </c:pt>
                <c:pt idx="83">
                  <c:v>4538</c:v>
                </c:pt>
                <c:pt idx="84">
                  <c:v>4961</c:v>
                </c:pt>
                <c:pt idx="85">
                  <c:v>5218</c:v>
                </c:pt>
                <c:pt idx="86">
                  <c:v>5259</c:v>
                </c:pt>
                <c:pt idx="87">
                  <c:v>5404</c:v>
                </c:pt>
                <c:pt idx="88">
                  <c:v>5504</c:v>
                </c:pt>
                <c:pt idx="89">
                  <c:v>5407</c:v>
                </c:pt>
                <c:pt idx="90">
                  <c:v>5030</c:v>
                </c:pt>
                <c:pt idx="91">
                  <c:v>4967</c:v>
                </c:pt>
                <c:pt idx="92">
                  <c:v>4866</c:v>
                </c:pt>
                <c:pt idx="93">
                  <c:v>4888</c:v>
                </c:pt>
                <c:pt idx="94">
                  <c:v>4795</c:v>
                </c:pt>
                <c:pt idx="95">
                  <c:v>5107</c:v>
                </c:pt>
                <c:pt idx="96">
                  <c:v>4893</c:v>
                </c:pt>
                <c:pt idx="97">
                  <c:v>4710</c:v>
                </c:pt>
                <c:pt idx="98">
                  <c:v>4402</c:v>
                </c:pt>
                <c:pt idx="99">
                  <c:v>4174</c:v>
                </c:pt>
                <c:pt idx="100">
                  <c:v>3678</c:v>
                </c:pt>
                <c:pt idx="101">
                  <c:v>3207</c:v>
                </c:pt>
                <c:pt idx="102">
                  <c:v>2779</c:v>
                </c:pt>
                <c:pt idx="103">
                  <c:v>2288</c:v>
                </c:pt>
                <c:pt idx="104">
                  <c:v>1919</c:v>
                </c:pt>
                <c:pt idx="105">
                  <c:v>1721</c:v>
                </c:pt>
                <c:pt idx="106">
                  <c:v>1800</c:v>
                </c:pt>
                <c:pt idx="107">
                  <c:v>1911</c:v>
                </c:pt>
                <c:pt idx="108">
                  <c:v>1915</c:v>
                </c:pt>
                <c:pt idx="109">
                  <c:v>1926</c:v>
                </c:pt>
                <c:pt idx="110">
                  <c:v>2183</c:v>
                </c:pt>
                <c:pt idx="111">
                  <c:v>2949</c:v>
                </c:pt>
                <c:pt idx="112">
                  <c:v>2936</c:v>
                </c:pt>
                <c:pt idx="113">
                  <c:v>3292</c:v>
                </c:pt>
                <c:pt idx="114">
                  <c:v>3736</c:v>
                </c:pt>
                <c:pt idx="115">
                  <c:v>3773</c:v>
                </c:pt>
                <c:pt idx="116">
                  <c:v>3706</c:v>
                </c:pt>
                <c:pt idx="117">
                  <c:v>3834</c:v>
                </c:pt>
                <c:pt idx="118">
                  <c:v>3367</c:v>
                </c:pt>
                <c:pt idx="119">
                  <c:v>2804</c:v>
                </c:pt>
                <c:pt idx="120">
                  <c:v>2480</c:v>
                </c:pt>
                <c:pt idx="121">
                  <c:v>2350</c:v>
                </c:pt>
                <c:pt idx="122">
                  <c:v>2293</c:v>
                </c:pt>
                <c:pt idx="123">
                  <c:v>2370</c:v>
                </c:pt>
                <c:pt idx="124">
                  <c:v>2445</c:v>
                </c:pt>
                <c:pt idx="125">
                  <c:v>2781</c:v>
                </c:pt>
                <c:pt idx="126">
                  <c:v>2793</c:v>
                </c:pt>
                <c:pt idx="127">
                  <c:v>3506</c:v>
                </c:pt>
                <c:pt idx="128">
                  <c:v>4044</c:v>
                </c:pt>
                <c:pt idx="129">
                  <c:v>4722</c:v>
                </c:pt>
                <c:pt idx="130">
                  <c:v>5144</c:v>
                </c:pt>
                <c:pt idx="131">
                  <c:v>5303</c:v>
                </c:pt>
                <c:pt idx="132">
                  <c:v>5558</c:v>
                </c:pt>
                <c:pt idx="133">
                  <c:v>5602</c:v>
                </c:pt>
                <c:pt idx="134">
                  <c:v>5512</c:v>
                </c:pt>
                <c:pt idx="135">
                  <c:v>4630</c:v>
                </c:pt>
                <c:pt idx="136">
                  <c:v>2950</c:v>
                </c:pt>
                <c:pt idx="137">
                  <c:v>1710</c:v>
                </c:pt>
                <c:pt idx="138">
                  <c:v>1190</c:v>
                </c:pt>
                <c:pt idx="139">
                  <c:v>878</c:v>
                </c:pt>
                <c:pt idx="140">
                  <c:v>812</c:v>
                </c:pt>
                <c:pt idx="141">
                  <c:v>156</c:v>
                </c:pt>
                <c:pt idx="142">
                  <c:v>327</c:v>
                </c:pt>
                <c:pt idx="143">
                  <c:v>486</c:v>
                </c:pt>
                <c:pt idx="144">
                  <c:v>822</c:v>
                </c:pt>
                <c:pt idx="145">
                  <c:v>823</c:v>
                </c:pt>
                <c:pt idx="146">
                  <c:v>610</c:v>
                </c:pt>
                <c:pt idx="147">
                  <c:v>493</c:v>
                </c:pt>
                <c:pt idx="148">
                  <c:v>498</c:v>
                </c:pt>
                <c:pt idx="149">
                  <c:v>385</c:v>
                </c:pt>
                <c:pt idx="150">
                  <c:v>173</c:v>
                </c:pt>
                <c:pt idx="151">
                  <c:v>69</c:v>
                </c:pt>
                <c:pt idx="152">
                  <c:v>10</c:v>
                </c:pt>
                <c:pt idx="153">
                  <c:v>1</c:v>
                </c:pt>
                <c:pt idx="154">
                  <c:v>5</c:v>
                </c:pt>
                <c:pt idx="155">
                  <c:v>38</c:v>
                </c:pt>
                <c:pt idx="156">
                  <c:v>116</c:v>
                </c:pt>
                <c:pt idx="157">
                  <c:v>233</c:v>
                </c:pt>
                <c:pt idx="158">
                  <c:v>298</c:v>
                </c:pt>
                <c:pt idx="159">
                  <c:v>341</c:v>
                </c:pt>
                <c:pt idx="160">
                  <c:v>373</c:v>
                </c:pt>
                <c:pt idx="161">
                  <c:v>420</c:v>
                </c:pt>
                <c:pt idx="162">
                  <c:v>494</c:v>
                </c:pt>
                <c:pt idx="163">
                  <c:v>584</c:v>
                </c:pt>
                <c:pt idx="164">
                  <c:v>528</c:v>
                </c:pt>
                <c:pt idx="165">
                  <c:v>649</c:v>
                </c:pt>
                <c:pt idx="166">
                  <c:v>409</c:v>
                </c:pt>
                <c:pt idx="167">
                  <c:v>384</c:v>
                </c:pt>
              </c:numCache>
            </c:numRef>
          </c:val>
          <c:smooth val="0"/>
          <c:extLst>
            <c:ext xmlns:c16="http://schemas.microsoft.com/office/drawing/2014/chart" uri="{C3380CC4-5D6E-409C-BE32-E72D297353CC}">
              <c16:uniqueId val="{000000AC-2B95-4678-BDB2-BAD684CF91D4}"/>
            </c:ext>
          </c:extLst>
        </c:ser>
        <c:dLbls>
          <c:showLegendKey val="0"/>
          <c:showVal val="0"/>
          <c:showCatName val="0"/>
          <c:showSerName val="0"/>
          <c:showPercent val="0"/>
          <c:showBubbleSize val="0"/>
        </c:dLbls>
        <c:marker val="1"/>
        <c:smooth val="0"/>
        <c:axId val="505000527"/>
        <c:axId val="504999279"/>
      </c:lineChart>
      <c:catAx>
        <c:axId val="505000527"/>
        <c:scaling>
          <c:orientation val="minMax"/>
        </c:scaling>
        <c:delete val="0"/>
        <c:axPos val="b"/>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4999279"/>
        <c:crosses val="autoZero"/>
        <c:auto val="1"/>
        <c:lblAlgn val="ctr"/>
        <c:lblOffset val="100"/>
        <c:tickLblSkip val="24"/>
        <c:noMultiLvlLbl val="0"/>
      </c:catAx>
      <c:valAx>
        <c:axId val="504999279"/>
        <c:scaling>
          <c:orientation val="minMax"/>
          <c:max val="6500"/>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000527"/>
        <c:crossesAt val="1"/>
        <c:crossBetween val="between"/>
        <c:majorUnit val="500"/>
      </c:valAx>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0.80445</cdr:x>
      <cdr:y>0.38882</cdr:y>
    </cdr:from>
    <cdr:to>
      <cdr:x>1</cdr:x>
      <cdr:y>0.54671</cdr:y>
    </cdr:to>
    <cdr:sp macro="" textlink="">
      <cdr:nvSpPr>
        <cdr:cNvPr id="2" name="TextBox 1">
          <a:extLst xmlns:a="http://schemas.openxmlformats.org/drawingml/2006/main">
            <a:ext uri="{FF2B5EF4-FFF2-40B4-BE49-F238E27FC236}">
              <a16:creationId xmlns:a16="http://schemas.microsoft.com/office/drawing/2014/main" id="{F52A74DA-F66D-41D1-A373-16D87E1A65A1}"/>
            </a:ext>
          </a:extLst>
        </cdr:cNvPr>
        <cdr:cNvSpPr txBox="1"/>
      </cdr:nvSpPr>
      <cdr:spPr>
        <a:xfrm xmlns:a="http://schemas.openxmlformats.org/drawingml/2006/main">
          <a:off x="4131566" y="1093269"/>
          <a:ext cx="1004314" cy="443966"/>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lt1">
              <a:shade val="50000"/>
            </a:schemeClr>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900"/>
            <a:t>Total</a:t>
          </a:r>
          <a:r>
            <a:rPr lang="en-US" sz="900" baseline="0"/>
            <a:t> Energy - </a:t>
          </a:r>
          <a:br>
            <a:rPr lang="en-US" sz="900" baseline="0"/>
          </a:br>
          <a:r>
            <a:rPr lang="en-US" sz="900" baseline="0"/>
            <a:t>417,340 MWh</a:t>
          </a:r>
          <a:endParaRPr lang="en-US" sz="900"/>
        </a:p>
      </cdr:txBody>
    </cdr:sp>
  </cdr:relSizeAnchor>
</c:userShapes>
</file>

<file path=word/drawings/drawing2.xml><?xml version="1.0" encoding="utf-8"?>
<c:userShapes xmlns:c="http://schemas.openxmlformats.org/drawingml/2006/chart">
  <cdr:relSizeAnchor xmlns:cdr="http://schemas.openxmlformats.org/drawingml/2006/chartDrawing">
    <cdr:from>
      <cdr:x>0.80869</cdr:x>
      <cdr:y>0.37618</cdr:y>
    </cdr:from>
    <cdr:to>
      <cdr:x>1</cdr:x>
      <cdr:y>0.55757</cdr:y>
    </cdr:to>
    <cdr:sp macro="" textlink="">
      <cdr:nvSpPr>
        <cdr:cNvPr id="2" name="TextBox 2">
          <a:extLst xmlns:a="http://schemas.openxmlformats.org/drawingml/2006/main">
            <a:ext uri="{FF2B5EF4-FFF2-40B4-BE49-F238E27FC236}">
              <a16:creationId xmlns:a16="http://schemas.microsoft.com/office/drawing/2014/main" id="{F7C8D7D4-6A33-4BEE-83AA-F8D3DB2D2C6B}"/>
            </a:ext>
          </a:extLst>
        </cdr:cNvPr>
        <cdr:cNvSpPr txBox="1"/>
      </cdr:nvSpPr>
      <cdr:spPr>
        <a:xfrm xmlns:a="http://schemas.openxmlformats.org/drawingml/2006/main">
          <a:off x="3876040" y="908685"/>
          <a:ext cx="916940" cy="438150"/>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lt1">
              <a:shade val="50000"/>
            </a:schemeClr>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p xmlns:a="http://schemas.openxmlformats.org/drawingml/2006/main">
          <a:pPr marL="0" marR="0">
            <a:spcBef>
              <a:spcPts val="0"/>
            </a:spcBef>
            <a:spcAft>
              <a:spcPts val="0"/>
            </a:spcAft>
          </a:pPr>
          <a:r>
            <a:rPr lang="en-US" sz="900" kern="1200">
              <a:solidFill>
                <a:srgbClr val="000000"/>
              </a:solidFill>
              <a:effectLst/>
              <a:ea typeface="Times New Roman" panose="02020603050405020304" pitchFamily="18" charset="0"/>
              <a:cs typeface="Times New Roman" panose="02020603050405020304" pitchFamily="18" charset="0"/>
            </a:rPr>
            <a:t>Total Energy - </a:t>
          </a:r>
          <a:br>
            <a:rPr lang="en-US" sz="900" kern="1200">
              <a:solidFill>
                <a:srgbClr val="000000"/>
              </a:solidFill>
              <a:effectLst/>
              <a:ea typeface="Times New Roman" panose="02020603050405020304" pitchFamily="18" charset="0"/>
              <a:cs typeface="Times New Roman" panose="02020603050405020304" pitchFamily="18" charset="0"/>
            </a:rPr>
          </a:br>
          <a:r>
            <a:rPr lang="en-US" sz="900" kern="1200">
              <a:solidFill>
                <a:srgbClr val="000000"/>
              </a:solidFill>
              <a:effectLst/>
              <a:ea typeface="Times New Roman" panose="02020603050405020304" pitchFamily="18" charset="0"/>
              <a:cs typeface="Times New Roman" panose="02020603050405020304" pitchFamily="18" charset="0"/>
            </a:rPr>
            <a:t>184,127 MWh</a:t>
          </a:r>
          <a:endParaRPr lang="en-US" sz="1200">
            <a:effectLst/>
            <a:latin typeface="Times New Roman" panose="02020603050405020304" pitchFamily="18" charset="0"/>
            <a:ea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0.83617</cdr:x>
      <cdr:y>0.3553</cdr:y>
    </cdr:from>
    <cdr:to>
      <cdr:x>1</cdr:x>
      <cdr:y>0.51862</cdr:y>
    </cdr:to>
    <cdr:sp macro="" textlink="">
      <cdr:nvSpPr>
        <cdr:cNvPr id="2" name="TextBox 3">
          <a:extLst xmlns:a="http://schemas.openxmlformats.org/drawingml/2006/main">
            <a:ext uri="{FF2B5EF4-FFF2-40B4-BE49-F238E27FC236}">
              <a16:creationId xmlns:a16="http://schemas.microsoft.com/office/drawing/2014/main" id="{2AAD8B3B-D841-442C-ABAC-A2366786804E}"/>
            </a:ext>
          </a:extLst>
        </cdr:cNvPr>
        <cdr:cNvSpPr txBox="1"/>
      </cdr:nvSpPr>
      <cdr:spPr>
        <a:xfrm xmlns:a="http://schemas.openxmlformats.org/drawingml/2006/main">
          <a:off x="4307205" y="944880"/>
          <a:ext cx="843915" cy="434340"/>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lt1">
              <a:shade val="50000"/>
            </a:schemeClr>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p xmlns:a="http://schemas.openxmlformats.org/drawingml/2006/main">
          <a:pPr marL="0" marR="0">
            <a:spcBef>
              <a:spcPts val="0"/>
            </a:spcBef>
            <a:spcAft>
              <a:spcPts val="0"/>
            </a:spcAft>
          </a:pPr>
          <a:r>
            <a:rPr lang="en-US" sz="800" kern="1200">
              <a:solidFill>
                <a:srgbClr val="000000"/>
              </a:solidFill>
              <a:effectLst/>
              <a:ea typeface="Times New Roman" panose="02020603050405020304" pitchFamily="18" charset="0"/>
              <a:cs typeface="Times New Roman" panose="02020603050405020304" pitchFamily="18" charset="0"/>
            </a:rPr>
            <a:t>Total Energy - </a:t>
          </a:r>
          <a:br>
            <a:rPr lang="en-US" sz="800" kern="1200">
              <a:solidFill>
                <a:srgbClr val="000000"/>
              </a:solidFill>
              <a:effectLst/>
              <a:ea typeface="Times New Roman" panose="02020603050405020304" pitchFamily="18" charset="0"/>
              <a:cs typeface="Times New Roman" panose="02020603050405020304" pitchFamily="18" charset="0"/>
            </a:rPr>
          </a:br>
          <a:r>
            <a:rPr lang="en-US" sz="800" kern="1200">
              <a:solidFill>
                <a:srgbClr val="000000"/>
              </a:solidFill>
              <a:effectLst/>
              <a:ea typeface="Times New Roman" panose="02020603050405020304" pitchFamily="18" charset="0"/>
              <a:cs typeface="Times New Roman" panose="02020603050405020304" pitchFamily="18" charset="0"/>
            </a:rPr>
            <a:t>417,240 MWh</a:t>
          </a:r>
          <a:endParaRPr lang="en-US" sz="1200">
            <a:effectLst/>
            <a:latin typeface="Times New Roman" panose="02020603050405020304" pitchFamily="18" charset="0"/>
            <a:ea typeface="Times New Roman" panose="02020603050405020304" pitchFamily="18"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9B5F1DC652FC34983F7BD69212C7224" ma:contentTypeVersion="1" ma:contentTypeDescription="Create a new document." ma:contentTypeScope="" ma:versionID="9dab43056dbde125381f6b4e85d9e120">
  <xsd:schema xmlns:xsd="http://www.w3.org/2001/XMLSchema" xmlns:xs="http://www.w3.org/2001/XMLSchema" xmlns:p="http://schemas.microsoft.com/office/2006/metadata/properties" xmlns:ns1="http://schemas.microsoft.com/sharepoint/v3" targetNamespace="http://schemas.microsoft.com/office/2006/metadata/properties" ma:root="true" ma:fieldsID="a447206dab0015f8b9f8924535193e8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34F420BD-6428-4C9E-947B-183A033AA402}">
  <ds:schemaRefs>
    <ds:schemaRef ds:uri="http://schemas.openxmlformats.org/officeDocument/2006/bibliography"/>
  </ds:schemaRefs>
</ds:datastoreItem>
</file>

<file path=customXml/itemProps2.xml><?xml version="1.0" encoding="utf-8"?>
<ds:datastoreItem xmlns:ds="http://schemas.openxmlformats.org/officeDocument/2006/customXml" ds:itemID="{0A785D59-8896-4072-90B1-BB798FCB2C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2A1481C-E547-4557-81D6-137C00FCE10D}">
  <ds:schemaRefs>
    <ds:schemaRef ds:uri="http://schemas.microsoft.com/sharepoint/v3/contenttype/forms"/>
  </ds:schemaRefs>
</ds:datastoreItem>
</file>

<file path=customXml/itemProps4.xml><?xml version="1.0" encoding="utf-8"?>
<ds:datastoreItem xmlns:ds="http://schemas.openxmlformats.org/officeDocument/2006/customXml" ds:itemID="{AEB83C7A-45C4-4136-925C-61FEB86C8BE2}">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Word_Template_Reports_v2.dotx</Template>
  <TotalTime>8</TotalTime>
  <Pages>176</Pages>
  <Words>34840</Words>
  <Characters>198590</Characters>
  <Application>Microsoft Office Word</Application>
  <DocSecurity>0</DocSecurity>
  <Lines>1654</Lines>
  <Paragraphs>465</Paragraphs>
  <ScaleCrop>false</ScaleCrop>
  <HeadingPairs>
    <vt:vector size="2" baseType="variant">
      <vt:variant>
        <vt:lpstr>Title</vt:lpstr>
      </vt:variant>
      <vt:variant>
        <vt:i4>1</vt:i4>
      </vt:variant>
    </vt:vector>
  </HeadingPairs>
  <TitlesOfParts>
    <vt:vector size="1" baseType="lpstr">
      <vt:lpstr>2019-2028 Comprehensive Reliability Plan</vt:lpstr>
    </vt:vector>
  </TitlesOfParts>
  <Company>NYISO</Company>
  <LinksUpToDate>false</LinksUpToDate>
  <CharactersWithSpaces>232965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2019-2028 Comprehensive Reliability Plan</dc:title>
  <dc:creator>Patka, Carl</dc:creator>
  <cp:lastModifiedBy>Murley, Debra</cp:lastModifiedBy>
  <cp:revision>2</cp:revision>
  <cp:lastPrinted>2019-04-01T12:46:00Z</cp:lastPrinted>
  <dcterms:created xsi:type="dcterms:W3CDTF">2021-09-03T17:27:00Z</dcterms:created>
  <dcterms:modified xsi:type="dcterms:W3CDTF">2021-09-03T17:27:00Z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0x01010099B5F1DC652FC34983F7BD69212C7224</vt:lpwstr>
  </property>
  <property fmtid="{D5CDD505-2E9C-101B-9397-08002B2CF9AE}" pid="3" name="_AdHocReviewCycleID">
    <vt:i4>1308590611</vt:i4>
  </property>
  <property fmtid="{D5CDD505-2E9C-101B-9397-08002B2CF9AE}" pid="4" name="_NewReviewCycle">
    <vt:lpwstr/>
  </property>
  <property fmtid="{D5CDD505-2E9C-101B-9397-08002B2CF9AE}" pid="5" name="_EmailSubject">
    <vt:lpwstr>Requesting Posting of Updated CRP</vt:lpwstr>
  </property>
  <property fmtid="{D5CDD505-2E9C-101B-9397-08002B2CF9AE}" pid="6" name="_AuthorEmail">
    <vt:lpwstr>kburrell@nyiso.com</vt:lpwstr>
  </property>
  <property fmtid="{D5CDD505-2E9C-101B-9397-08002B2CF9AE}" pid="7" name="_AuthorEmailDisplayName">
    <vt:lpwstr>Burrell, Keith J</vt:lpwstr>
  </property>
  <property fmtid="{D5CDD505-2E9C-101B-9397-08002B2CF9AE}" pid="8" name="_PreviousAdHocReviewCycleID">
    <vt:i4>-40785391</vt:i4>
  </property>
  <property fmtid="{D5CDD505-2E9C-101B-9397-08002B2CF9AE}" pid="9" name="_ReviewingToolsShownOnce">
    <vt:lpwstr/>
  </property>
</Properties>
</file>